
<file path=[Content_Types].xml><?xml version="1.0" encoding="utf-8"?>
<Types xmlns="http://schemas.openxmlformats.org/package/2006/content-types">
  <Default Extension="xml" ContentType="application/xml"/>
  <Default Extension="bin" ContentType="application/vnd.openxmlformats-officedocument.oleObject"/>
  <Default Extension="bmp" ContentType="image/bmp"/>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087A76">
      <w:pPr>
        <w:ind w:firstLine="0" w:firstLineChars="0"/>
        <w:jc w:val="center"/>
        <w:rPr>
          <w:rFonts w:hint="default" w:ascii="Times New Roman" w:hAnsi="Times New Roman" w:cs="Times New Roman"/>
          <w:color w:val="auto"/>
          <w:highlight w:val="none"/>
        </w:rPr>
      </w:pPr>
    </w:p>
    <w:p w14:paraId="2658A448">
      <w:pPr>
        <w:ind w:firstLine="0" w:firstLineChars="0"/>
        <w:jc w:val="center"/>
        <w:rPr>
          <w:rFonts w:hint="default" w:ascii="Times New Roman" w:hAnsi="Times New Roman" w:cs="Times New Roman"/>
          <w:color w:val="auto"/>
          <w:highlight w:val="none"/>
        </w:rPr>
      </w:pPr>
    </w:p>
    <w:p w14:paraId="06972A5E">
      <w:pPr>
        <w:ind w:firstLine="0" w:firstLineChars="0"/>
        <w:jc w:val="center"/>
        <w:rPr>
          <w:rFonts w:hint="default" w:ascii="Times New Roman" w:hAnsi="Times New Roman" w:cs="Times New Roman"/>
          <w:color w:val="auto"/>
          <w:highlight w:val="none"/>
        </w:rPr>
      </w:pPr>
    </w:p>
    <w:p w14:paraId="7BD10C77">
      <w:pPr>
        <w:ind w:firstLine="0" w:firstLineChars="0"/>
        <w:jc w:val="center"/>
        <w:rPr>
          <w:rFonts w:hint="default" w:ascii="Times New Roman" w:hAnsi="Times New Roman" w:cs="Times New Roman"/>
          <w:color w:val="auto"/>
          <w:highlight w:val="none"/>
        </w:rPr>
      </w:pPr>
    </w:p>
    <w:p w14:paraId="576881D6">
      <w:pPr>
        <w:tabs>
          <w:tab w:val="center" w:pos="4156"/>
          <w:tab w:val="right" w:pos="8312"/>
        </w:tabs>
        <w:ind w:firstLine="0" w:firstLineChars="0"/>
        <w:jc w:val="center"/>
        <w:rPr>
          <w:rFonts w:hint="default" w:ascii="Times New Roman" w:hAnsi="Times New Roman" w:cs="Times New Roman"/>
          <w:b/>
          <w:color w:val="auto"/>
          <w:sz w:val="48"/>
          <w:szCs w:val="48"/>
          <w:highlight w:val="none"/>
          <w:lang w:eastAsia="zh-CN"/>
        </w:rPr>
      </w:pPr>
      <w:r>
        <w:rPr>
          <w:rFonts w:hint="default" w:ascii="Times New Roman" w:hAnsi="Times New Roman" w:eastAsia="宋体" w:cs="Times New Roman"/>
          <w:b/>
          <w:color w:val="auto"/>
          <w:sz w:val="40"/>
          <w:szCs w:val="40"/>
          <w:highlight w:val="none"/>
          <w:lang w:val="en-US" w:eastAsia="zh-CN"/>
        </w:rPr>
        <w:t>黑龙江省黑河市孙吴县黑尊牛(黑龙江)牧业科技有限公司万头安格斯高端肉牛育种养殖项目</w:t>
      </w:r>
    </w:p>
    <w:p w14:paraId="11EA717B">
      <w:pPr>
        <w:tabs>
          <w:tab w:val="center" w:pos="4156"/>
          <w:tab w:val="right" w:pos="8312"/>
        </w:tabs>
        <w:ind w:firstLine="0" w:firstLineChars="0"/>
        <w:jc w:val="center"/>
        <w:rPr>
          <w:rFonts w:hint="default" w:ascii="Times New Roman" w:hAnsi="Times New Roman" w:cs="Times New Roman"/>
          <w:b/>
          <w:color w:val="auto"/>
          <w:sz w:val="72"/>
          <w:szCs w:val="72"/>
          <w:highlight w:val="none"/>
        </w:rPr>
      </w:pPr>
      <w:r>
        <w:rPr>
          <w:rFonts w:hint="default" w:ascii="Times New Roman" w:hAnsi="Times New Roman" w:cs="Times New Roman"/>
          <w:b/>
          <w:color w:val="auto"/>
          <w:sz w:val="72"/>
          <w:szCs w:val="72"/>
          <w:highlight w:val="none"/>
        </w:rPr>
        <w:t>环境影响报告书</w:t>
      </w:r>
    </w:p>
    <w:p w14:paraId="5ED67E09">
      <w:pPr>
        <w:ind w:firstLine="0" w:firstLineChars="0"/>
        <w:jc w:val="center"/>
        <w:rPr>
          <w:rFonts w:hint="default" w:ascii="Times New Roman" w:hAnsi="Times New Roman" w:cs="Times New Roman"/>
          <w:color w:val="auto"/>
          <w:sz w:val="28"/>
          <w:highlight w:val="none"/>
        </w:rPr>
      </w:pPr>
    </w:p>
    <w:p w14:paraId="2668C43C">
      <w:pPr>
        <w:ind w:firstLine="0" w:firstLineChars="0"/>
        <w:jc w:val="center"/>
        <w:rPr>
          <w:rFonts w:hint="default" w:ascii="Times New Roman" w:hAnsi="Times New Roman" w:cs="Times New Roman"/>
          <w:color w:val="auto"/>
          <w:sz w:val="28"/>
          <w:highlight w:val="none"/>
        </w:rPr>
      </w:pPr>
    </w:p>
    <w:p w14:paraId="77E97BED">
      <w:pPr>
        <w:ind w:firstLine="0" w:firstLineChars="0"/>
        <w:jc w:val="center"/>
        <w:rPr>
          <w:rFonts w:hint="default" w:ascii="Times New Roman" w:hAnsi="Times New Roman" w:cs="Times New Roman"/>
          <w:color w:val="auto"/>
          <w:sz w:val="28"/>
          <w:highlight w:val="none"/>
        </w:rPr>
      </w:pPr>
    </w:p>
    <w:p w14:paraId="3271F7FE">
      <w:pPr>
        <w:ind w:firstLine="0" w:firstLineChars="0"/>
        <w:jc w:val="center"/>
        <w:rPr>
          <w:rFonts w:hint="default" w:ascii="Times New Roman" w:hAnsi="Times New Roman" w:cs="Times New Roman"/>
          <w:color w:val="auto"/>
          <w:sz w:val="28"/>
          <w:highlight w:val="none"/>
        </w:rPr>
      </w:pPr>
    </w:p>
    <w:p w14:paraId="6DDE572F">
      <w:pPr>
        <w:ind w:firstLine="0" w:firstLineChars="0"/>
        <w:jc w:val="center"/>
        <w:rPr>
          <w:rFonts w:hint="default" w:ascii="Times New Roman" w:hAnsi="Times New Roman" w:cs="Times New Roman"/>
          <w:color w:val="auto"/>
          <w:sz w:val="28"/>
          <w:highlight w:val="none"/>
        </w:rPr>
      </w:pPr>
    </w:p>
    <w:p w14:paraId="52E82309">
      <w:pPr>
        <w:ind w:firstLine="0" w:firstLineChars="0"/>
        <w:jc w:val="center"/>
        <w:rPr>
          <w:rFonts w:hint="default" w:ascii="Times New Roman" w:hAnsi="Times New Roman" w:cs="Times New Roman"/>
          <w:color w:val="auto"/>
          <w:sz w:val="28"/>
          <w:highlight w:val="none"/>
        </w:rPr>
      </w:pPr>
    </w:p>
    <w:p w14:paraId="2C0E06BB">
      <w:pPr>
        <w:ind w:firstLine="0" w:firstLineChars="0"/>
        <w:jc w:val="both"/>
        <w:rPr>
          <w:rFonts w:hint="default" w:ascii="Times New Roman" w:hAnsi="Times New Roman" w:cs="Times New Roman"/>
          <w:color w:val="auto"/>
          <w:sz w:val="28"/>
          <w:highlight w:val="none"/>
        </w:rPr>
      </w:pPr>
    </w:p>
    <w:p w14:paraId="6FFED50B">
      <w:pPr>
        <w:ind w:firstLine="0" w:firstLineChars="0"/>
        <w:jc w:val="both"/>
        <w:rPr>
          <w:rFonts w:hint="default" w:ascii="Times New Roman" w:hAnsi="Times New Roman" w:cs="Times New Roman"/>
          <w:color w:val="auto"/>
          <w:sz w:val="28"/>
          <w:highlight w:val="none"/>
        </w:rPr>
      </w:pPr>
    </w:p>
    <w:p w14:paraId="17955355">
      <w:pPr>
        <w:ind w:firstLine="0" w:firstLineChars="0"/>
        <w:jc w:val="both"/>
        <w:rPr>
          <w:rFonts w:hint="default" w:ascii="Times New Roman" w:hAnsi="Times New Roman" w:cs="Times New Roman"/>
          <w:color w:val="auto"/>
          <w:sz w:val="28"/>
          <w:highlight w:val="none"/>
        </w:rPr>
      </w:pPr>
    </w:p>
    <w:p w14:paraId="1E4465C5">
      <w:pPr>
        <w:ind w:firstLine="0" w:firstLineChars="0"/>
        <w:jc w:val="center"/>
        <w:rPr>
          <w:rFonts w:hint="default" w:ascii="Times New Roman" w:hAnsi="Times New Roman" w:cs="Times New Roman"/>
          <w:color w:val="auto"/>
          <w:sz w:val="28"/>
          <w:highlight w:val="none"/>
        </w:rPr>
      </w:pPr>
    </w:p>
    <w:p w14:paraId="4E7FC17C">
      <w:pPr>
        <w:ind w:firstLine="0" w:firstLineChars="0"/>
        <w:jc w:val="center"/>
        <w:rPr>
          <w:rFonts w:hint="default" w:ascii="Times New Roman" w:hAnsi="Times New Roman" w:cs="Times New Roman"/>
          <w:color w:val="auto"/>
          <w:sz w:val="28"/>
          <w:highlight w:val="none"/>
        </w:rPr>
      </w:pPr>
    </w:p>
    <w:p w14:paraId="661A111A">
      <w:pPr>
        <w:ind w:firstLine="0" w:firstLineChars="0"/>
        <w:jc w:val="center"/>
        <w:rPr>
          <w:rFonts w:hint="default" w:ascii="Times New Roman" w:hAnsi="Times New Roman" w:cs="Times New Roman"/>
          <w:color w:val="auto"/>
          <w:sz w:val="28"/>
          <w:highlight w:val="none"/>
        </w:rPr>
      </w:pPr>
    </w:p>
    <w:p w14:paraId="510CCBEC">
      <w:pPr>
        <w:spacing w:line="500" w:lineRule="exact"/>
        <w:ind w:firstLine="477" w:firstLineChars="159"/>
        <w:jc w:val="center"/>
        <w:rPr>
          <w:rFonts w:hint="default" w:ascii="Times New Roman" w:hAnsi="Times New Roman" w:cs="Times New Roman"/>
          <w:b/>
          <w:color w:val="auto"/>
          <w:sz w:val="30"/>
          <w:szCs w:val="30"/>
          <w:highlight w:val="none"/>
          <w:lang w:eastAsia="zh-CN"/>
        </w:rPr>
      </w:pPr>
      <w:r>
        <w:rPr>
          <w:rFonts w:hint="default" w:ascii="Times New Roman" w:hAnsi="Times New Roman" w:cs="Times New Roman"/>
          <w:b/>
          <w:color w:val="auto"/>
          <w:sz w:val="30"/>
          <w:szCs w:val="30"/>
          <w:highlight w:val="none"/>
        </w:rPr>
        <w:t>建设</w:t>
      </w:r>
      <w:r>
        <w:rPr>
          <w:rFonts w:hint="default" w:ascii="Times New Roman" w:hAnsi="Times New Roman" w:eastAsia="宋体" w:cs="Times New Roman"/>
          <w:b/>
          <w:color w:val="auto"/>
          <w:sz w:val="30"/>
          <w:szCs w:val="30"/>
          <w:highlight w:val="none"/>
          <w:lang w:val="en-US" w:eastAsia="zh-CN"/>
        </w:rPr>
        <w:t>单位：黑尊牛（黑龙江）牧业科技有限公司</w:t>
      </w:r>
    </w:p>
    <w:p w14:paraId="6B3DAEBA">
      <w:pPr>
        <w:spacing w:line="500" w:lineRule="exact"/>
        <w:ind w:firstLine="477" w:firstLineChars="159"/>
        <w:jc w:val="center"/>
        <w:rPr>
          <w:rFonts w:hint="default" w:ascii="Times New Roman" w:hAnsi="Times New Roman" w:eastAsia="宋体" w:cs="Times New Roman"/>
          <w:b/>
          <w:color w:val="auto"/>
          <w:sz w:val="30"/>
          <w:szCs w:val="30"/>
          <w:highlight w:val="none"/>
          <w:lang w:val="en-US" w:eastAsia="zh-CN"/>
        </w:rPr>
      </w:pPr>
      <w:r>
        <w:rPr>
          <w:rFonts w:hint="default" w:ascii="Times New Roman" w:hAnsi="Times New Roman" w:cs="Times New Roman"/>
          <w:b/>
          <w:color w:val="auto"/>
          <w:sz w:val="30"/>
          <w:szCs w:val="30"/>
          <w:highlight w:val="none"/>
        </w:rPr>
        <w:t>编制单位：</w:t>
      </w:r>
      <w:r>
        <w:rPr>
          <w:rFonts w:hint="default" w:ascii="Times New Roman" w:hAnsi="Times New Roman" w:cs="Times New Roman"/>
          <w:b/>
          <w:color w:val="auto"/>
          <w:sz w:val="30"/>
          <w:szCs w:val="30"/>
          <w:highlight w:val="none"/>
          <w:lang w:val="en-US" w:eastAsia="zh-CN"/>
        </w:rPr>
        <w:t>黑龙江泽文生态环境科技有限公司</w:t>
      </w:r>
    </w:p>
    <w:p w14:paraId="0B9E01E7">
      <w:pPr>
        <w:spacing w:line="500" w:lineRule="exact"/>
        <w:ind w:firstLine="477" w:firstLineChars="159"/>
        <w:jc w:val="center"/>
        <w:rPr>
          <w:rFonts w:hint="default" w:ascii="Times New Roman" w:hAnsi="Times New Roman" w:cs="Times New Roman"/>
          <w:b/>
          <w:color w:val="auto"/>
          <w:sz w:val="30"/>
          <w:szCs w:val="30"/>
          <w:highlight w:val="none"/>
        </w:rPr>
      </w:pPr>
      <w:r>
        <w:rPr>
          <w:rFonts w:hint="default" w:ascii="Times New Roman" w:hAnsi="Times New Roman" w:cs="Times New Roman"/>
          <w:b/>
          <w:color w:val="auto"/>
          <w:sz w:val="30"/>
          <w:szCs w:val="30"/>
          <w:highlight w:val="none"/>
        </w:rPr>
        <w:t>编制日期：202</w:t>
      </w:r>
      <w:r>
        <w:rPr>
          <w:rFonts w:hint="default" w:ascii="Times New Roman" w:hAnsi="Times New Roman" w:cs="Times New Roman"/>
          <w:b/>
          <w:color w:val="auto"/>
          <w:sz w:val="30"/>
          <w:szCs w:val="30"/>
          <w:highlight w:val="none"/>
          <w:lang w:val="en-US" w:eastAsia="zh-CN"/>
        </w:rPr>
        <w:t>6</w:t>
      </w:r>
      <w:r>
        <w:rPr>
          <w:rFonts w:hint="default" w:ascii="Times New Roman" w:hAnsi="Times New Roman" w:cs="Times New Roman"/>
          <w:b/>
          <w:color w:val="auto"/>
          <w:sz w:val="30"/>
          <w:szCs w:val="30"/>
          <w:highlight w:val="none"/>
        </w:rPr>
        <w:t>年</w:t>
      </w:r>
      <w:r>
        <w:rPr>
          <w:rFonts w:hint="eastAsia" w:cs="Times New Roman"/>
          <w:b/>
          <w:color w:val="auto"/>
          <w:sz w:val="30"/>
          <w:szCs w:val="30"/>
          <w:highlight w:val="none"/>
          <w:lang w:val="en-US" w:eastAsia="zh-CN"/>
        </w:rPr>
        <w:t>5</w:t>
      </w:r>
      <w:r>
        <w:rPr>
          <w:rFonts w:hint="default" w:ascii="Times New Roman" w:hAnsi="Times New Roman" w:cs="Times New Roman"/>
          <w:b/>
          <w:color w:val="auto"/>
          <w:sz w:val="30"/>
          <w:szCs w:val="30"/>
          <w:highlight w:val="none"/>
        </w:rPr>
        <w:t>月</w:t>
      </w:r>
    </w:p>
    <w:p w14:paraId="304C40A4">
      <w:pPr>
        <w:spacing w:line="500" w:lineRule="exact"/>
        <w:ind w:firstLine="0" w:firstLineChars="0"/>
        <w:jc w:val="both"/>
        <w:rPr>
          <w:rFonts w:hint="default" w:ascii="Times New Roman" w:hAnsi="Times New Roman" w:cs="Times New Roman"/>
          <w:color w:val="auto"/>
          <w:highlight w:val="none"/>
        </w:rPr>
      </w:pPr>
    </w:p>
    <w:p w14:paraId="4AEEF8DF">
      <w:p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p>
    <w:p w14:paraId="4E542AC9">
      <w:pPr>
        <w:pStyle w:val="19"/>
        <w:ind w:left="0" w:leftChars="0" w:firstLine="0" w:firstLineChars="0"/>
        <w:rPr>
          <w:rFonts w:hint="default" w:ascii="Times New Roman" w:hAnsi="Times New Roman" w:cs="Times New Roman"/>
          <w:color w:val="auto"/>
          <w:highlight w:val="none"/>
        </w:rPr>
      </w:pPr>
    </w:p>
    <w:p w14:paraId="34997B47">
      <w:pPr>
        <w:pStyle w:val="19"/>
        <w:ind w:left="0" w:leftChars="0" w:firstLine="0" w:firstLineChars="0"/>
        <w:rPr>
          <w:rFonts w:hint="default" w:ascii="Times New Roman" w:hAnsi="Times New Roman" w:cs="Times New Roman"/>
          <w:color w:val="auto"/>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AndChars" w:linePitch="326" w:charSpace="0"/>
        </w:sectPr>
      </w:pPr>
    </w:p>
    <w:sdt>
      <w:sdtPr>
        <w:rPr>
          <w:rFonts w:hint="default" w:ascii="Times New Roman" w:hAnsi="Times New Roman" w:eastAsia="宋体" w:cs="Times New Roman"/>
          <w:b w:val="0"/>
          <w:bCs w:val="0"/>
          <w:color w:val="auto"/>
          <w:sz w:val="24"/>
          <w:szCs w:val="22"/>
          <w:highlight w:val="none"/>
          <w:lang w:val="en-US"/>
        </w:rPr>
        <w:id w:val="-684902126"/>
        <w:docPartObj>
          <w:docPartGallery w:val="Table of Contents"/>
          <w:docPartUnique/>
        </w:docPartObj>
      </w:sdtPr>
      <w:sdtEndPr>
        <w:rPr>
          <w:rFonts w:hint="default" w:ascii="Times New Roman" w:hAnsi="Times New Roman" w:eastAsia="宋体" w:cs="Times New Roman"/>
          <w:b w:val="0"/>
          <w:bCs w:val="0"/>
          <w:color w:val="auto"/>
          <w:sz w:val="24"/>
          <w:szCs w:val="22"/>
          <w:highlight w:val="none"/>
          <w:lang w:val="en-US"/>
        </w:rPr>
      </w:sdtEndPr>
      <w:sdtContent>
        <w:p w14:paraId="21D0365A">
          <w:pPr>
            <w:pStyle w:val="345"/>
            <w:spacing w:before="0" w:line="500" w:lineRule="exact"/>
            <w:jc w:val="center"/>
            <w:rPr>
              <w:rFonts w:hint="default" w:ascii="Times New Roman" w:hAnsi="Times New Roman" w:eastAsia="仿宋" w:cs="Times New Roman"/>
              <w:color w:val="auto"/>
              <w:highlight w:val="none"/>
            </w:rPr>
          </w:pPr>
          <w:r>
            <w:rPr>
              <w:rFonts w:hint="default" w:ascii="Times New Roman" w:hAnsi="Times New Roman" w:eastAsia="仿宋" w:cs="Times New Roman"/>
              <w:color w:val="auto"/>
              <w:highlight w:val="none"/>
            </w:rPr>
            <w:t>目录</w:t>
          </w:r>
        </w:p>
        <w:p w14:paraId="6F7134E6">
          <w:pPr>
            <w:pStyle w:val="33"/>
            <w:tabs>
              <w:tab w:val="right" w:leader="dot" w:pos="8312"/>
            </w:tabs>
            <w:spacing w:line="240" w:lineRule="auto"/>
            <w:rPr>
              <w:color w:val="auto"/>
              <w:highlight w:val="none"/>
            </w:rPr>
          </w:pPr>
          <w:r>
            <w:rPr>
              <w:rFonts w:hint="default" w:ascii="Times New Roman" w:hAnsi="Times New Roman" w:eastAsia="仿宋" w:cs="Times New Roman"/>
              <w:b w:val="0"/>
              <w:caps w:val="0"/>
              <w:color w:val="auto"/>
              <w:szCs w:val="21"/>
              <w:highlight w:val="none"/>
            </w:rPr>
            <w:fldChar w:fldCharType="begin"/>
          </w:r>
          <w:r>
            <w:rPr>
              <w:rFonts w:hint="default" w:ascii="Times New Roman" w:hAnsi="Times New Roman" w:eastAsia="仿宋" w:cs="Times New Roman"/>
              <w:b w:val="0"/>
              <w:caps w:val="0"/>
              <w:color w:val="auto"/>
              <w:szCs w:val="21"/>
              <w:highlight w:val="none"/>
            </w:rPr>
            <w:instrText xml:space="preserve"> TOC \o "1-3" \h \z \u </w:instrText>
          </w:r>
          <w:r>
            <w:rPr>
              <w:rFonts w:hint="default" w:ascii="Times New Roman" w:hAnsi="Times New Roman" w:eastAsia="仿宋" w:cs="Times New Roman"/>
              <w:b w:val="0"/>
              <w:caps w:val="0"/>
              <w:color w:val="auto"/>
              <w:szCs w:val="21"/>
              <w:highlight w:val="none"/>
            </w:rPr>
            <w:fldChar w:fldCharType="separate"/>
          </w:r>
          <w:r>
            <w:rPr>
              <w:rFonts w:hint="default" w:ascii="Times New Roman" w:hAnsi="Times New Roman" w:eastAsia="仿宋" w:cs="Times New Roman"/>
              <w:caps w:val="0"/>
              <w:color w:val="auto"/>
              <w:szCs w:val="21"/>
              <w:highlight w:val="none"/>
            </w:rPr>
            <w:fldChar w:fldCharType="begin"/>
          </w:r>
          <w:r>
            <w:rPr>
              <w:rFonts w:hint="default" w:ascii="Times New Roman" w:hAnsi="Times New Roman" w:eastAsia="仿宋" w:cs="Times New Roman"/>
              <w:caps w:val="0"/>
              <w:color w:val="auto"/>
              <w:szCs w:val="21"/>
              <w:highlight w:val="none"/>
            </w:rPr>
            <w:instrText xml:space="preserve"> HYPERLINK \l _Toc12111 </w:instrText>
          </w:r>
          <w:r>
            <w:rPr>
              <w:rFonts w:hint="default" w:ascii="Times New Roman" w:hAnsi="Times New Roman" w:eastAsia="仿宋" w:cs="Times New Roman"/>
              <w:caps w:val="0"/>
              <w:color w:val="auto"/>
              <w:szCs w:val="21"/>
              <w:highlight w:val="none"/>
            </w:rPr>
            <w:fldChar w:fldCharType="separate"/>
          </w:r>
          <w:r>
            <w:rPr>
              <w:rFonts w:hint="default" w:ascii="Times New Roman" w:hAnsi="Times New Roman" w:cs="Times New Roman"/>
              <w:color w:val="auto"/>
              <w:highlight w:val="none"/>
            </w:rPr>
            <w:t>1概述</w:t>
          </w:r>
          <w:r>
            <w:rPr>
              <w:color w:val="auto"/>
              <w:highlight w:val="none"/>
            </w:rPr>
            <w:tab/>
          </w:r>
          <w:r>
            <w:rPr>
              <w:color w:val="auto"/>
              <w:highlight w:val="none"/>
            </w:rPr>
            <w:fldChar w:fldCharType="begin"/>
          </w:r>
          <w:r>
            <w:rPr>
              <w:color w:val="auto"/>
              <w:highlight w:val="none"/>
            </w:rPr>
            <w:instrText xml:space="preserve"> PAGEREF _Toc12111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eastAsia="仿宋" w:cs="Times New Roman"/>
              <w:caps w:val="0"/>
              <w:color w:val="auto"/>
              <w:szCs w:val="21"/>
              <w:highlight w:val="none"/>
            </w:rPr>
            <w:fldChar w:fldCharType="end"/>
          </w:r>
        </w:p>
        <w:p w14:paraId="431D41C0">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_Toc11967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1.1项目的基本情况</w:t>
          </w:r>
          <w:r>
            <w:rPr>
              <w:color w:val="auto"/>
              <w:highlight w:val="none"/>
            </w:rPr>
            <w:tab/>
          </w:r>
          <w:r>
            <w:rPr>
              <w:color w:val="auto"/>
              <w:highlight w:val="none"/>
            </w:rPr>
            <w:fldChar w:fldCharType="begin"/>
          </w:r>
          <w:r>
            <w:rPr>
              <w:color w:val="auto"/>
              <w:highlight w:val="none"/>
            </w:rPr>
            <w:instrText xml:space="preserve"> PAGEREF _Toc11967 \h </w:instrText>
          </w:r>
          <w:r>
            <w:rPr>
              <w:color w:val="auto"/>
              <w:highlight w:val="none"/>
            </w:rPr>
            <w:fldChar w:fldCharType="separate"/>
          </w:r>
          <w:r>
            <w:rPr>
              <w:color w:val="auto"/>
              <w:highlight w:val="none"/>
            </w:rPr>
            <w:t>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CF0166E">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_Toc25909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1.2项目特点</w:t>
          </w:r>
          <w:r>
            <w:rPr>
              <w:color w:val="auto"/>
              <w:highlight w:val="none"/>
            </w:rPr>
            <w:tab/>
          </w:r>
          <w:r>
            <w:rPr>
              <w:color w:val="auto"/>
              <w:highlight w:val="none"/>
            </w:rPr>
            <w:fldChar w:fldCharType="begin"/>
          </w:r>
          <w:r>
            <w:rPr>
              <w:color w:val="auto"/>
              <w:highlight w:val="none"/>
            </w:rPr>
            <w:instrText xml:space="preserve"> PAGEREF _Toc25909 \h </w:instrText>
          </w:r>
          <w:r>
            <w:rPr>
              <w:color w:val="auto"/>
              <w:highlight w:val="none"/>
            </w:rPr>
            <w:fldChar w:fldCharType="separate"/>
          </w:r>
          <w:r>
            <w:rPr>
              <w:color w:val="auto"/>
              <w:highlight w:val="none"/>
            </w:rPr>
            <w:t>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868F88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_Toc11245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1.2.1项目概况</w:t>
          </w:r>
          <w:r>
            <w:rPr>
              <w:color w:val="auto"/>
              <w:highlight w:val="none"/>
            </w:rPr>
            <w:tab/>
          </w:r>
          <w:r>
            <w:rPr>
              <w:color w:val="auto"/>
              <w:highlight w:val="none"/>
            </w:rPr>
            <w:fldChar w:fldCharType="begin"/>
          </w:r>
          <w:r>
            <w:rPr>
              <w:color w:val="auto"/>
              <w:highlight w:val="none"/>
            </w:rPr>
            <w:instrText xml:space="preserve"> PAGEREF _Toc11245 \h </w:instrText>
          </w:r>
          <w:r>
            <w:rPr>
              <w:color w:val="auto"/>
              <w:highlight w:val="none"/>
            </w:rPr>
            <w:fldChar w:fldCharType="separate"/>
          </w:r>
          <w:r>
            <w:rPr>
              <w:color w:val="auto"/>
              <w:highlight w:val="none"/>
            </w:rPr>
            <w:t>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1BB1B06">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_Toc16424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1.2.2生产工艺</w:t>
          </w:r>
          <w:r>
            <w:rPr>
              <w:color w:val="auto"/>
              <w:highlight w:val="none"/>
            </w:rPr>
            <w:tab/>
          </w:r>
          <w:r>
            <w:rPr>
              <w:color w:val="auto"/>
              <w:highlight w:val="none"/>
            </w:rPr>
            <w:fldChar w:fldCharType="begin"/>
          </w:r>
          <w:r>
            <w:rPr>
              <w:color w:val="auto"/>
              <w:highlight w:val="none"/>
            </w:rPr>
            <w:instrText xml:space="preserve"> PAGEREF _Toc16424 \h </w:instrText>
          </w:r>
          <w:r>
            <w:rPr>
              <w:color w:val="auto"/>
              <w:highlight w:val="none"/>
            </w:rPr>
            <w:fldChar w:fldCharType="separate"/>
          </w:r>
          <w:r>
            <w:rPr>
              <w:color w:val="auto"/>
              <w:highlight w:val="none"/>
            </w:rPr>
            <w:t>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994BCA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_Toc5697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1.2.3污染物产生情况</w:t>
          </w:r>
          <w:r>
            <w:rPr>
              <w:color w:val="auto"/>
              <w:highlight w:val="none"/>
            </w:rPr>
            <w:tab/>
          </w:r>
          <w:r>
            <w:rPr>
              <w:color w:val="auto"/>
              <w:highlight w:val="none"/>
            </w:rPr>
            <w:fldChar w:fldCharType="begin"/>
          </w:r>
          <w:r>
            <w:rPr>
              <w:color w:val="auto"/>
              <w:highlight w:val="none"/>
            </w:rPr>
            <w:instrText xml:space="preserve"> PAGEREF _Toc5697 \h </w:instrText>
          </w:r>
          <w:r>
            <w:rPr>
              <w:color w:val="auto"/>
              <w:highlight w:val="none"/>
            </w:rPr>
            <w:fldChar w:fldCharType="separate"/>
          </w:r>
          <w:r>
            <w:rPr>
              <w:color w:val="auto"/>
              <w:highlight w:val="none"/>
            </w:rPr>
            <w:t>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8BC746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_Toc14281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1.2.4主要环保措施</w:t>
          </w:r>
          <w:r>
            <w:rPr>
              <w:color w:val="auto"/>
              <w:highlight w:val="none"/>
            </w:rPr>
            <w:tab/>
          </w:r>
          <w:r>
            <w:rPr>
              <w:color w:val="auto"/>
              <w:highlight w:val="none"/>
            </w:rPr>
            <w:fldChar w:fldCharType="begin"/>
          </w:r>
          <w:r>
            <w:rPr>
              <w:color w:val="auto"/>
              <w:highlight w:val="none"/>
            </w:rPr>
            <w:instrText xml:space="preserve"> PAGEREF _Toc14281 \h </w:instrText>
          </w:r>
          <w:r>
            <w:rPr>
              <w:color w:val="auto"/>
              <w:highlight w:val="none"/>
            </w:rPr>
            <w:fldChar w:fldCharType="separate"/>
          </w:r>
          <w:r>
            <w:rPr>
              <w:color w:val="auto"/>
              <w:highlight w:val="none"/>
            </w:rPr>
            <w:t>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A82ECE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_Toc4900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1.2.5主要结论</w:t>
          </w:r>
          <w:r>
            <w:rPr>
              <w:color w:val="auto"/>
              <w:highlight w:val="none"/>
            </w:rPr>
            <w:tab/>
          </w:r>
          <w:r>
            <w:rPr>
              <w:color w:val="auto"/>
              <w:highlight w:val="none"/>
            </w:rPr>
            <w:fldChar w:fldCharType="begin"/>
          </w:r>
          <w:r>
            <w:rPr>
              <w:color w:val="auto"/>
              <w:highlight w:val="none"/>
            </w:rPr>
            <w:instrText xml:space="preserve"> PAGEREF _Toc4900 \h </w:instrText>
          </w:r>
          <w:r>
            <w:rPr>
              <w:color w:val="auto"/>
              <w:highlight w:val="none"/>
            </w:rPr>
            <w:fldChar w:fldCharType="separate"/>
          </w:r>
          <w:r>
            <w:rPr>
              <w:color w:val="auto"/>
              <w:highlight w:val="none"/>
            </w:rPr>
            <w:t>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20873D3">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_Toc32488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1.3环境影响评价工作过程</w:t>
          </w:r>
          <w:r>
            <w:rPr>
              <w:color w:val="auto"/>
              <w:highlight w:val="none"/>
            </w:rPr>
            <w:tab/>
          </w:r>
          <w:r>
            <w:rPr>
              <w:color w:val="auto"/>
              <w:highlight w:val="none"/>
            </w:rPr>
            <w:fldChar w:fldCharType="begin"/>
          </w:r>
          <w:r>
            <w:rPr>
              <w:color w:val="auto"/>
              <w:highlight w:val="none"/>
            </w:rPr>
            <w:instrText xml:space="preserve"> PAGEREF _Toc32488 \h </w:instrText>
          </w:r>
          <w:r>
            <w:rPr>
              <w:color w:val="auto"/>
              <w:highlight w:val="none"/>
            </w:rPr>
            <w:fldChar w:fldCharType="separate"/>
          </w:r>
          <w:r>
            <w:rPr>
              <w:color w:val="auto"/>
              <w:highlight w:val="none"/>
            </w:rPr>
            <w:t>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91A1449">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_Toc18702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1.4相关规划及政策符合性分析</w:t>
          </w:r>
          <w:r>
            <w:rPr>
              <w:color w:val="auto"/>
              <w:highlight w:val="none"/>
            </w:rPr>
            <w:tab/>
          </w:r>
          <w:r>
            <w:rPr>
              <w:color w:val="auto"/>
              <w:highlight w:val="none"/>
            </w:rPr>
            <w:fldChar w:fldCharType="begin"/>
          </w:r>
          <w:r>
            <w:rPr>
              <w:color w:val="auto"/>
              <w:highlight w:val="none"/>
            </w:rPr>
            <w:instrText xml:space="preserve"> PAGEREF _Toc18702 \h </w:instrText>
          </w:r>
          <w:r>
            <w:rPr>
              <w:color w:val="auto"/>
              <w:highlight w:val="none"/>
            </w:rPr>
            <w:fldChar w:fldCharType="separate"/>
          </w:r>
          <w:r>
            <w:rPr>
              <w:color w:val="auto"/>
              <w:highlight w:val="none"/>
            </w:rPr>
            <w:t>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922D95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_Toc28025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1.4.1产业政策符合性分析</w:t>
          </w:r>
          <w:r>
            <w:rPr>
              <w:color w:val="auto"/>
              <w:highlight w:val="none"/>
            </w:rPr>
            <w:tab/>
          </w:r>
          <w:r>
            <w:rPr>
              <w:color w:val="auto"/>
              <w:highlight w:val="none"/>
            </w:rPr>
            <w:fldChar w:fldCharType="begin"/>
          </w:r>
          <w:r>
            <w:rPr>
              <w:color w:val="auto"/>
              <w:highlight w:val="none"/>
            </w:rPr>
            <w:instrText xml:space="preserve"> PAGEREF _Toc28025 \h </w:instrText>
          </w:r>
          <w:r>
            <w:rPr>
              <w:color w:val="auto"/>
              <w:highlight w:val="none"/>
            </w:rPr>
            <w:fldChar w:fldCharType="separate"/>
          </w:r>
          <w:r>
            <w:rPr>
              <w:color w:val="auto"/>
              <w:highlight w:val="none"/>
            </w:rPr>
            <w:t>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6503A9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_Toc13842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1.4.2与相关规划和政策符合性分析</w:t>
          </w:r>
          <w:r>
            <w:rPr>
              <w:color w:val="auto"/>
              <w:highlight w:val="none"/>
            </w:rPr>
            <w:tab/>
          </w:r>
          <w:r>
            <w:rPr>
              <w:color w:val="auto"/>
              <w:highlight w:val="none"/>
            </w:rPr>
            <w:fldChar w:fldCharType="begin"/>
          </w:r>
          <w:r>
            <w:rPr>
              <w:color w:val="auto"/>
              <w:highlight w:val="none"/>
            </w:rPr>
            <w:instrText xml:space="preserve"> PAGEREF _Toc13842 \h </w:instrText>
          </w:r>
          <w:r>
            <w:rPr>
              <w:color w:val="auto"/>
              <w:highlight w:val="none"/>
            </w:rPr>
            <w:fldChar w:fldCharType="separate"/>
          </w:r>
          <w:r>
            <w:rPr>
              <w:color w:val="auto"/>
              <w:highlight w:val="none"/>
            </w:rPr>
            <w:t>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421624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_Toc16236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1.4.3</w:t>
          </w:r>
          <w:r>
            <w:rPr>
              <w:rFonts w:hint="eastAsia" w:ascii="Times New Roman" w:hAnsi="Times New Roman" w:cs="Times New Roman"/>
              <w:color w:val="auto"/>
              <w:highlight w:val="none"/>
            </w:rPr>
            <w:t>生态环境分区管控</w:t>
          </w:r>
          <w:r>
            <w:rPr>
              <w:rFonts w:hint="default" w:ascii="Times New Roman" w:hAnsi="Times New Roman" w:cs="Times New Roman"/>
              <w:color w:val="auto"/>
              <w:highlight w:val="none"/>
            </w:rPr>
            <w:t>符合性</w:t>
          </w:r>
          <w:r>
            <w:rPr>
              <w:rFonts w:hint="eastAsia" w:ascii="Times New Roman" w:hAnsi="Times New Roman" w:cs="Times New Roman"/>
              <w:color w:val="auto"/>
              <w:highlight w:val="none"/>
              <w:lang w:val="en-US" w:eastAsia="zh-CN"/>
            </w:rPr>
            <w:t>分析</w:t>
          </w:r>
          <w:r>
            <w:rPr>
              <w:color w:val="auto"/>
              <w:highlight w:val="none"/>
            </w:rPr>
            <w:tab/>
          </w:r>
          <w:r>
            <w:rPr>
              <w:color w:val="auto"/>
              <w:highlight w:val="none"/>
            </w:rPr>
            <w:fldChar w:fldCharType="begin"/>
          </w:r>
          <w:r>
            <w:rPr>
              <w:color w:val="auto"/>
              <w:highlight w:val="none"/>
            </w:rPr>
            <w:instrText xml:space="preserve"> PAGEREF _Toc16236 \h </w:instrText>
          </w:r>
          <w:r>
            <w:rPr>
              <w:color w:val="auto"/>
              <w:highlight w:val="none"/>
            </w:rPr>
            <w:fldChar w:fldCharType="separate"/>
          </w:r>
          <w:r>
            <w:rPr>
              <w:color w:val="auto"/>
              <w:highlight w:val="none"/>
            </w:rPr>
            <w:t>37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E5609E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_Toc11235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1.4.4选址合理性分析</w:t>
          </w:r>
          <w:r>
            <w:rPr>
              <w:color w:val="auto"/>
              <w:highlight w:val="none"/>
            </w:rPr>
            <w:tab/>
          </w:r>
          <w:r>
            <w:rPr>
              <w:color w:val="auto"/>
              <w:highlight w:val="none"/>
            </w:rPr>
            <w:fldChar w:fldCharType="begin"/>
          </w:r>
          <w:r>
            <w:rPr>
              <w:color w:val="auto"/>
              <w:highlight w:val="none"/>
            </w:rPr>
            <w:instrText xml:space="preserve"> PAGEREF _Toc11235 \h </w:instrText>
          </w:r>
          <w:r>
            <w:rPr>
              <w:color w:val="auto"/>
              <w:highlight w:val="none"/>
            </w:rPr>
            <w:fldChar w:fldCharType="separate"/>
          </w:r>
          <w:r>
            <w:rPr>
              <w:color w:val="auto"/>
              <w:highlight w:val="none"/>
            </w:rPr>
            <w:t>42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F343A10">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_Toc30495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1.5主要关注环境问题及影响</w:t>
          </w:r>
          <w:r>
            <w:rPr>
              <w:color w:val="auto"/>
              <w:highlight w:val="none"/>
            </w:rPr>
            <w:tab/>
          </w:r>
          <w:r>
            <w:rPr>
              <w:color w:val="auto"/>
              <w:highlight w:val="none"/>
            </w:rPr>
            <w:fldChar w:fldCharType="begin"/>
          </w:r>
          <w:r>
            <w:rPr>
              <w:color w:val="auto"/>
              <w:highlight w:val="none"/>
            </w:rPr>
            <w:instrText xml:space="preserve"> PAGEREF _Toc30495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142B1F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_Toc9461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1.5.1废气对环境的影响</w:t>
          </w:r>
          <w:r>
            <w:rPr>
              <w:color w:val="auto"/>
              <w:highlight w:val="none"/>
            </w:rPr>
            <w:tab/>
          </w:r>
          <w:r>
            <w:rPr>
              <w:color w:val="auto"/>
              <w:highlight w:val="none"/>
            </w:rPr>
            <w:fldChar w:fldCharType="begin"/>
          </w:r>
          <w:r>
            <w:rPr>
              <w:color w:val="auto"/>
              <w:highlight w:val="none"/>
            </w:rPr>
            <w:instrText xml:space="preserve"> PAGEREF _Toc9461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CA514B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_Toc26752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1.5.2废水对环境的影响</w:t>
          </w:r>
          <w:r>
            <w:rPr>
              <w:color w:val="auto"/>
              <w:highlight w:val="none"/>
            </w:rPr>
            <w:tab/>
          </w:r>
          <w:r>
            <w:rPr>
              <w:color w:val="auto"/>
              <w:highlight w:val="none"/>
            </w:rPr>
            <w:fldChar w:fldCharType="begin"/>
          </w:r>
          <w:r>
            <w:rPr>
              <w:color w:val="auto"/>
              <w:highlight w:val="none"/>
            </w:rPr>
            <w:instrText xml:space="preserve"> PAGEREF _Toc26752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C2FBEB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_Toc933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1.5.3地下水环境影响</w:t>
          </w:r>
          <w:r>
            <w:rPr>
              <w:color w:val="auto"/>
              <w:highlight w:val="none"/>
            </w:rPr>
            <w:tab/>
          </w:r>
          <w:r>
            <w:rPr>
              <w:color w:val="auto"/>
              <w:highlight w:val="none"/>
            </w:rPr>
            <w:fldChar w:fldCharType="begin"/>
          </w:r>
          <w:r>
            <w:rPr>
              <w:color w:val="auto"/>
              <w:highlight w:val="none"/>
            </w:rPr>
            <w:instrText xml:space="preserve"> PAGEREF _Toc933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FE4837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_Toc23066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1.5.4噪声对环境的影响</w:t>
          </w:r>
          <w:r>
            <w:rPr>
              <w:color w:val="auto"/>
              <w:highlight w:val="none"/>
            </w:rPr>
            <w:tab/>
          </w:r>
          <w:r>
            <w:rPr>
              <w:color w:val="auto"/>
              <w:highlight w:val="none"/>
            </w:rPr>
            <w:fldChar w:fldCharType="begin"/>
          </w:r>
          <w:r>
            <w:rPr>
              <w:color w:val="auto"/>
              <w:highlight w:val="none"/>
            </w:rPr>
            <w:instrText xml:space="preserve"> PAGEREF _Toc23066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1F914B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_Toc4996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1.5.5固体废物对环境的影响</w:t>
          </w:r>
          <w:r>
            <w:rPr>
              <w:color w:val="auto"/>
              <w:highlight w:val="none"/>
            </w:rPr>
            <w:tab/>
          </w:r>
          <w:r>
            <w:rPr>
              <w:color w:val="auto"/>
              <w:highlight w:val="none"/>
            </w:rPr>
            <w:fldChar w:fldCharType="begin"/>
          </w:r>
          <w:r>
            <w:rPr>
              <w:color w:val="auto"/>
              <w:highlight w:val="none"/>
            </w:rPr>
            <w:instrText xml:space="preserve"> PAGEREF _Toc4996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3B5CEB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_Toc21402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1.5.6环境风险</w:t>
          </w:r>
          <w:r>
            <w:rPr>
              <w:color w:val="auto"/>
              <w:highlight w:val="none"/>
            </w:rPr>
            <w:tab/>
          </w:r>
          <w:r>
            <w:rPr>
              <w:color w:val="auto"/>
              <w:highlight w:val="none"/>
            </w:rPr>
            <w:fldChar w:fldCharType="begin"/>
          </w:r>
          <w:r>
            <w:rPr>
              <w:color w:val="auto"/>
              <w:highlight w:val="none"/>
            </w:rPr>
            <w:instrText xml:space="preserve"> PAGEREF _Toc21402 \h </w:instrText>
          </w:r>
          <w:r>
            <w:rPr>
              <w:color w:val="auto"/>
              <w:highlight w:val="none"/>
            </w:rPr>
            <w:fldChar w:fldCharType="separate"/>
          </w:r>
          <w:r>
            <w:rPr>
              <w:color w:val="auto"/>
              <w:highlight w:val="none"/>
            </w:rPr>
            <w:t>48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F0DDDD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_Toc9799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1.5.7土壤环境的影响</w:t>
          </w:r>
          <w:r>
            <w:rPr>
              <w:color w:val="auto"/>
              <w:highlight w:val="none"/>
            </w:rPr>
            <w:tab/>
          </w:r>
          <w:r>
            <w:rPr>
              <w:color w:val="auto"/>
              <w:highlight w:val="none"/>
            </w:rPr>
            <w:fldChar w:fldCharType="begin"/>
          </w:r>
          <w:r>
            <w:rPr>
              <w:color w:val="auto"/>
              <w:highlight w:val="none"/>
            </w:rPr>
            <w:instrText xml:space="preserve"> PAGEREF _Toc9799 \h </w:instrText>
          </w:r>
          <w:r>
            <w:rPr>
              <w:color w:val="auto"/>
              <w:highlight w:val="none"/>
            </w:rPr>
            <w:fldChar w:fldCharType="separate"/>
          </w:r>
          <w:r>
            <w:rPr>
              <w:color w:val="auto"/>
              <w:highlight w:val="none"/>
            </w:rPr>
            <w:t>49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F10954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_Toc11680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1.5.8对生态环境的影响</w:t>
          </w:r>
          <w:r>
            <w:rPr>
              <w:color w:val="auto"/>
              <w:highlight w:val="none"/>
            </w:rPr>
            <w:tab/>
          </w:r>
          <w:r>
            <w:rPr>
              <w:color w:val="auto"/>
              <w:highlight w:val="none"/>
            </w:rPr>
            <w:fldChar w:fldCharType="begin"/>
          </w:r>
          <w:r>
            <w:rPr>
              <w:color w:val="auto"/>
              <w:highlight w:val="none"/>
            </w:rPr>
            <w:instrText xml:space="preserve"> PAGEREF _Toc11680 \h </w:instrText>
          </w:r>
          <w:r>
            <w:rPr>
              <w:color w:val="auto"/>
              <w:highlight w:val="none"/>
            </w:rPr>
            <w:fldChar w:fldCharType="separate"/>
          </w:r>
          <w:r>
            <w:rPr>
              <w:color w:val="auto"/>
              <w:highlight w:val="none"/>
            </w:rPr>
            <w:t>49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8054D08">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_Toc12520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1.6环境影响评价主要结论</w:t>
          </w:r>
          <w:r>
            <w:rPr>
              <w:color w:val="auto"/>
              <w:highlight w:val="none"/>
            </w:rPr>
            <w:tab/>
          </w:r>
          <w:r>
            <w:rPr>
              <w:color w:val="auto"/>
              <w:highlight w:val="none"/>
            </w:rPr>
            <w:fldChar w:fldCharType="begin"/>
          </w:r>
          <w:r>
            <w:rPr>
              <w:color w:val="auto"/>
              <w:highlight w:val="none"/>
            </w:rPr>
            <w:instrText xml:space="preserve"> PAGEREF _Toc12520 \h </w:instrText>
          </w:r>
          <w:r>
            <w:rPr>
              <w:color w:val="auto"/>
              <w:highlight w:val="none"/>
            </w:rPr>
            <w:fldChar w:fldCharType="separate"/>
          </w:r>
          <w:r>
            <w:rPr>
              <w:color w:val="auto"/>
              <w:highlight w:val="none"/>
            </w:rPr>
            <w:t>49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7AF32E7">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_Toc21705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2总则</w:t>
          </w:r>
          <w:r>
            <w:rPr>
              <w:color w:val="auto"/>
              <w:highlight w:val="none"/>
            </w:rPr>
            <w:tab/>
          </w:r>
          <w:r>
            <w:rPr>
              <w:color w:val="auto"/>
              <w:highlight w:val="none"/>
            </w:rPr>
            <w:fldChar w:fldCharType="begin"/>
          </w:r>
          <w:r>
            <w:rPr>
              <w:color w:val="auto"/>
              <w:highlight w:val="none"/>
            </w:rPr>
            <w:instrText xml:space="preserve"> PAGEREF _Toc21705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CE33D0B">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_Toc13038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2.1评价目的</w:t>
          </w:r>
          <w:r>
            <w:rPr>
              <w:color w:val="auto"/>
              <w:highlight w:val="none"/>
            </w:rPr>
            <w:tab/>
          </w:r>
          <w:r>
            <w:rPr>
              <w:color w:val="auto"/>
              <w:highlight w:val="none"/>
            </w:rPr>
            <w:fldChar w:fldCharType="begin"/>
          </w:r>
          <w:r>
            <w:rPr>
              <w:color w:val="auto"/>
              <w:highlight w:val="none"/>
            </w:rPr>
            <w:instrText xml:space="preserve"> PAGEREF _Toc13038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E857689">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_Toc597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2.2评价原则</w:t>
          </w:r>
          <w:r>
            <w:rPr>
              <w:color w:val="auto"/>
              <w:highlight w:val="none"/>
            </w:rPr>
            <w:tab/>
          </w:r>
          <w:r>
            <w:rPr>
              <w:color w:val="auto"/>
              <w:highlight w:val="none"/>
            </w:rPr>
            <w:fldChar w:fldCharType="begin"/>
          </w:r>
          <w:r>
            <w:rPr>
              <w:color w:val="auto"/>
              <w:highlight w:val="none"/>
            </w:rPr>
            <w:instrText xml:space="preserve"> PAGEREF _Toc597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266F6F1">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_Toc16648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2.3编制依据</w:t>
          </w:r>
          <w:r>
            <w:rPr>
              <w:color w:val="auto"/>
              <w:highlight w:val="none"/>
            </w:rPr>
            <w:tab/>
          </w:r>
          <w:r>
            <w:rPr>
              <w:color w:val="auto"/>
              <w:highlight w:val="none"/>
            </w:rPr>
            <w:fldChar w:fldCharType="begin"/>
          </w:r>
          <w:r>
            <w:rPr>
              <w:color w:val="auto"/>
              <w:highlight w:val="none"/>
            </w:rPr>
            <w:instrText xml:space="preserve"> PAGEREF _Toc16648 \h </w:instrText>
          </w:r>
          <w:r>
            <w:rPr>
              <w:color w:val="auto"/>
              <w:highlight w:val="none"/>
            </w:rPr>
            <w:fldChar w:fldCharType="separate"/>
          </w:r>
          <w:r>
            <w:rPr>
              <w:color w:val="auto"/>
              <w:highlight w:val="none"/>
            </w:rPr>
            <w:t>51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D14E6C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_Toc5459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2.3.1相关法律、法规</w:t>
          </w:r>
          <w:r>
            <w:rPr>
              <w:color w:val="auto"/>
              <w:highlight w:val="none"/>
            </w:rPr>
            <w:tab/>
          </w:r>
          <w:r>
            <w:rPr>
              <w:color w:val="auto"/>
              <w:highlight w:val="none"/>
            </w:rPr>
            <w:fldChar w:fldCharType="begin"/>
          </w:r>
          <w:r>
            <w:rPr>
              <w:color w:val="auto"/>
              <w:highlight w:val="none"/>
            </w:rPr>
            <w:instrText xml:space="preserve"> PAGEREF _Toc5459 \h </w:instrText>
          </w:r>
          <w:r>
            <w:rPr>
              <w:color w:val="auto"/>
              <w:highlight w:val="none"/>
            </w:rPr>
            <w:fldChar w:fldCharType="separate"/>
          </w:r>
          <w:r>
            <w:rPr>
              <w:color w:val="auto"/>
              <w:highlight w:val="none"/>
            </w:rPr>
            <w:t>51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D8BB7A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_Toc26653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2.3.2行政法规及部门规章</w:t>
          </w:r>
          <w:r>
            <w:rPr>
              <w:color w:val="auto"/>
              <w:highlight w:val="none"/>
            </w:rPr>
            <w:tab/>
          </w:r>
          <w:r>
            <w:rPr>
              <w:color w:val="auto"/>
              <w:highlight w:val="none"/>
            </w:rPr>
            <w:fldChar w:fldCharType="begin"/>
          </w:r>
          <w:r>
            <w:rPr>
              <w:color w:val="auto"/>
              <w:highlight w:val="none"/>
            </w:rPr>
            <w:instrText xml:space="preserve"> PAGEREF _Toc26653 \h </w:instrText>
          </w:r>
          <w:r>
            <w:rPr>
              <w:color w:val="auto"/>
              <w:highlight w:val="none"/>
            </w:rPr>
            <w:fldChar w:fldCharType="separate"/>
          </w:r>
          <w:r>
            <w:rPr>
              <w:color w:val="auto"/>
              <w:highlight w:val="none"/>
            </w:rPr>
            <w:t>51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AA0E58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_Toc23305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2.3.3地方有关环境保护的规划和规定</w:t>
          </w:r>
          <w:r>
            <w:rPr>
              <w:color w:val="auto"/>
              <w:highlight w:val="none"/>
            </w:rPr>
            <w:tab/>
          </w:r>
          <w:r>
            <w:rPr>
              <w:color w:val="auto"/>
              <w:highlight w:val="none"/>
            </w:rPr>
            <w:fldChar w:fldCharType="begin"/>
          </w:r>
          <w:r>
            <w:rPr>
              <w:color w:val="auto"/>
              <w:highlight w:val="none"/>
            </w:rPr>
            <w:instrText xml:space="preserve"> PAGEREF _Toc23305 \h </w:instrText>
          </w:r>
          <w:r>
            <w:rPr>
              <w:color w:val="auto"/>
              <w:highlight w:val="none"/>
            </w:rPr>
            <w:fldChar w:fldCharType="separate"/>
          </w:r>
          <w:r>
            <w:rPr>
              <w:color w:val="auto"/>
              <w:highlight w:val="none"/>
            </w:rPr>
            <w:t>54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600F6E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_Toc30743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2.3.4相关技术规范</w:t>
          </w:r>
          <w:r>
            <w:rPr>
              <w:color w:val="auto"/>
              <w:highlight w:val="none"/>
            </w:rPr>
            <w:tab/>
          </w:r>
          <w:r>
            <w:rPr>
              <w:color w:val="auto"/>
              <w:highlight w:val="none"/>
            </w:rPr>
            <w:fldChar w:fldCharType="begin"/>
          </w:r>
          <w:r>
            <w:rPr>
              <w:color w:val="auto"/>
              <w:highlight w:val="none"/>
            </w:rPr>
            <w:instrText xml:space="preserve"> PAGEREF _Toc30743 \h </w:instrText>
          </w:r>
          <w:r>
            <w:rPr>
              <w:color w:val="auto"/>
              <w:highlight w:val="none"/>
            </w:rPr>
            <w:fldChar w:fldCharType="separate"/>
          </w:r>
          <w:r>
            <w:rPr>
              <w:color w:val="auto"/>
              <w:highlight w:val="none"/>
            </w:rPr>
            <w:t>55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8E38A2E">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_Toc22633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highlight w:val="none"/>
            </w:rPr>
            <w:t>2.4环境影响识别与评价因子筛选</w:t>
          </w:r>
          <w:r>
            <w:rPr>
              <w:color w:val="auto"/>
              <w:highlight w:val="none"/>
            </w:rPr>
            <w:tab/>
          </w:r>
          <w:r>
            <w:rPr>
              <w:color w:val="auto"/>
              <w:highlight w:val="none"/>
            </w:rPr>
            <w:fldChar w:fldCharType="begin"/>
          </w:r>
          <w:r>
            <w:rPr>
              <w:color w:val="auto"/>
              <w:highlight w:val="none"/>
            </w:rPr>
            <w:instrText xml:space="preserve"> PAGEREF _Toc22633 \h </w:instrText>
          </w:r>
          <w:r>
            <w:rPr>
              <w:color w:val="auto"/>
              <w:highlight w:val="none"/>
            </w:rPr>
            <w:fldChar w:fldCharType="separate"/>
          </w:r>
          <w:r>
            <w:rPr>
              <w:color w:val="auto"/>
              <w:highlight w:val="none"/>
            </w:rPr>
            <w:t>56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78F683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_Toc1583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2.4.1环境影响因素识别</w:t>
          </w:r>
          <w:r>
            <w:rPr>
              <w:color w:val="auto"/>
              <w:highlight w:val="none"/>
            </w:rPr>
            <w:tab/>
          </w:r>
          <w:r>
            <w:rPr>
              <w:color w:val="auto"/>
              <w:highlight w:val="none"/>
            </w:rPr>
            <w:fldChar w:fldCharType="begin"/>
          </w:r>
          <w:r>
            <w:rPr>
              <w:color w:val="auto"/>
              <w:highlight w:val="none"/>
            </w:rPr>
            <w:instrText xml:space="preserve"> PAGEREF _Toc1583 \h </w:instrText>
          </w:r>
          <w:r>
            <w:rPr>
              <w:color w:val="auto"/>
              <w:highlight w:val="none"/>
            </w:rPr>
            <w:fldChar w:fldCharType="separate"/>
          </w:r>
          <w:r>
            <w:rPr>
              <w:color w:val="auto"/>
              <w:highlight w:val="none"/>
            </w:rPr>
            <w:t>56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9C32FF8">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_Toc28949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2.4.2评价因子筛选</w:t>
          </w:r>
          <w:r>
            <w:rPr>
              <w:color w:val="auto"/>
              <w:highlight w:val="none"/>
            </w:rPr>
            <w:tab/>
          </w:r>
          <w:r>
            <w:rPr>
              <w:color w:val="auto"/>
              <w:highlight w:val="none"/>
            </w:rPr>
            <w:fldChar w:fldCharType="begin"/>
          </w:r>
          <w:r>
            <w:rPr>
              <w:color w:val="auto"/>
              <w:highlight w:val="none"/>
            </w:rPr>
            <w:instrText xml:space="preserve"> PAGEREF _Toc28949 \h </w:instrText>
          </w:r>
          <w:r>
            <w:rPr>
              <w:color w:val="auto"/>
              <w:highlight w:val="none"/>
            </w:rPr>
            <w:fldChar w:fldCharType="separate"/>
          </w:r>
          <w:r>
            <w:rPr>
              <w:color w:val="auto"/>
              <w:highlight w:val="none"/>
            </w:rPr>
            <w:t>58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3DC171F">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_Toc29292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2.5评价等级</w:t>
          </w:r>
          <w:r>
            <w:rPr>
              <w:color w:val="auto"/>
              <w:highlight w:val="none"/>
            </w:rPr>
            <w:tab/>
          </w:r>
          <w:r>
            <w:rPr>
              <w:color w:val="auto"/>
              <w:highlight w:val="none"/>
            </w:rPr>
            <w:fldChar w:fldCharType="begin"/>
          </w:r>
          <w:r>
            <w:rPr>
              <w:color w:val="auto"/>
              <w:highlight w:val="none"/>
            </w:rPr>
            <w:instrText xml:space="preserve"> PAGEREF _Toc29292 \h </w:instrText>
          </w:r>
          <w:r>
            <w:rPr>
              <w:color w:val="auto"/>
              <w:highlight w:val="none"/>
            </w:rPr>
            <w:fldChar w:fldCharType="separate"/>
          </w:r>
          <w:r>
            <w:rPr>
              <w:color w:val="auto"/>
              <w:highlight w:val="none"/>
            </w:rPr>
            <w:t>59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51A48E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_Toc3137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2.5.1环境空气</w:t>
          </w:r>
          <w:r>
            <w:rPr>
              <w:color w:val="auto"/>
              <w:highlight w:val="none"/>
            </w:rPr>
            <w:tab/>
          </w:r>
          <w:r>
            <w:rPr>
              <w:color w:val="auto"/>
              <w:highlight w:val="none"/>
            </w:rPr>
            <w:fldChar w:fldCharType="begin"/>
          </w:r>
          <w:r>
            <w:rPr>
              <w:color w:val="auto"/>
              <w:highlight w:val="none"/>
            </w:rPr>
            <w:instrText xml:space="preserve"> PAGEREF _Toc3137 \h </w:instrText>
          </w:r>
          <w:r>
            <w:rPr>
              <w:color w:val="auto"/>
              <w:highlight w:val="none"/>
            </w:rPr>
            <w:fldChar w:fldCharType="separate"/>
          </w:r>
          <w:r>
            <w:rPr>
              <w:color w:val="auto"/>
              <w:highlight w:val="none"/>
            </w:rPr>
            <w:t>59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3A5FFD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_Toc31084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2.5.2地表水</w:t>
          </w:r>
          <w:r>
            <w:rPr>
              <w:color w:val="auto"/>
              <w:highlight w:val="none"/>
            </w:rPr>
            <w:tab/>
          </w:r>
          <w:r>
            <w:rPr>
              <w:color w:val="auto"/>
              <w:highlight w:val="none"/>
            </w:rPr>
            <w:fldChar w:fldCharType="begin"/>
          </w:r>
          <w:r>
            <w:rPr>
              <w:color w:val="auto"/>
              <w:highlight w:val="none"/>
            </w:rPr>
            <w:instrText xml:space="preserve"> PAGEREF _Toc31084 \h </w:instrText>
          </w:r>
          <w:r>
            <w:rPr>
              <w:color w:val="auto"/>
              <w:highlight w:val="none"/>
            </w:rPr>
            <w:fldChar w:fldCharType="separate"/>
          </w:r>
          <w:r>
            <w:rPr>
              <w:color w:val="auto"/>
              <w:highlight w:val="none"/>
            </w:rPr>
            <w:t>63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D21C2B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_Toc1372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2.5.3地下水</w:t>
          </w:r>
          <w:r>
            <w:rPr>
              <w:color w:val="auto"/>
              <w:highlight w:val="none"/>
            </w:rPr>
            <w:tab/>
          </w:r>
          <w:r>
            <w:rPr>
              <w:color w:val="auto"/>
              <w:highlight w:val="none"/>
            </w:rPr>
            <w:fldChar w:fldCharType="begin"/>
          </w:r>
          <w:r>
            <w:rPr>
              <w:color w:val="auto"/>
              <w:highlight w:val="none"/>
            </w:rPr>
            <w:instrText xml:space="preserve"> PAGEREF _Toc1372 \h </w:instrText>
          </w:r>
          <w:r>
            <w:rPr>
              <w:color w:val="auto"/>
              <w:highlight w:val="none"/>
            </w:rPr>
            <w:fldChar w:fldCharType="separate"/>
          </w:r>
          <w:r>
            <w:rPr>
              <w:color w:val="auto"/>
              <w:highlight w:val="none"/>
            </w:rPr>
            <w:t>65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E0BC51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_Toc7397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2.5.4声环境</w:t>
          </w:r>
          <w:r>
            <w:rPr>
              <w:color w:val="auto"/>
              <w:highlight w:val="none"/>
            </w:rPr>
            <w:tab/>
          </w:r>
          <w:r>
            <w:rPr>
              <w:color w:val="auto"/>
              <w:highlight w:val="none"/>
            </w:rPr>
            <w:fldChar w:fldCharType="begin"/>
          </w:r>
          <w:r>
            <w:rPr>
              <w:color w:val="auto"/>
              <w:highlight w:val="none"/>
            </w:rPr>
            <w:instrText xml:space="preserve"> PAGEREF _Toc7397 \h </w:instrText>
          </w:r>
          <w:r>
            <w:rPr>
              <w:color w:val="auto"/>
              <w:highlight w:val="none"/>
            </w:rPr>
            <w:fldChar w:fldCharType="separate"/>
          </w:r>
          <w:r>
            <w:rPr>
              <w:color w:val="auto"/>
              <w:highlight w:val="none"/>
            </w:rPr>
            <w:t>67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475934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_Toc17194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2.5.5生态环境</w:t>
          </w:r>
          <w:r>
            <w:rPr>
              <w:color w:val="auto"/>
              <w:highlight w:val="none"/>
            </w:rPr>
            <w:tab/>
          </w:r>
          <w:r>
            <w:rPr>
              <w:color w:val="auto"/>
              <w:highlight w:val="none"/>
            </w:rPr>
            <w:fldChar w:fldCharType="begin"/>
          </w:r>
          <w:r>
            <w:rPr>
              <w:color w:val="auto"/>
              <w:highlight w:val="none"/>
            </w:rPr>
            <w:instrText xml:space="preserve"> PAGEREF _Toc17194 \h </w:instrText>
          </w:r>
          <w:r>
            <w:rPr>
              <w:color w:val="auto"/>
              <w:highlight w:val="none"/>
            </w:rPr>
            <w:fldChar w:fldCharType="separate"/>
          </w:r>
          <w:r>
            <w:rPr>
              <w:color w:val="auto"/>
              <w:highlight w:val="none"/>
            </w:rPr>
            <w:t>67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7B92B05">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_Toc27886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2.5.6环境风险</w:t>
          </w:r>
          <w:r>
            <w:rPr>
              <w:color w:val="auto"/>
              <w:highlight w:val="none"/>
            </w:rPr>
            <w:tab/>
          </w:r>
          <w:r>
            <w:rPr>
              <w:color w:val="auto"/>
              <w:highlight w:val="none"/>
            </w:rPr>
            <w:fldChar w:fldCharType="begin"/>
          </w:r>
          <w:r>
            <w:rPr>
              <w:color w:val="auto"/>
              <w:highlight w:val="none"/>
            </w:rPr>
            <w:instrText xml:space="preserve"> PAGEREF _Toc27886 \h </w:instrText>
          </w:r>
          <w:r>
            <w:rPr>
              <w:color w:val="auto"/>
              <w:highlight w:val="none"/>
            </w:rPr>
            <w:fldChar w:fldCharType="separate"/>
          </w:r>
          <w:r>
            <w:rPr>
              <w:color w:val="auto"/>
              <w:highlight w:val="none"/>
            </w:rPr>
            <w:t>68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F99B31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_Toc12377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2.5.7土壤环境</w:t>
          </w:r>
          <w:r>
            <w:rPr>
              <w:color w:val="auto"/>
              <w:highlight w:val="none"/>
            </w:rPr>
            <w:tab/>
          </w:r>
          <w:r>
            <w:rPr>
              <w:color w:val="auto"/>
              <w:highlight w:val="none"/>
            </w:rPr>
            <w:fldChar w:fldCharType="begin"/>
          </w:r>
          <w:r>
            <w:rPr>
              <w:color w:val="auto"/>
              <w:highlight w:val="none"/>
            </w:rPr>
            <w:instrText xml:space="preserve"> PAGEREF _Toc12377 \h </w:instrText>
          </w:r>
          <w:r>
            <w:rPr>
              <w:color w:val="auto"/>
              <w:highlight w:val="none"/>
            </w:rPr>
            <w:fldChar w:fldCharType="separate"/>
          </w:r>
          <w:r>
            <w:rPr>
              <w:color w:val="auto"/>
              <w:highlight w:val="none"/>
            </w:rPr>
            <w:t>72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D4E1C15">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_Toc8353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2.6评价范围及评价时段</w:t>
          </w:r>
          <w:r>
            <w:rPr>
              <w:color w:val="auto"/>
              <w:highlight w:val="none"/>
            </w:rPr>
            <w:tab/>
          </w:r>
          <w:r>
            <w:rPr>
              <w:color w:val="auto"/>
              <w:highlight w:val="none"/>
            </w:rPr>
            <w:fldChar w:fldCharType="begin"/>
          </w:r>
          <w:r>
            <w:rPr>
              <w:color w:val="auto"/>
              <w:highlight w:val="none"/>
            </w:rPr>
            <w:instrText xml:space="preserve"> PAGEREF _Toc8353 \h </w:instrText>
          </w:r>
          <w:r>
            <w:rPr>
              <w:color w:val="auto"/>
              <w:highlight w:val="none"/>
            </w:rPr>
            <w:fldChar w:fldCharType="separate"/>
          </w:r>
          <w:r>
            <w:rPr>
              <w:color w:val="auto"/>
              <w:highlight w:val="none"/>
            </w:rPr>
            <w:t>73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94F66D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_Toc27164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2.6.1评价范围</w:t>
          </w:r>
          <w:r>
            <w:rPr>
              <w:color w:val="auto"/>
              <w:highlight w:val="none"/>
            </w:rPr>
            <w:tab/>
          </w:r>
          <w:r>
            <w:rPr>
              <w:color w:val="auto"/>
              <w:highlight w:val="none"/>
            </w:rPr>
            <w:fldChar w:fldCharType="begin"/>
          </w:r>
          <w:r>
            <w:rPr>
              <w:color w:val="auto"/>
              <w:highlight w:val="none"/>
            </w:rPr>
            <w:instrText xml:space="preserve"> PAGEREF _Toc27164 \h </w:instrText>
          </w:r>
          <w:r>
            <w:rPr>
              <w:color w:val="auto"/>
              <w:highlight w:val="none"/>
            </w:rPr>
            <w:fldChar w:fldCharType="separate"/>
          </w:r>
          <w:r>
            <w:rPr>
              <w:color w:val="auto"/>
              <w:highlight w:val="none"/>
            </w:rPr>
            <w:t>74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CA6D67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_Toc8419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2.6.2评价时段</w:t>
          </w:r>
          <w:r>
            <w:rPr>
              <w:color w:val="auto"/>
              <w:highlight w:val="none"/>
            </w:rPr>
            <w:tab/>
          </w:r>
          <w:r>
            <w:rPr>
              <w:color w:val="auto"/>
              <w:highlight w:val="none"/>
            </w:rPr>
            <w:fldChar w:fldCharType="begin"/>
          </w:r>
          <w:r>
            <w:rPr>
              <w:color w:val="auto"/>
              <w:highlight w:val="none"/>
            </w:rPr>
            <w:instrText xml:space="preserve"> PAGEREF _Toc8419 \h </w:instrText>
          </w:r>
          <w:r>
            <w:rPr>
              <w:color w:val="auto"/>
              <w:highlight w:val="none"/>
            </w:rPr>
            <w:fldChar w:fldCharType="separate"/>
          </w:r>
          <w:r>
            <w:rPr>
              <w:color w:val="auto"/>
              <w:highlight w:val="none"/>
            </w:rPr>
            <w:t>76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CD954DA">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_Toc23639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2.7环境保护目标</w:t>
          </w:r>
          <w:r>
            <w:rPr>
              <w:color w:val="auto"/>
              <w:highlight w:val="none"/>
            </w:rPr>
            <w:tab/>
          </w:r>
          <w:r>
            <w:rPr>
              <w:color w:val="auto"/>
              <w:highlight w:val="none"/>
            </w:rPr>
            <w:fldChar w:fldCharType="begin"/>
          </w:r>
          <w:r>
            <w:rPr>
              <w:color w:val="auto"/>
              <w:highlight w:val="none"/>
            </w:rPr>
            <w:instrText xml:space="preserve"> PAGEREF _Toc23639 \h </w:instrText>
          </w:r>
          <w:r>
            <w:rPr>
              <w:color w:val="auto"/>
              <w:highlight w:val="none"/>
            </w:rPr>
            <w:fldChar w:fldCharType="separate"/>
          </w:r>
          <w:r>
            <w:rPr>
              <w:color w:val="auto"/>
              <w:highlight w:val="none"/>
            </w:rPr>
            <w:t>77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2BCCE74">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_Toc32336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2.8评价标准</w:t>
          </w:r>
          <w:r>
            <w:rPr>
              <w:color w:val="auto"/>
              <w:highlight w:val="none"/>
            </w:rPr>
            <w:tab/>
          </w:r>
          <w:r>
            <w:rPr>
              <w:color w:val="auto"/>
              <w:highlight w:val="none"/>
            </w:rPr>
            <w:fldChar w:fldCharType="begin"/>
          </w:r>
          <w:r>
            <w:rPr>
              <w:color w:val="auto"/>
              <w:highlight w:val="none"/>
            </w:rPr>
            <w:instrText xml:space="preserve"> PAGEREF _Toc32336 \h </w:instrText>
          </w:r>
          <w:r>
            <w:rPr>
              <w:color w:val="auto"/>
              <w:highlight w:val="none"/>
            </w:rPr>
            <w:fldChar w:fldCharType="separate"/>
          </w:r>
          <w:r>
            <w:rPr>
              <w:color w:val="auto"/>
              <w:highlight w:val="none"/>
            </w:rPr>
            <w:t>79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75183D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2.8.1环境质量标准</w:t>
          </w:r>
          <w:r>
            <w:rPr>
              <w:color w:val="auto"/>
              <w:highlight w:val="none"/>
            </w:rPr>
            <w:tab/>
          </w:r>
          <w:r>
            <w:rPr>
              <w:color w:val="auto"/>
              <w:highlight w:val="none"/>
            </w:rPr>
            <w:fldChar w:fldCharType="begin"/>
          </w:r>
          <w:r>
            <w:rPr>
              <w:color w:val="auto"/>
              <w:highlight w:val="none"/>
            </w:rPr>
            <w:instrText xml:space="preserve"> PAGEREF _Toc87 \h </w:instrText>
          </w:r>
          <w:r>
            <w:rPr>
              <w:color w:val="auto"/>
              <w:highlight w:val="none"/>
            </w:rPr>
            <w:fldChar w:fldCharType="separate"/>
          </w:r>
          <w:r>
            <w:rPr>
              <w:color w:val="auto"/>
              <w:highlight w:val="none"/>
            </w:rPr>
            <w:t>79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7F0CC9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_Toc21404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2.8.2污染物排放标准</w:t>
          </w:r>
          <w:r>
            <w:rPr>
              <w:color w:val="auto"/>
              <w:highlight w:val="none"/>
            </w:rPr>
            <w:tab/>
          </w:r>
          <w:r>
            <w:rPr>
              <w:color w:val="auto"/>
              <w:highlight w:val="none"/>
            </w:rPr>
            <w:fldChar w:fldCharType="begin"/>
          </w:r>
          <w:r>
            <w:rPr>
              <w:color w:val="auto"/>
              <w:highlight w:val="none"/>
            </w:rPr>
            <w:instrText xml:space="preserve"> PAGEREF _Toc21404 \h </w:instrText>
          </w:r>
          <w:r>
            <w:rPr>
              <w:color w:val="auto"/>
              <w:highlight w:val="none"/>
            </w:rPr>
            <w:fldChar w:fldCharType="separate"/>
          </w:r>
          <w:r>
            <w:rPr>
              <w:color w:val="auto"/>
              <w:highlight w:val="none"/>
            </w:rPr>
            <w:t>83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7072575">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_Toc23091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3建设项目工程分析</w:t>
          </w:r>
          <w:r>
            <w:rPr>
              <w:color w:val="auto"/>
              <w:highlight w:val="none"/>
            </w:rPr>
            <w:tab/>
          </w:r>
          <w:r>
            <w:rPr>
              <w:color w:val="auto"/>
              <w:highlight w:val="none"/>
            </w:rPr>
            <w:fldChar w:fldCharType="begin"/>
          </w:r>
          <w:r>
            <w:rPr>
              <w:color w:val="auto"/>
              <w:highlight w:val="none"/>
            </w:rPr>
            <w:instrText xml:space="preserve"> PAGEREF _Toc23091 \h </w:instrText>
          </w:r>
          <w:r>
            <w:rPr>
              <w:color w:val="auto"/>
              <w:highlight w:val="none"/>
            </w:rPr>
            <w:fldChar w:fldCharType="separate"/>
          </w:r>
          <w:r>
            <w:rPr>
              <w:color w:val="auto"/>
              <w:highlight w:val="none"/>
            </w:rPr>
            <w:t>87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C8D9EE2">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_Toc24553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kern w:val="0"/>
              <w:highlight w:val="none"/>
            </w:rPr>
            <w:t>3.1项目概况</w:t>
          </w:r>
          <w:r>
            <w:rPr>
              <w:color w:val="auto"/>
              <w:highlight w:val="none"/>
            </w:rPr>
            <w:tab/>
          </w:r>
          <w:r>
            <w:rPr>
              <w:color w:val="auto"/>
              <w:highlight w:val="none"/>
            </w:rPr>
            <w:fldChar w:fldCharType="begin"/>
          </w:r>
          <w:r>
            <w:rPr>
              <w:color w:val="auto"/>
              <w:highlight w:val="none"/>
            </w:rPr>
            <w:instrText xml:space="preserve"> PAGEREF _Toc24553 \h </w:instrText>
          </w:r>
          <w:r>
            <w:rPr>
              <w:color w:val="auto"/>
              <w:highlight w:val="none"/>
            </w:rPr>
            <w:fldChar w:fldCharType="separate"/>
          </w:r>
          <w:r>
            <w:rPr>
              <w:color w:val="auto"/>
              <w:highlight w:val="none"/>
            </w:rPr>
            <w:t>87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E5554B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_Toc29255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3.1.1项目名称及基本组成</w:t>
          </w:r>
          <w:r>
            <w:rPr>
              <w:color w:val="auto"/>
              <w:highlight w:val="none"/>
            </w:rPr>
            <w:tab/>
          </w:r>
          <w:r>
            <w:rPr>
              <w:color w:val="auto"/>
              <w:highlight w:val="none"/>
            </w:rPr>
            <w:fldChar w:fldCharType="begin"/>
          </w:r>
          <w:r>
            <w:rPr>
              <w:color w:val="auto"/>
              <w:highlight w:val="none"/>
            </w:rPr>
            <w:instrText xml:space="preserve"> PAGEREF _Toc29255 \h </w:instrText>
          </w:r>
          <w:r>
            <w:rPr>
              <w:color w:val="auto"/>
              <w:highlight w:val="none"/>
            </w:rPr>
            <w:fldChar w:fldCharType="separate"/>
          </w:r>
          <w:r>
            <w:rPr>
              <w:color w:val="auto"/>
              <w:highlight w:val="none"/>
            </w:rPr>
            <w:t>87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14A695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_Toc16609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3.1.2建设规模及建设内容</w:t>
          </w:r>
          <w:r>
            <w:rPr>
              <w:color w:val="auto"/>
              <w:highlight w:val="none"/>
            </w:rPr>
            <w:tab/>
          </w:r>
          <w:r>
            <w:rPr>
              <w:color w:val="auto"/>
              <w:highlight w:val="none"/>
            </w:rPr>
            <w:fldChar w:fldCharType="begin"/>
          </w:r>
          <w:r>
            <w:rPr>
              <w:color w:val="auto"/>
              <w:highlight w:val="none"/>
            </w:rPr>
            <w:instrText xml:space="preserve"> PAGEREF _Toc16609 \h </w:instrText>
          </w:r>
          <w:r>
            <w:rPr>
              <w:color w:val="auto"/>
              <w:highlight w:val="none"/>
            </w:rPr>
            <w:fldChar w:fldCharType="separate"/>
          </w:r>
          <w:r>
            <w:rPr>
              <w:color w:val="auto"/>
              <w:highlight w:val="none"/>
            </w:rPr>
            <w:t>87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D901B6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_Toc13155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3.1.3主要原辅材料消耗</w:t>
          </w:r>
          <w:r>
            <w:rPr>
              <w:color w:val="auto"/>
              <w:highlight w:val="none"/>
            </w:rPr>
            <w:tab/>
          </w:r>
          <w:r>
            <w:rPr>
              <w:color w:val="auto"/>
              <w:highlight w:val="none"/>
            </w:rPr>
            <w:fldChar w:fldCharType="begin"/>
          </w:r>
          <w:r>
            <w:rPr>
              <w:color w:val="auto"/>
              <w:highlight w:val="none"/>
            </w:rPr>
            <w:instrText xml:space="preserve"> PAGEREF _Toc13155 \h </w:instrText>
          </w:r>
          <w:r>
            <w:rPr>
              <w:color w:val="auto"/>
              <w:highlight w:val="none"/>
            </w:rPr>
            <w:fldChar w:fldCharType="separate"/>
          </w:r>
          <w:r>
            <w:rPr>
              <w:color w:val="auto"/>
              <w:highlight w:val="none"/>
            </w:rPr>
            <w:t>90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0B6530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_Toc12955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3.1.4产品方案</w:t>
          </w:r>
          <w:r>
            <w:rPr>
              <w:color w:val="auto"/>
              <w:highlight w:val="none"/>
            </w:rPr>
            <w:tab/>
          </w:r>
          <w:r>
            <w:rPr>
              <w:color w:val="auto"/>
              <w:highlight w:val="none"/>
            </w:rPr>
            <w:fldChar w:fldCharType="begin"/>
          </w:r>
          <w:r>
            <w:rPr>
              <w:color w:val="auto"/>
              <w:highlight w:val="none"/>
            </w:rPr>
            <w:instrText xml:space="preserve"> PAGEREF _Toc12955 \h </w:instrText>
          </w:r>
          <w:r>
            <w:rPr>
              <w:color w:val="auto"/>
              <w:highlight w:val="none"/>
            </w:rPr>
            <w:fldChar w:fldCharType="separate"/>
          </w:r>
          <w:r>
            <w:rPr>
              <w:color w:val="auto"/>
              <w:highlight w:val="none"/>
            </w:rPr>
            <w:t>90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A1F7168">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_Toc7083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3.1.5生产设备</w:t>
          </w:r>
          <w:r>
            <w:rPr>
              <w:color w:val="auto"/>
              <w:highlight w:val="none"/>
            </w:rPr>
            <w:tab/>
          </w:r>
          <w:r>
            <w:rPr>
              <w:color w:val="auto"/>
              <w:highlight w:val="none"/>
            </w:rPr>
            <w:fldChar w:fldCharType="begin"/>
          </w:r>
          <w:r>
            <w:rPr>
              <w:color w:val="auto"/>
              <w:highlight w:val="none"/>
            </w:rPr>
            <w:instrText xml:space="preserve"> PAGEREF _Toc7083 \h </w:instrText>
          </w:r>
          <w:r>
            <w:rPr>
              <w:color w:val="auto"/>
              <w:highlight w:val="none"/>
            </w:rPr>
            <w:fldChar w:fldCharType="separate"/>
          </w:r>
          <w:r>
            <w:rPr>
              <w:color w:val="auto"/>
              <w:highlight w:val="none"/>
            </w:rPr>
            <w:t>90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0B1671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_Toc11144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eastAsia="黑体" w:cs="Times New Roman"/>
              <w:bCs/>
              <w:color w:val="auto"/>
              <w:kern w:val="2"/>
              <w:szCs w:val="32"/>
              <w:highlight w:val="none"/>
              <w:lang w:val="en-US" w:eastAsia="zh-CN" w:bidi="ar-SA"/>
            </w:rPr>
            <w:t>3.1</w:t>
          </w:r>
          <w:r>
            <w:rPr>
              <w:rFonts w:hint="default" w:ascii="Times New Roman" w:hAnsi="Times New Roman" w:eastAsia="宋体" w:cs="Times New Roman"/>
              <w:color w:val="auto"/>
              <w:highlight w:val="none"/>
              <w:lang w:val="en-US" w:eastAsia="zh-CN"/>
            </w:rPr>
            <w:t>.6项目总图布置及合理性</w:t>
          </w:r>
          <w:r>
            <w:rPr>
              <w:color w:val="auto"/>
              <w:highlight w:val="none"/>
            </w:rPr>
            <w:tab/>
          </w:r>
          <w:r>
            <w:rPr>
              <w:color w:val="auto"/>
              <w:highlight w:val="none"/>
            </w:rPr>
            <w:fldChar w:fldCharType="begin"/>
          </w:r>
          <w:r>
            <w:rPr>
              <w:color w:val="auto"/>
              <w:highlight w:val="none"/>
            </w:rPr>
            <w:instrText xml:space="preserve"> PAGEREF _Toc11144 \h </w:instrText>
          </w:r>
          <w:r>
            <w:rPr>
              <w:color w:val="auto"/>
              <w:highlight w:val="none"/>
            </w:rPr>
            <w:fldChar w:fldCharType="separate"/>
          </w:r>
          <w:r>
            <w:rPr>
              <w:color w:val="auto"/>
              <w:highlight w:val="none"/>
            </w:rPr>
            <w:t>91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6CAEB7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_Toc23863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3.1.</w:t>
          </w:r>
          <w:r>
            <w:rPr>
              <w:rFonts w:hint="default" w:ascii="Times New Roman" w:hAnsi="Times New Roman" w:cs="Times New Roman"/>
              <w:color w:val="auto"/>
              <w:highlight w:val="none"/>
              <w:lang w:val="en-US" w:eastAsia="zh-CN"/>
            </w:rPr>
            <w:t>7土方平衡</w:t>
          </w:r>
          <w:r>
            <w:rPr>
              <w:color w:val="auto"/>
              <w:highlight w:val="none"/>
            </w:rPr>
            <w:tab/>
          </w:r>
          <w:r>
            <w:rPr>
              <w:color w:val="auto"/>
              <w:highlight w:val="none"/>
            </w:rPr>
            <w:fldChar w:fldCharType="begin"/>
          </w:r>
          <w:r>
            <w:rPr>
              <w:color w:val="auto"/>
              <w:highlight w:val="none"/>
            </w:rPr>
            <w:instrText xml:space="preserve"> PAGEREF _Toc23863 \h </w:instrText>
          </w:r>
          <w:r>
            <w:rPr>
              <w:color w:val="auto"/>
              <w:highlight w:val="none"/>
            </w:rPr>
            <w:fldChar w:fldCharType="separate"/>
          </w:r>
          <w:r>
            <w:rPr>
              <w:color w:val="auto"/>
              <w:highlight w:val="none"/>
            </w:rPr>
            <w:t>92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2A16B7C">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_Toc7429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kern w:val="0"/>
              <w:highlight w:val="none"/>
            </w:rPr>
            <w:t>3.2公用及辅助工程</w:t>
          </w:r>
          <w:r>
            <w:rPr>
              <w:color w:val="auto"/>
              <w:highlight w:val="none"/>
            </w:rPr>
            <w:tab/>
          </w:r>
          <w:r>
            <w:rPr>
              <w:color w:val="auto"/>
              <w:highlight w:val="none"/>
            </w:rPr>
            <w:fldChar w:fldCharType="begin"/>
          </w:r>
          <w:r>
            <w:rPr>
              <w:color w:val="auto"/>
              <w:highlight w:val="none"/>
            </w:rPr>
            <w:instrText xml:space="preserve"> PAGEREF _Toc7429 \h </w:instrText>
          </w:r>
          <w:r>
            <w:rPr>
              <w:color w:val="auto"/>
              <w:highlight w:val="none"/>
            </w:rPr>
            <w:fldChar w:fldCharType="separate"/>
          </w:r>
          <w:r>
            <w:rPr>
              <w:color w:val="auto"/>
              <w:highlight w:val="none"/>
            </w:rPr>
            <w:t>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E57F25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_Toc13558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3.2.1给水工程</w:t>
          </w:r>
          <w:r>
            <w:rPr>
              <w:color w:val="auto"/>
              <w:highlight w:val="none"/>
            </w:rPr>
            <w:tab/>
          </w:r>
          <w:r>
            <w:rPr>
              <w:color w:val="auto"/>
              <w:highlight w:val="none"/>
            </w:rPr>
            <w:fldChar w:fldCharType="begin"/>
          </w:r>
          <w:r>
            <w:rPr>
              <w:color w:val="auto"/>
              <w:highlight w:val="none"/>
            </w:rPr>
            <w:instrText xml:space="preserve"> PAGEREF _Toc13558 \h </w:instrText>
          </w:r>
          <w:r>
            <w:rPr>
              <w:color w:val="auto"/>
              <w:highlight w:val="none"/>
            </w:rPr>
            <w:fldChar w:fldCharType="separate"/>
          </w:r>
          <w:r>
            <w:rPr>
              <w:color w:val="auto"/>
              <w:highlight w:val="none"/>
            </w:rPr>
            <w:t>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166911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_Toc9542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3.2.2排水工程</w:t>
          </w:r>
          <w:r>
            <w:rPr>
              <w:color w:val="auto"/>
              <w:highlight w:val="none"/>
            </w:rPr>
            <w:tab/>
          </w:r>
          <w:r>
            <w:rPr>
              <w:color w:val="auto"/>
              <w:highlight w:val="none"/>
            </w:rPr>
            <w:fldChar w:fldCharType="begin"/>
          </w:r>
          <w:r>
            <w:rPr>
              <w:color w:val="auto"/>
              <w:highlight w:val="none"/>
            </w:rPr>
            <w:instrText xml:space="preserve"> PAGEREF _Toc9542 \h </w:instrText>
          </w:r>
          <w:r>
            <w:rPr>
              <w:color w:val="auto"/>
              <w:highlight w:val="none"/>
            </w:rPr>
            <w:fldChar w:fldCharType="separate"/>
          </w:r>
          <w:r>
            <w:rPr>
              <w:color w:val="auto"/>
              <w:highlight w:val="none"/>
            </w:rPr>
            <w:t>94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3FF0D6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_Toc12639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3.2.3供热工程</w:t>
          </w:r>
          <w:r>
            <w:rPr>
              <w:color w:val="auto"/>
              <w:highlight w:val="none"/>
            </w:rPr>
            <w:tab/>
          </w:r>
          <w:r>
            <w:rPr>
              <w:color w:val="auto"/>
              <w:highlight w:val="none"/>
            </w:rPr>
            <w:fldChar w:fldCharType="begin"/>
          </w:r>
          <w:r>
            <w:rPr>
              <w:color w:val="auto"/>
              <w:highlight w:val="none"/>
            </w:rPr>
            <w:instrText xml:space="preserve"> PAGEREF _Toc12639 \h </w:instrText>
          </w:r>
          <w:r>
            <w:rPr>
              <w:color w:val="auto"/>
              <w:highlight w:val="none"/>
            </w:rPr>
            <w:fldChar w:fldCharType="separate"/>
          </w:r>
          <w:r>
            <w:rPr>
              <w:color w:val="auto"/>
              <w:highlight w:val="none"/>
            </w:rPr>
            <w:t>98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B085DB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_Toc9641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3.2.4供电工程</w:t>
          </w:r>
          <w:r>
            <w:rPr>
              <w:color w:val="auto"/>
              <w:highlight w:val="none"/>
            </w:rPr>
            <w:tab/>
          </w:r>
          <w:r>
            <w:rPr>
              <w:color w:val="auto"/>
              <w:highlight w:val="none"/>
            </w:rPr>
            <w:fldChar w:fldCharType="begin"/>
          </w:r>
          <w:r>
            <w:rPr>
              <w:color w:val="auto"/>
              <w:highlight w:val="none"/>
            </w:rPr>
            <w:instrText xml:space="preserve"> PAGEREF _Toc9641 \h </w:instrText>
          </w:r>
          <w:r>
            <w:rPr>
              <w:color w:val="auto"/>
              <w:highlight w:val="none"/>
            </w:rPr>
            <w:fldChar w:fldCharType="separate"/>
          </w:r>
          <w:r>
            <w:rPr>
              <w:color w:val="auto"/>
              <w:highlight w:val="none"/>
            </w:rPr>
            <w:t>98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D0D0336">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_Toc12277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3.2.5通风工程</w:t>
          </w:r>
          <w:r>
            <w:rPr>
              <w:color w:val="auto"/>
              <w:highlight w:val="none"/>
            </w:rPr>
            <w:tab/>
          </w:r>
          <w:r>
            <w:rPr>
              <w:color w:val="auto"/>
              <w:highlight w:val="none"/>
            </w:rPr>
            <w:fldChar w:fldCharType="begin"/>
          </w:r>
          <w:r>
            <w:rPr>
              <w:color w:val="auto"/>
              <w:highlight w:val="none"/>
            </w:rPr>
            <w:instrText xml:space="preserve"> PAGEREF _Toc12277 \h </w:instrText>
          </w:r>
          <w:r>
            <w:rPr>
              <w:color w:val="auto"/>
              <w:highlight w:val="none"/>
            </w:rPr>
            <w:fldChar w:fldCharType="separate"/>
          </w:r>
          <w:r>
            <w:rPr>
              <w:color w:val="auto"/>
              <w:highlight w:val="none"/>
            </w:rPr>
            <w:t>98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C3285F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_Toc2244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3.2.6消防工程</w:t>
          </w:r>
          <w:r>
            <w:rPr>
              <w:color w:val="auto"/>
              <w:highlight w:val="none"/>
            </w:rPr>
            <w:tab/>
          </w:r>
          <w:r>
            <w:rPr>
              <w:color w:val="auto"/>
              <w:highlight w:val="none"/>
            </w:rPr>
            <w:fldChar w:fldCharType="begin"/>
          </w:r>
          <w:r>
            <w:rPr>
              <w:color w:val="auto"/>
              <w:highlight w:val="none"/>
            </w:rPr>
            <w:instrText xml:space="preserve"> PAGEREF _Toc2244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017BEC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_Toc20398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3.2.7劳动定员及工作制度</w:t>
          </w:r>
          <w:r>
            <w:rPr>
              <w:color w:val="auto"/>
              <w:highlight w:val="none"/>
            </w:rPr>
            <w:tab/>
          </w:r>
          <w:r>
            <w:rPr>
              <w:color w:val="auto"/>
              <w:highlight w:val="none"/>
            </w:rPr>
            <w:fldChar w:fldCharType="begin"/>
          </w:r>
          <w:r>
            <w:rPr>
              <w:color w:val="auto"/>
              <w:highlight w:val="none"/>
            </w:rPr>
            <w:instrText xml:space="preserve"> PAGEREF _Toc20398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32E7988">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_Toc7582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3.2.8投资和筹措途径</w:t>
          </w:r>
          <w:r>
            <w:rPr>
              <w:color w:val="auto"/>
              <w:highlight w:val="none"/>
            </w:rPr>
            <w:tab/>
          </w:r>
          <w:r>
            <w:rPr>
              <w:color w:val="auto"/>
              <w:highlight w:val="none"/>
            </w:rPr>
            <w:fldChar w:fldCharType="begin"/>
          </w:r>
          <w:r>
            <w:rPr>
              <w:color w:val="auto"/>
              <w:highlight w:val="none"/>
            </w:rPr>
            <w:instrText xml:space="preserve"> PAGEREF _Toc7582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9CF4F5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_Toc18355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3.2.9项目实施计划</w:t>
          </w:r>
          <w:r>
            <w:rPr>
              <w:color w:val="auto"/>
              <w:highlight w:val="none"/>
            </w:rPr>
            <w:tab/>
          </w:r>
          <w:r>
            <w:rPr>
              <w:color w:val="auto"/>
              <w:highlight w:val="none"/>
            </w:rPr>
            <w:fldChar w:fldCharType="begin"/>
          </w:r>
          <w:r>
            <w:rPr>
              <w:color w:val="auto"/>
              <w:highlight w:val="none"/>
            </w:rPr>
            <w:instrText xml:space="preserve"> PAGEREF _Toc18355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C475050">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_Toc23029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kern w:val="0"/>
              <w:highlight w:val="none"/>
            </w:rPr>
            <w:t>3.3项目生产工艺及产污环节</w:t>
          </w:r>
          <w:r>
            <w:rPr>
              <w:color w:val="auto"/>
              <w:highlight w:val="none"/>
            </w:rPr>
            <w:tab/>
          </w:r>
          <w:r>
            <w:rPr>
              <w:color w:val="auto"/>
              <w:highlight w:val="none"/>
            </w:rPr>
            <w:fldChar w:fldCharType="begin"/>
          </w:r>
          <w:r>
            <w:rPr>
              <w:color w:val="auto"/>
              <w:highlight w:val="none"/>
            </w:rPr>
            <w:instrText xml:space="preserve"> PAGEREF _Toc23029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AA3B35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_Toc19742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3.3.1施工期工艺流程及产污环节分析</w:t>
          </w:r>
          <w:r>
            <w:rPr>
              <w:color w:val="auto"/>
              <w:highlight w:val="none"/>
            </w:rPr>
            <w:tab/>
          </w:r>
          <w:r>
            <w:rPr>
              <w:color w:val="auto"/>
              <w:highlight w:val="none"/>
            </w:rPr>
            <w:fldChar w:fldCharType="begin"/>
          </w:r>
          <w:r>
            <w:rPr>
              <w:color w:val="auto"/>
              <w:highlight w:val="none"/>
            </w:rPr>
            <w:instrText xml:space="preserve"> PAGEREF _Toc19742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8CCF4C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_Toc9094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3.3.2运营期工艺流程及产污环节分析</w:t>
          </w:r>
          <w:r>
            <w:rPr>
              <w:color w:val="auto"/>
              <w:highlight w:val="none"/>
            </w:rPr>
            <w:tab/>
          </w:r>
          <w:r>
            <w:rPr>
              <w:color w:val="auto"/>
              <w:highlight w:val="none"/>
            </w:rPr>
            <w:fldChar w:fldCharType="begin"/>
          </w:r>
          <w:r>
            <w:rPr>
              <w:color w:val="auto"/>
              <w:highlight w:val="none"/>
            </w:rPr>
            <w:instrText xml:space="preserve"> PAGEREF _Toc9094 \h </w:instrText>
          </w:r>
          <w:r>
            <w:rPr>
              <w:color w:val="auto"/>
              <w:highlight w:val="none"/>
            </w:rPr>
            <w:fldChar w:fldCharType="separate"/>
          </w:r>
          <w:r>
            <w:rPr>
              <w:color w:val="auto"/>
              <w:highlight w:val="none"/>
            </w:rPr>
            <w:t>100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19D7BC7">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_Toc18330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kern w:val="0"/>
              <w:highlight w:val="none"/>
            </w:rPr>
            <w:t>3.4工程污染源强分析</w:t>
          </w:r>
          <w:r>
            <w:rPr>
              <w:color w:val="auto"/>
              <w:highlight w:val="none"/>
            </w:rPr>
            <w:tab/>
          </w:r>
          <w:r>
            <w:rPr>
              <w:color w:val="auto"/>
              <w:highlight w:val="none"/>
            </w:rPr>
            <w:fldChar w:fldCharType="begin"/>
          </w:r>
          <w:r>
            <w:rPr>
              <w:color w:val="auto"/>
              <w:highlight w:val="none"/>
            </w:rPr>
            <w:instrText xml:space="preserve"> PAGEREF _Toc18330 \h </w:instrText>
          </w:r>
          <w:r>
            <w:rPr>
              <w:color w:val="auto"/>
              <w:highlight w:val="none"/>
            </w:rPr>
            <w:fldChar w:fldCharType="separate"/>
          </w:r>
          <w:r>
            <w:rPr>
              <w:color w:val="auto"/>
              <w:highlight w:val="none"/>
            </w:rPr>
            <w:t>105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66011C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3.4.1施工期污染源强及源强分析</w:t>
          </w:r>
          <w:r>
            <w:rPr>
              <w:color w:val="auto"/>
              <w:highlight w:val="none"/>
            </w:rPr>
            <w:tab/>
          </w:r>
          <w:r>
            <w:rPr>
              <w:color w:val="auto"/>
              <w:highlight w:val="none"/>
            </w:rPr>
            <w:fldChar w:fldCharType="begin"/>
          </w:r>
          <w:r>
            <w:rPr>
              <w:color w:val="auto"/>
              <w:highlight w:val="none"/>
            </w:rPr>
            <w:instrText xml:space="preserve"> PAGEREF _Toc168 \h </w:instrText>
          </w:r>
          <w:r>
            <w:rPr>
              <w:color w:val="auto"/>
              <w:highlight w:val="none"/>
            </w:rPr>
            <w:fldChar w:fldCharType="separate"/>
          </w:r>
          <w:r>
            <w:rPr>
              <w:color w:val="auto"/>
              <w:highlight w:val="none"/>
            </w:rPr>
            <w:t>105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8C62A1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_Toc21523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3.4.2运营期污染源及源强分析</w:t>
          </w:r>
          <w:r>
            <w:rPr>
              <w:color w:val="auto"/>
              <w:highlight w:val="none"/>
            </w:rPr>
            <w:tab/>
          </w:r>
          <w:r>
            <w:rPr>
              <w:color w:val="auto"/>
              <w:highlight w:val="none"/>
            </w:rPr>
            <w:fldChar w:fldCharType="begin"/>
          </w:r>
          <w:r>
            <w:rPr>
              <w:color w:val="auto"/>
              <w:highlight w:val="none"/>
            </w:rPr>
            <w:instrText xml:space="preserve"> PAGEREF _Toc21523 \h </w:instrText>
          </w:r>
          <w:r>
            <w:rPr>
              <w:color w:val="auto"/>
              <w:highlight w:val="none"/>
            </w:rPr>
            <w:fldChar w:fldCharType="separate"/>
          </w:r>
          <w:r>
            <w:rPr>
              <w:color w:val="auto"/>
              <w:highlight w:val="none"/>
            </w:rPr>
            <w:t>107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1A1CDF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_Toc21184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3.4.3环境风险识别</w:t>
          </w:r>
          <w:r>
            <w:rPr>
              <w:color w:val="auto"/>
              <w:highlight w:val="none"/>
            </w:rPr>
            <w:tab/>
          </w:r>
          <w:r>
            <w:rPr>
              <w:color w:val="auto"/>
              <w:highlight w:val="none"/>
            </w:rPr>
            <w:fldChar w:fldCharType="begin"/>
          </w:r>
          <w:r>
            <w:rPr>
              <w:color w:val="auto"/>
              <w:highlight w:val="none"/>
            </w:rPr>
            <w:instrText xml:space="preserve"> PAGEREF _Toc21184 \h </w:instrText>
          </w:r>
          <w:r>
            <w:rPr>
              <w:color w:val="auto"/>
              <w:highlight w:val="none"/>
            </w:rPr>
            <w:fldChar w:fldCharType="separate"/>
          </w:r>
          <w:r>
            <w:rPr>
              <w:color w:val="auto"/>
              <w:highlight w:val="none"/>
            </w:rPr>
            <w:t>121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32FEBF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_Toc19930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3.4.4清洁生产</w:t>
          </w:r>
          <w:r>
            <w:rPr>
              <w:color w:val="auto"/>
              <w:highlight w:val="none"/>
            </w:rPr>
            <w:tab/>
          </w:r>
          <w:r>
            <w:rPr>
              <w:color w:val="auto"/>
              <w:highlight w:val="none"/>
            </w:rPr>
            <w:fldChar w:fldCharType="begin"/>
          </w:r>
          <w:r>
            <w:rPr>
              <w:color w:val="auto"/>
              <w:highlight w:val="none"/>
            </w:rPr>
            <w:instrText xml:space="preserve"> PAGEREF _Toc19930 \h </w:instrText>
          </w:r>
          <w:r>
            <w:rPr>
              <w:color w:val="auto"/>
              <w:highlight w:val="none"/>
            </w:rPr>
            <w:fldChar w:fldCharType="separate"/>
          </w:r>
          <w:r>
            <w:rPr>
              <w:color w:val="auto"/>
              <w:highlight w:val="none"/>
            </w:rPr>
            <w:t>125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9D1CD4A">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_Toc4441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4环境现状调查与评价</w:t>
          </w:r>
          <w:r>
            <w:rPr>
              <w:color w:val="auto"/>
              <w:highlight w:val="none"/>
            </w:rPr>
            <w:tab/>
          </w:r>
          <w:r>
            <w:rPr>
              <w:color w:val="auto"/>
              <w:highlight w:val="none"/>
            </w:rPr>
            <w:fldChar w:fldCharType="begin"/>
          </w:r>
          <w:r>
            <w:rPr>
              <w:color w:val="auto"/>
              <w:highlight w:val="none"/>
            </w:rPr>
            <w:instrText xml:space="preserve"> PAGEREF _Toc4441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D42CAA8">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_Toc6628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4.1环境现状调查</w:t>
          </w:r>
          <w:r>
            <w:rPr>
              <w:color w:val="auto"/>
              <w:highlight w:val="none"/>
            </w:rPr>
            <w:tab/>
          </w:r>
          <w:r>
            <w:rPr>
              <w:color w:val="auto"/>
              <w:highlight w:val="none"/>
            </w:rPr>
            <w:fldChar w:fldCharType="begin"/>
          </w:r>
          <w:r>
            <w:rPr>
              <w:color w:val="auto"/>
              <w:highlight w:val="none"/>
            </w:rPr>
            <w:instrText xml:space="preserve"> PAGEREF _Toc6628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D518A2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_Toc29407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4.1.1自然环境</w:t>
          </w:r>
          <w:r>
            <w:rPr>
              <w:color w:val="auto"/>
              <w:highlight w:val="none"/>
            </w:rPr>
            <w:tab/>
          </w:r>
          <w:r>
            <w:rPr>
              <w:color w:val="auto"/>
              <w:highlight w:val="none"/>
            </w:rPr>
            <w:fldChar w:fldCharType="begin"/>
          </w:r>
          <w:r>
            <w:rPr>
              <w:color w:val="auto"/>
              <w:highlight w:val="none"/>
            </w:rPr>
            <w:instrText xml:space="preserve"> PAGEREF _Toc29407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5C46B7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_Toc3343 </w:instrText>
          </w:r>
          <w:r>
            <w:rPr>
              <w:rFonts w:hint="default" w:ascii="Times New Roman" w:hAnsi="Times New Roman" w:eastAsia="仿宋" w:cs="Times New Roman"/>
              <w:caps/>
              <w:color w:val="auto"/>
              <w:kern w:val="0"/>
              <w:szCs w:val="21"/>
              <w:highlight w:val="none"/>
            </w:rPr>
            <w:fldChar w:fldCharType="separate"/>
          </w:r>
          <w:r>
            <w:rPr>
              <w:rFonts w:hint="eastAsia" w:ascii="Times New Roman" w:hAnsi="Times New Roman" w:cs="Times New Roman"/>
              <w:color w:val="auto"/>
              <w:highlight w:val="none"/>
              <w:lang w:val="en-US" w:eastAsia="zh-CN"/>
            </w:rPr>
            <w:t>4.1.2环境保护目标调查</w:t>
          </w:r>
          <w:r>
            <w:rPr>
              <w:color w:val="auto"/>
              <w:highlight w:val="none"/>
            </w:rPr>
            <w:tab/>
          </w:r>
          <w:r>
            <w:rPr>
              <w:color w:val="auto"/>
              <w:highlight w:val="none"/>
            </w:rPr>
            <w:fldChar w:fldCharType="begin"/>
          </w:r>
          <w:r>
            <w:rPr>
              <w:color w:val="auto"/>
              <w:highlight w:val="none"/>
            </w:rPr>
            <w:instrText xml:space="preserve"> PAGEREF _Toc3343 \h </w:instrText>
          </w:r>
          <w:r>
            <w:rPr>
              <w:color w:val="auto"/>
              <w:highlight w:val="none"/>
            </w:rPr>
            <w:fldChar w:fldCharType="separate"/>
          </w:r>
          <w:r>
            <w:rPr>
              <w:color w:val="auto"/>
              <w:highlight w:val="none"/>
            </w:rPr>
            <w:t>132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7D2EC3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_Toc6878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4.1.</w:t>
          </w:r>
          <w:r>
            <w:rPr>
              <w:rFonts w:hint="eastAsia" w:cs="Times New Roman"/>
              <w:color w:val="auto"/>
              <w:highlight w:val="none"/>
              <w:lang w:val="en-US" w:eastAsia="zh-CN"/>
            </w:rPr>
            <w:t>3</w:t>
          </w:r>
          <w:r>
            <w:rPr>
              <w:rFonts w:hint="default" w:ascii="Times New Roman" w:hAnsi="Times New Roman" w:cs="Times New Roman"/>
              <w:color w:val="auto"/>
              <w:highlight w:val="none"/>
            </w:rPr>
            <w:t>区域环境功能区划</w:t>
          </w:r>
          <w:r>
            <w:rPr>
              <w:color w:val="auto"/>
              <w:highlight w:val="none"/>
            </w:rPr>
            <w:tab/>
          </w:r>
          <w:r>
            <w:rPr>
              <w:color w:val="auto"/>
              <w:highlight w:val="none"/>
            </w:rPr>
            <w:fldChar w:fldCharType="begin"/>
          </w:r>
          <w:r>
            <w:rPr>
              <w:color w:val="auto"/>
              <w:highlight w:val="none"/>
            </w:rPr>
            <w:instrText xml:space="preserve"> PAGEREF _Toc6878 \h </w:instrText>
          </w:r>
          <w:r>
            <w:rPr>
              <w:color w:val="auto"/>
              <w:highlight w:val="none"/>
            </w:rPr>
            <w:fldChar w:fldCharType="separate"/>
          </w:r>
          <w:r>
            <w:rPr>
              <w:color w:val="auto"/>
              <w:highlight w:val="none"/>
            </w:rPr>
            <w:t>137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F8D1A84">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_Toc25580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4.2环境质量现状评价</w:t>
          </w:r>
          <w:r>
            <w:rPr>
              <w:color w:val="auto"/>
              <w:highlight w:val="none"/>
            </w:rPr>
            <w:tab/>
          </w:r>
          <w:r>
            <w:rPr>
              <w:color w:val="auto"/>
              <w:highlight w:val="none"/>
            </w:rPr>
            <w:fldChar w:fldCharType="begin"/>
          </w:r>
          <w:r>
            <w:rPr>
              <w:color w:val="auto"/>
              <w:highlight w:val="none"/>
            </w:rPr>
            <w:instrText xml:space="preserve"> PAGEREF _Toc25580 \h </w:instrText>
          </w:r>
          <w:r>
            <w:rPr>
              <w:color w:val="auto"/>
              <w:highlight w:val="none"/>
            </w:rPr>
            <w:fldChar w:fldCharType="separate"/>
          </w:r>
          <w:r>
            <w:rPr>
              <w:color w:val="auto"/>
              <w:highlight w:val="none"/>
            </w:rPr>
            <w:t>138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9A1537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_Toc32644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4.2.1环境空气质量现状评价</w:t>
          </w:r>
          <w:r>
            <w:rPr>
              <w:color w:val="auto"/>
              <w:highlight w:val="none"/>
            </w:rPr>
            <w:tab/>
          </w:r>
          <w:r>
            <w:rPr>
              <w:color w:val="auto"/>
              <w:highlight w:val="none"/>
            </w:rPr>
            <w:fldChar w:fldCharType="begin"/>
          </w:r>
          <w:r>
            <w:rPr>
              <w:color w:val="auto"/>
              <w:highlight w:val="none"/>
            </w:rPr>
            <w:instrText xml:space="preserve"> PAGEREF _Toc32644 \h </w:instrText>
          </w:r>
          <w:r>
            <w:rPr>
              <w:color w:val="auto"/>
              <w:highlight w:val="none"/>
            </w:rPr>
            <w:fldChar w:fldCharType="separate"/>
          </w:r>
          <w:r>
            <w:rPr>
              <w:color w:val="auto"/>
              <w:highlight w:val="none"/>
            </w:rPr>
            <w:t>138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109E94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_Toc28955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4.2.2地表水环境质量现状评价</w:t>
          </w:r>
          <w:r>
            <w:rPr>
              <w:color w:val="auto"/>
              <w:highlight w:val="none"/>
            </w:rPr>
            <w:tab/>
          </w:r>
          <w:r>
            <w:rPr>
              <w:color w:val="auto"/>
              <w:highlight w:val="none"/>
            </w:rPr>
            <w:fldChar w:fldCharType="begin"/>
          </w:r>
          <w:r>
            <w:rPr>
              <w:color w:val="auto"/>
              <w:highlight w:val="none"/>
            </w:rPr>
            <w:instrText xml:space="preserve"> PAGEREF _Toc28955 \h </w:instrText>
          </w:r>
          <w:r>
            <w:rPr>
              <w:color w:val="auto"/>
              <w:highlight w:val="none"/>
            </w:rPr>
            <w:fldChar w:fldCharType="separate"/>
          </w:r>
          <w:r>
            <w:rPr>
              <w:color w:val="auto"/>
              <w:highlight w:val="none"/>
            </w:rPr>
            <w:t>144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94D22B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_Toc23359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4.2.3地下水环境质量现状评价</w:t>
          </w:r>
          <w:r>
            <w:rPr>
              <w:color w:val="auto"/>
              <w:highlight w:val="none"/>
            </w:rPr>
            <w:tab/>
          </w:r>
          <w:r>
            <w:rPr>
              <w:color w:val="auto"/>
              <w:highlight w:val="none"/>
            </w:rPr>
            <w:fldChar w:fldCharType="begin"/>
          </w:r>
          <w:r>
            <w:rPr>
              <w:color w:val="auto"/>
              <w:highlight w:val="none"/>
            </w:rPr>
            <w:instrText xml:space="preserve"> PAGEREF _Toc23359 \h </w:instrText>
          </w:r>
          <w:r>
            <w:rPr>
              <w:color w:val="auto"/>
              <w:highlight w:val="none"/>
            </w:rPr>
            <w:fldChar w:fldCharType="separate"/>
          </w:r>
          <w:r>
            <w:rPr>
              <w:color w:val="auto"/>
              <w:highlight w:val="none"/>
            </w:rPr>
            <w:t>144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AFA360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_Toc10024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4.2.4声环境质量现状评价</w:t>
          </w:r>
          <w:r>
            <w:rPr>
              <w:color w:val="auto"/>
              <w:highlight w:val="none"/>
            </w:rPr>
            <w:tab/>
          </w:r>
          <w:r>
            <w:rPr>
              <w:color w:val="auto"/>
              <w:highlight w:val="none"/>
            </w:rPr>
            <w:fldChar w:fldCharType="begin"/>
          </w:r>
          <w:r>
            <w:rPr>
              <w:color w:val="auto"/>
              <w:highlight w:val="none"/>
            </w:rPr>
            <w:instrText xml:space="preserve"> PAGEREF _Toc10024 \h </w:instrText>
          </w:r>
          <w:r>
            <w:rPr>
              <w:color w:val="auto"/>
              <w:highlight w:val="none"/>
            </w:rPr>
            <w:fldChar w:fldCharType="separate"/>
          </w:r>
          <w:r>
            <w:rPr>
              <w:color w:val="auto"/>
              <w:highlight w:val="none"/>
            </w:rPr>
            <w:t>152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99C8F15">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_Toc14432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4.2.5土壤环境质量现状评价</w:t>
          </w:r>
          <w:r>
            <w:rPr>
              <w:color w:val="auto"/>
              <w:highlight w:val="none"/>
            </w:rPr>
            <w:tab/>
          </w:r>
          <w:r>
            <w:rPr>
              <w:color w:val="auto"/>
              <w:highlight w:val="none"/>
            </w:rPr>
            <w:fldChar w:fldCharType="begin"/>
          </w:r>
          <w:r>
            <w:rPr>
              <w:color w:val="auto"/>
              <w:highlight w:val="none"/>
            </w:rPr>
            <w:instrText xml:space="preserve"> PAGEREF _Toc14432 \h </w:instrText>
          </w:r>
          <w:r>
            <w:rPr>
              <w:color w:val="auto"/>
              <w:highlight w:val="none"/>
            </w:rPr>
            <w:fldChar w:fldCharType="separate"/>
          </w:r>
          <w:r>
            <w:rPr>
              <w:color w:val="auto"/>
              <w:highlight w:val="none"/>
            </w:rPr>
            <w:t>154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C07EBD5">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_Toc10767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4.2.6生态环境质量现状调查</w:t>
          </w:r>
          <w:r>
            <w:rPr>
              <w:color w:val="auto"/>
              <w:highlight w:val="none"/>
            </w:rPr>
            <w:tab/>
          </w:r>
          <w:r>
            <w:rPr>
              <w:color w:val="auto"/>
              <w:highlight w:val="none"/>
            </w:rPr>
            <w:fldChar w:fldCharType="begin"/>
          </w:r>
          <w:r>
            <w:rPr>
              <w:color w:val="auto"/>
              <w:highlight w:val="none"/>
            </w:rPr>
            <w:instrText xml:space="preserve"> PAGEREF _Toc10767 \h </w:instrText>
          </w:r>
          <w:r>
            <w:rPr>
              <w:color w:val="auto"/>
              <w:highlight w:val="none"/>
            </w:rPr>
            <w:fldChar w:fldCharType="separate"/>
          </w:r>
          <w:r>
            <w:rPr>
              <w:color w:val="auto"/>
              <w:highlight w:val="none"/>
            </w:rPr>
            <w:t>159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8294657">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_Toc6256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4.3区域污染源调查</w:t>
          </w:r>
          <w:r>
            <w:rPr>
              <w:color w:val="auto"/>
              <w:highlight w:val="none"/>
            </w:rPr>
            <w:tab/>
          </w:r>
          <w:r>
            <w:rPr>
              <w:color w:val="auto"/>
              <w:highlight w:val="none"/>
            </w:rPr>
            <w:fldChar w:fldCharType="begin"/>
          </w:r>
          <w:r>
            <w:rPr>
              <w:color w:val="auto"/>
              <w:highlight w:val="none"/>
            </w:rPr>
            <w:instrText xml:space="preserve"> PAGEREF _Toc6256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A627D7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_Toc10419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4.3.1大气污染源</w:t>
          </w:r>
          <w:r>
            <w:rPr>
              <w:color w:val="auto"/>
              <w:highlight w:val="none"/>
            </w:rPr>
            <w:tab/>
          </w:r>
          <w:r>
            <w:rPr>
              <w:color w:val="auto"/>
              <w:highlight w:val="none"/>
            </w:rPr>
            <w:fldChar w:fldCharType="begin"/>
          </w:r>
          <w:r>
            <w:rPr>
              <w:color w:val="auto"/>
              <w:highlight w:val="none"/>
            </w:rPr>
            <w:instrText xml:space="preserve"> PAGEREF _Toc10419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8F391D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_Toc13477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4.3.2地表水污染源</w:t>
          </w:r>
          <w:r>
            <w:rPr>
              <w:color w:val="auto"/>
              <w:highlight w:val="none"/>
            </w:rPr>
            <w:tab/>
          </w:r>
          <w:r>
            <w:rPr>
              <w:color w:val="auto"/>
              <w:highlight w:val="none"/>
            </w:rPr>
            <w:fldChar w:fldCharType="begin"/>
          </w:r>
          <w:r>
            <w:rPr>
              <w:color w:val="auto"/>
              <w:highlight w:val="none"/>
            </w:rPr>
            <w:instrText xml:space="preserve"> PAGEREF _Toc13477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2D2172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_Toc11726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4.3.3地下水污染源</w:t>
          </w:r>
          <w:r>
            <w:rPr>
              <w:color w:val="auto"/>
              <w:highlight w:val="none"/>
            </w:rPr>
            <w:tab/>
          </w:r>
          <w:r>
            <w:rPr>
              <w:color w:val="auto"/>
              <w:highlight w:val="none"/>
            </w:rPr>
            <w:fldChar w:fldCharType="begin"/>
          </w:r>
          <w:r>
            <w:rPr>
              <w:color w:val="auto"/>
              <w:highlight w:val="none"/>
            </w:rPr>
            <w:instrText xml:space="preserve"> PAGEREF _Toc11726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50F3C3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_Toc12743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4.3.4噪声污染源</w:t>
          </w:r>
          <w:r>
            <w:rPr>
              <w:color w:val="auto"/>
              <w:highlight w:val="none"/>
            </w:rPr>
            <w:tab/>
          </w:r>
          <w:r>
            <w:rPr>
              <w:color w:val="auto"/>
              <w:highlight w:val="none"/>
            </w:rPr>
            <w:fldChar w:fldCharType="begin"/>
          </w:r>
          <w:r>
            <w:rPr>
              <w:color w:val="auto"/>
              <w:highlight w:val="none"/>
            </w:rPr>
            <w:instrText xml:space="preserve"> PAGEREF _Toc12743 \h </w:instrText>
          </w:r>
          <w:r>
            <w:rPr>
              <w:color w:val="auto"/>
              <w:highlight w:val="none"/>
            </w:rPr>
            <w:fldChar w:fldCharType="separate"/>
          </w:r>
          <w:r>
            <w:rPr>
              <w:color w:val="auto"/>
              <w:highlight w:val="none"/>
            </w:rPr>
            <w:t>193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BF7F34A">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_Toc17456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5环境影响预测与评价</w:t>
          </w:r>
          <w:r>
            <w:rPr>
              <w:color w:val="auto"/>
              <w:highlight w:val="none"/>
            </w:rPr>
            <w:tab/>
          </w:r>
          <w:r>
            <w:rPr>
              <w:color w:val="auto"/>
              <w:highlight w:val="none"/>
            </w:rPr>
            <w:fldChar w:fldCharType="begin"/>
          </w:r>
          <w:r>
            <w:rPr>
              <w:color w:val="auto"/>
              <w:highlight w:val="none"/>
            </w:rPr>
            <w:instrText xml:space="preserve"> PAGEREF _Toc17456 \h </w:instrText>
          </w:r>
          <w:r>
            <w:rPr>
              <w:color w:val="auto"/>
              <w:highlight w:val="none"/>
            </w:rPr>
            <w:fldChar w:fldCharType="separate"/>
          </w:r>
          <w:r>
            <w:rPr>
              <w:color w:val="auto"/>
              <w:highlight w:val="none"/>
            </w:rPr>
            <w:t>194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9E4A39C">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_Toc11237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snapToGrid w:val="0"/>
              <w:color w:val="auto"/>
              <w:kern w:val="0"/>
              <w:highlight w:val="none"/>
            </w:rPr>
            <w:t>5.1施工期环境影响预测与评价</w:t>
          </w:r>
          <w:r>
            <w:rPr>
              <w:color w:val="auto"/>
              <w:highlight w:val="none"/>
            </w:rPr>
            <w:tab/>
          </w:r>
          <w:r>
            <w:rPr>
              <w:color w:val="auto"/>
              <w:highlight w:val="none"/>
            </w:rPr>
            <w:fldChar w:fldCharType="begin"/>
          </w:r>
          <w:r>
            <w:rPr>
              <w:color w:val="auto"/>
              <w:highlight w:val="none"/>
            </w:rPr>
            <w:instrText xml:space="preserve"> PAGEREF _Toc11237 \h </w:instrText>
          </w:r>
          <w:r>
            <w:rPr>
              <w:color w:val="auto"/>
              <w:highlight w:val="none"/>
            </w:rPr>
            <w:fldChar w:fldCharType="separate"/>
          </w:r>
          <w:r>
            <w:rPr>
              <w:color w:val="auto"/>
              <w:highlight w:val="none"/>
            </w:rPr>
            <w:t>194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E9A0ED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_Toc27177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5.1.1环境空气影响预测与评价</w:t>
          </w:r>
          <w:r>
            <w:rPr>
              <w:color w:val="auto"/>
              <w:highlight w:val="none"/>
            </w:rPr>
            <w:tab/>
          </w:r>
          <w:r>
            <w:rPr>
              <w:color w:val="auto"/>
              <w:highlight w:val="none"/>
            </w:rPr>
            <w:fldChar w:fldCharType="begin"/>
          </w:r>
          <w:r>
            <w:rPr>
              <w:color w:val="auto"/>
              <w:highlight w:val="none"/>
            </w:rPr>
            <w:instrText xml:space="preserve"> PAGEREF _Toc27177 \h </w:instrText>
          </w:r>
          <w:r>
            <w:rPr>
              <w:color w:val="auto"/>
              <w:highlight w:val="none"/>
            </w:rPr>
            <w:fldChar w:fldCharType="separate"/>
          </w:r>
          <w:r>
            <w:rPr>
              <w:color w:val="auto"/>
              <w:highlight w:val="none"/>
            </w:rPr>
            <w:t>194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377A39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_Toc6308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5.1.2水环境影响预测与评价</w:t>
          </w:r>
          <w:r>
            <w:rPr>
              <w:color w:val="auto"/>
              <w:highlight w:val="none"/>
            </w:rPr>
            <w:tab/>
          </w:r>
          <w:r>
            <w:rPr>
              <w:color w:val="auto"/>
              <w:highlight w:val="none"/>
            </w:rPr>
            <w:fldChar w:fldCharType="begin"/>
          </w:r>
          <w:r>
            <w:rPr>
              <w:color w:val="auto"/>
              <w:highlight w:val="none"/>
            </w:rPr>
            <w:instrText xml:space="preserve"> PAGEREF _Toc6308 \h </w:instrText>
          </w:r>
          <w:r>
            <w:rPr>
              <w:color w:val="auto"/>
              <w:highlight w:val="none"/>
            </w:rPr>
            <w:fldChar w:fldCharType="separate"/>
          </w:r>
          <w:r>
            <w:rPr>
              <w:color w:val="auto"/>
              <w:highlight w:val="none"/>
            </w:rPr>
            <w:t>195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8B933D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_Toc13587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5.1.3噪声影响预测与评价</w:t>
          </w:r>
          <w:r>
            <w:rPr>
              <w:color w:val="auto"/>
              <w:highlight w:val="none"/>
            </w:rPr>
            <w:tab/>
          </w:r>
          <w:r>
            <w:rPr>
              <w:color w:val="auto"/>
              <w:highlight w:val="none"/>
            </w:rPr>
            <w:fldChar w:fldCharType="begin"/>
          </w:r>
          <w:r>
            <w:rPr>
              <w:color w:val="auto"/>
              <w:highlight w:val="none"/>
            </w:rPr>
            <w:instrText xml:space="preserve"> PAGEREF _Toc13587 \h </w:instrText>
          </w:r>
          <w:r>
            <w:rPr>
              <w:color w:val="auto"/>
              <w:highlight w:val="none"/>
            </w:rPr>
            <w:fldChar w:fldCharType="separate"/>
          </w:r>
          <w:r>
            <w:rPr>
              <w:color w:val="auto"/>
              <w:highlight w:val="none"/>
            </w:rPr>
            <w:t>195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2CCC7F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_Toc32020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5.1.4固体废物影响预测与评价</w:t>
          </w:r>
          <w:r>
            <w:rPr>
              <w:color w:val="auto"/>
              <w:highlight w:val="none"/>
            </w:rPr>
            <w:tab/>
          </w:r>
          <w:r>
            <w:rPr>
              <w:color w:val="auto"/>
              <w:highlight w:val="none"/>
            </w:rPr>
            <w:fldChar w:fldCharType="begin"/>
          </w:r>
          <w:r>
            <w:rPr>
              <w:color w:val="auto"/>
              <w:highlight w:val="none"/>
            </w:rPr>
            <w:instrText xml:space="preserve"> PAGEREF _Toc32020 \h </w:instrText>
          </w:r>
          <w:r>
            <w:rPr>
              <w:color w:val="auto"/>
              <w:highlight w:val="none"/>
            </w:rPr>
            <w:fldChar w:fldCharType="separate"/>
          </w:r>
          <w:r>
            <w:rPr>
              <w:color w:val="auto"/>
              <w:highlight w:val="none"/>
            </w:rPr>
            <w:t>197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0843EE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_Toc20052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5.1.5生态环境影响预测与评价</w:t>
          </w:r>
          <w:r>
            <w:rPr>
              <w:color w:val="auto"/>
              <w:highlight w:val="none"/>
            </w:rPr>
            <w:tab/>
          </w:r>
          <w:r>
            <w:rPr>
              <w:color w:val="auto"/>
              <w:highlight w:val="none"/>
            </w:rPr>
            <w:fldChar w:fldCharType="begin"/>
          </w:r>
          <w:r>
            <w:rPr>
              <w:color w:val="auto"/>
              <w:highlight w:val="none"/>
            </w:rPr>
            <w:instrText xml:space="preserve"> PAGEREF _Toc20052 \h </w:instrText>
          </w:r>
          <w:r>
            <w:rPr>
              <w:color w:val="auto"/>
              <w:highlight w:val="none"/>
            </w:rPr>
            <w:fldChar w:fldCharType="separate"/>
          </w:r>
          <w:r>
            <w:rPr>
              <w:color w:val="auto"/>
              <w:highlight w:val="none"/>
            </w:rPr>
            <w:t>197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EAA3000">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_Toc6967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5.2运行期环境影响预测与评价</w:t>
          </w:r>
          <w:r>
            <w:rPr>
              <w:color w:val="auto"/>
              <w:highlight w:val="none"/>
            </w:rPr>
            <w:tab/>
          </w:r>
          <w:r>
            <w:rPr>
              <w:color w:val="auto"/>
              <w:highlight w:val="none"/>
            </w:rPr>
            <w:fldChar w:fldCharType="begin"/>
          </w:r>
          <w:r>
            <w:rPr>
              <w:color w:val="auto"/>
              <w:highlight w:val="none"/>
            </w:rPr>
            <w:instrText xml:space="preserve"> PAGEREF _Toc6967 \h </w:instrText>
          </w:r>
          <w:r>
            <w:rPr>
              <w:color w:val="auto"/>
              <w:highlight w:val="none"/>
            </w:rPr>
            <w:fldChar w:fldCharType="separate"/>
          </w:r>
          <w:r>
            <w:rPr>
              <w:color w:val="auto"/>
              <w:highlight w:val="none"/>
            </w:rPr>
            <w:t>198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F326CD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_Toc32086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5.2.1运行期地表水环境影响预测与评价</w:t>
          </w:r>
          <w:r>
            <w:rPr>
              <w:color w:val="auto"/>
              <w:highlight w:val="none"/>
            </w:rPr>
            <w:tab/>
          </w:r>
          <w:r>
            <w:rPr>
              <w:color w:val="auto"/>
              <w:highlight w:val="none"/>
            </w:rPr>
            <w:fldChar w:fldCharType="begin"/>
          </w:r>
          <w:r>
            <w:rPr>
              <w:color w:val="auto"/>
              <w:highlight w:val="none"/>
            </w:rPr>
            <w:instrText xml:space="preserve"> PAGEREF _Toc32086 \h </w:instrText>
          </w:r>
          <w:r>
            <w:rPr>
              <w:color w:val="auto"/>
              <w:highlight w:val="none"/>
            </w:rPr>
            <w:fldChar w:fldCharType="separate"/>
          </w:r>
          <w:r>
            <w:rPr>
              <w:color w:val="auto"/>
              <w:highlight w:val="none"/>
            </w:rPr>
            <w:t>198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633B00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_Toc7315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5.2.2运行期地下水环境影响预测与评价</w:t>
          </w:r>
          <w:r>
            <w:rPr>
              <w:color w:val="auto"/>
              <w:highlight w:val="none"/>
            </w:rPr>
            <w:tab/>
          </w:r>
          <w:r>
            <w:rPr>
              <w:color w:val="auto"/>
              <w:highlight w:val="none"/>
            </w:rPr>
            <w:fldChar w:fldCharType="begin"/>
          </w:r>
          <w:r>
            <w:rPr>
              <w:color w:val="auto"/>
              <w:highlight w:val="none"/>
            </w:rPr>
            <w:instrText xml:space="preserve"> PAGEREF _Toc7315 \h </w:instrText>
          </w:r>
          <w:r>
            <w:rPr>
              <w:color w:val="auto"/>
              <w:highlight w:val="none"/>
            </w:rPr>
            <w:fldChar w:fldCharType="separate"/>
          </w:r>
          <w:r>
            <w:rPr>
              <w:color w:val="auto"/>
              <w:highlight w:val="none"/>
            </w:rPr>
            <w:t>201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551E69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_Toc10890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5.2.3运行期环境空气影响预测与评价</w:t>
          </w:r>
          <w:r>
            <w:rPr>
              <w:color w:val="auto"/>
              <w:highlight w:val="none"/>
            </w:rPr>
            <w:tab/>
          </w:r>
          <w:r>
            <w:rPr>
              <w:color w:val="auto"/>
              <w:highlight w:val="none"/>
            </w:rPr>
            <w:fldChar w:fldCharType="begin"/>
          </w:r>
          <w:r>
            <w:rPr>
              <w:color w:val="auto"/>
              <w:highlight w:val="none"/>
            </w:rPr>
            <w:instrText xml:space="preserve"> PAGEREF _Toc10890 \h </w:instrText>
          </w:r>
          <w:r>
            <w:rPr>
              <w:color w:val="auto"/>
              <w:highlight w:val="none"/>
            </w:rPr>
            <w:fldChar w:fldCharType="separate"/>
          </w:r>
          <w:r>
            <w:rPr>
              <w:color w:val="auto"/>
              <w:highlight w:val="none"/>
            </w:rPr>
            <w:t>205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EBD1C8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_Toc9071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5.2.4运行期噪声影响预测与评价</w:t>
          </w:r>
          <w:r>
            <w:rPr>
              <w:color w:val="auto"/>
              <w:highlight w:val="none"/>
            </w:rPr>
            <w:tab/>
          </w:r>
          <w:r>
            <w:rPr>
              <w:color w:val="auto"/>
              <w:highlight w:val="none"/>
            </w:rPr>
            <w:fldChar w:fldCharType="begin"/>
          </w:r>
          <w:r>
            <w:rPr>
              <w:color w:val="auto"/>
              <w:highlight w:val="none"/>
            </w:rPr>
            <w:instrText xml:space="preserve"> PAGEREF _Toc9071 \h </w:instrText>
          </w:r>
          <w:r>
            <w:rPr>
              <w:color w:val="auto"/>
              <w:highlight w:val="none"/>
            </w:rPr>
            <w:fldChar w:fldCharType="separate"/>
          </w:r>
          <w:r>
            <w:rPr>
              <w:color w:val="auto"/>
              <w:highlight w:val="none"/>
            </w:rPr>
            <w:t>224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017391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_Toc10836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5.2.5运行期固体废物影响预测与评价</w:t>
          </w:r>
          <w:r>
            <w:rPr>
              <w:color w:val="auto"/>
              <w:highlight w:val="none"/>
            </w:rPr>
            <w:tab/>
          </w:r>
          <w:r>
            <w:rPr>
              <w:color w:val="auto"/>
              <w:highlight w:val="none"/>
            </w:rPr>
            <w:fldChar w:fldCharType="begin"/>
          </w:r>
          <w:r>
            <w:rPr>
              <w:color w:val="auto"/>
              <w:highlight w:val="none"/>
            </w:rPr>
            <w:instrText xml:space="preserve"> PAGEREF _Toc10836 \h </w:instrText>
          </w:r>
          <w:r>
            <w:rPr>
              <w:color w:val="auto"/>
              <w:highlight w:val="none"/>
            </w:rPr>
            <w:fldChar w:fldCharType="separate"/>
          </w:r>
          <w:r>
            <w:rPr>
              <w:color w:val="auto"/>
              <w:highlight w:val="none"/>
            </w:rPr>
            <w:t>226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6E0817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_Toc12318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5.2.6运行期生态环境影响预测与评价</w:t>
          </w:r>
          <w:r>
            <w:rPr>
              <w:color w:val="auto"/>
              <w:highlight w:val="none"/>
            </w:rPr>
            <w:tab/>
          </w:r>
          <w:r>
            <w:rPr>
              <w:color w:val="auto"/>
              <w:highlight w:val="none"/>
            </w:rPr>
            <w:fldChar w:fldCharType="begin"/>
          </w:r>
          <w:r>
            <w:rPr>
              <w:color w:val="auto"/>
              <w:highlight w:val="none"/>
            </w:rPr>
            <w:instrText xml:space="preserve"> PAGEREF _Toc12318 \h </w:instrText>
          </w:r>
          <w:r>
            <w:rPr>
              <w:color w:val="auto"/>
              <w:highlight w:val="none"/>
            </w:rPr>
            <w:fldChar w:fldCharType="separate"/>
          </w:r>
          <w:r>
            <w:rPr>
              <w:color w:val="auto"/>
              <w:highlight w:val="none"/>
            </w:rPr>
            <w:t>228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F7AA3A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_Toc16834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5.2.7水土流失的环境影响预测与评价</w:t>
          </w:r>
          <w:r>
            <w:rPr>
              <w:color w:val="auto"/>
              <w:highlight w:val="none"/>
            </w:rPr>
            <w:tab/>
          </w:r>
          <w:r>
            <w:rPr>
              <w:color w:val="auto"/>
              <w:highlight w:val="none"/>
            </w:rPr>
            <w:fldChar w:fldCharType="begin"/>
          </w:r>
          <w:r>
            <w:rPr>
              <w:color w:val="auto"/>
              <w:highlight w:val="none"/>
            </w:rPr>
            <w:instrText xml:space="preserve"> PAGEREF _Toc16834 \h </w:instrText>
          </w:r>
          <w:r>
            <w:rPr>
              <w:color w:val="auto"/>
              <w:highlight w:val="none"/>
            </w:rPr>
            <w:fldChar w:fldCharType="separate"/>
          </w:r>
          <w:r>
            <w:rPr>
              <w:color w:val="auto"/>
              <w:highlight w:val="none"/>
            </w:rPr>
            <w:t>230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DCD122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_Toc3199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5.2.8环境风险影响影响预测与评价</w:t>
          </w:r>
          <w:r>
            <w:rPr>
              <w:color w:val="auto"/>
              <w:highlight w:val="none"/>
            </w:rPr>
            <w:tab/>
          </w:r>
          <w:r>
            <w:rPr>
              <w:color w:val="auto"/>
              <w:highlight w:val="none"/>
            </w:rPr>
            <w:fldChar w:fldCharType="begin"/>
          </w:r>
          <w:r>
            <w:rPr>
              <w:color w:val="auto"/>
              <w:highlight w:val="none"/>
            </w:rPr>
            <w:instrText xml:space="preserve"> PAGEREF _Toc3199 \h </w:instrText>
          </w:r>
          <w:r>
            <w:rPr>
              <w:color w:val="auto"/>
              <w:highlight w:val="none"/>
            </w:rPr>
            <w:fldChar w:fldCharType="separate"/>
          </w:r>
          <w:r>
            <w:rPr>
              <w:color w:val="auto"/>
              <w:highlight w:val="none"/>
            </w:rPr>
            <w:t>230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A78A31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_Toc13118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5.2.9病疫情风险分析</w:t>
          </w:r>
          <w:r>
            <w:rPr>
              <w:color w:val="auto"/>
              <w:highlight w:val="none"/>
            </w:rPr>
            <w:tab/>
          </w:r>
          <w:r>
            <w:rPr>
              <w:color w:val="auto"/>
              <w:highlight w:val="none"/>
            </w:rPr>
            <w:fldChar w:fldCharType="begin"/>
          </w:r>
          <w:r>
            <w:rPr>
              <w:color w:val="auto"/>
              <w:highlight w:val="none"/>
            </w:rPr>
            <w:instrText xml:space="preserve"> PAGEREF _Toc13118 \h </w:instrText>
          </w:r>
          <w:r>
            <w:rPr>
              <w:color w:val="auto"/>
              <w:highlight w:val="none"/>
            </w:rPr>
            <w:fldChar w:fldCharType="separate"/>
          </w:r>
          <w:r>
            <w:rPr>
              <w:color w:val="auto"/>
              <w:highlight w:val="none"/>
            </w:rPr>
            <w:t>231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290EE8E">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_Toc22606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6污染防治措施及其可行性论证</w:t>
          </w:r>
          <w:r>
            <w:rPr>
              <w:color w:val="auto"/>
              <w:highlight w:val="none"/>
            </w:rPr>
            <w:tab/>
          </w:r>
          <w:r>
            <w:rPr>
              <w:color w:val="auto"/>
              <w:highlight w:val="none"/>
            </w:rPr>
            <w:fldChar w:fldCharType="begin"/>
          </w:r>
          <w:r>
            <w:rPr>
              <w:color w:val="auto"/>
              <w:highlight w:val="none"/>
            </w:rPr>
            <w:instrText xml:space="preserve"> PAGEREF _Toc22606 \h </w:instrText>
          </w:r>
          <w:r>
            <w:rPr>
              <w:color w:val="auto"/>
              <w:highlight w:val="none"/>
            </w:rPr>
            <w:fldChar w:fldCharType="separate"/>
          </w:r>
          <w:r>
            <w:rPr>
              <w:color w:val="auto"/>
              <w:highlight w:val="none"/>
            </w:rPr>
            <w:t>233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205836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_Toc21154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szCs w:val="30"/>
              <w:highlight w:val="none"/>
            </w:rPr>
            <w:t>6.1施工期污染防治措施</w:t>
          </w:r>
          <w:r>
            <w:rPr>
              <w:color w:val="auto"/>
              <w:highlight w:val="none"/>
            </w:rPr>
            <w:tab/>
          </w:r>
          <w:r>
            <w:rPr>
              <w:color w:val="auto"/>
              <w:highlight w:val="none"/>
            </w:rPr>
            <w:fldChar w:fldCharType="begin"/>
          </w:r>
          <w:r>
            <w:rPr>
              <w:color w:val="auto"/>
              <w:highlight w:val="none"/>
            </w:rPr>
            <w:instrText xml:space="preserve"> PAGEREF _Toc21154 \h </w:instrText>
          </w:r>
          <w:r>
            <w:rPr>
              <w:color w:val="auto"/>
              <w:highlight w:val="none"/>
            </w:rPr>
            <w:fldChar w:fldCharType="separate"/>
          </w:r>
          <w:r>
            <w:rPr>
              <w:color w:val="auto"/>
              <w:highlight w:val="none"/>
            </w:rPr>
            <w:t>233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63A6EF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_Toc18124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6.1.1水污染防治措施</w:t>
          </w:r>
          <w:r>
            <w:rPr>
              <w:color w:val="auto"/>
              <w:highlight w:val="none"/>
            </w:rPr>
            <w:tab/>
          </w:r>
          <w:r>
            <w:rPr>
              <w:color w:val="auto"/>
              <w:highlight w:val="none"/>
            </w:rPr>
            <w:fldChar w:fldCharType="begin"/>
          </w:r>
          <w:r>
            <w:rPr>
              <w:color w:val="auto"/>
              <w:highlight w:val="none"/>
            </w:rPr>
            <w:instrText xml:space="preserve"> PAGEREF _Toc18124 \h </w:instrText>
          </w:r>
          <w:r>
            <w:rPr>
              <w:color w:val="auto"/>
              <w:highlight w:val="none"/>
            </w:rPr>
            <w:fldChar w:fldCharType="separate"/>
          </w:r>
          <w:r>
            <w:rPr>
              <w:color w:val="auto"/>
              <w:highlight w:val="none"/>
            </w:rPr>
            <w:t>233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F705B8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_Toc8659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6.1.2大气污染防治措施</w:t>
          </w:r>
          <w:r>
            <w:rPr>
              <w:color w:val="auto"/>
              <w:highlight w:val="none"/>
            </w:rPr>
            <w:tab/>
          </w:r>
          <w:r>
            <w:rPr>
              <w:color w:val="auto"/>
              <w:highlight w:val="none"/>
            </w:rPr>
            <w:fldChar w:fldCharType="begin"/>
          </w:r>
          <w:r>
            <w:rPr>
              <w:color w:val="auto"/>
              <w:highlight w:val="none"/>
            </w:rPr>
            <w:instrText xml:space="preserve"> PAGEREF _Toc8659 \h </w:instrText>
          </w:r>
          <w:r>
            <w:rPr>
              <w:color w:val="auto"/>
              <w:highlight w:val="none"/>
            </w:rPr>
            <w:fldChar w:fldCharType="separate"/>
          </w:r>
          <w:r>
            <w:rPr>
              <w:color w:val="auto"/>
              <w:highlight w:val="none"/>
            </w:rPr>
            <w:t>233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AA00B2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_Toc1885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6.1.3噪声污染防治措施</w:t>
          </w:r>
          <w:r>
            <w:rPr>
              <w:color w:val="auto"/>
              <w:highlight w:val="none"/>
            </w:rPr>
            <w:tab/>
          </w:r>
          <w:r>
            <w:rPr>
              <w:color w:val="auto"/>
              <w:highlight w:val="none"/>
            </w:rPr>
            <w:fldChar w:fldCharType="begin"/>
          </w:r>
          <w:r>
            <w:rPr>
              <w:color w:val="auto"/>
              <w:highlight w:val="none"/>
            </w:rPr>
            <w:instrText xml:space="preserve"> PAGEREF _Toc1885 \h </w:instrText>
          </w:r>
          <w:r>
            <w:rPr>
              <w:color w:val="auto"/>
              <w:highlight w:val="none"/>
            </w:rPr>
            <w:fldChar w:fldCharType="separate"/>
          </w:r>
          <w:r>
            <w:rPr>
              <w:color w:val="auto"/>
              <w:highlight w:val="none"/>
            </w:rPr>
            <w:t>234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66EDD9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_Toc23376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6.1.4固体废物污染防治措施</w:t>
          </w:r>
          <w:r>
            <w:rPr>
              <w:color w:val="auto"/>
              <w:highlight w:val="none"/>
            </w:rPr>
            <w:tab/>
          </w:r>
          <w:r>
            <w:rPr>
              <w:color w:val="auto"/>
              <w:highlight w:val="none"/>
            </w:rPr>
            <w:fldChar w:fldCharType="begin"/>
          </w:r>
          <w:r>
            <w:rPr>
              <w:color w:val="auto"/>
              <w:highlight w:val="none"/>
            </w:rPr>
            <w:instrText xml:space="preserve"> PAGEREF _Toc23376 \h </w:instrText>
          </w:r>
          <w:r>
            <w:rPr>
              <w:color w:val="auto"/>
              <w:highlight w:val="none"/>
            </w:rPr>
            <w:fldChar w:fldCharType="separate"/>
          </w:r>
          <w:r>
            <w:rPr>
              <w:color w:val="auto"/>
              <w:highlight w:val="none"/>
            </w:rPr>
            <w:t>235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256091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_Toc22641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6.1.5生态保护减缓措施</w:t>
          </w:r>
          <w:r>
            <w:rPr>
              <w:color w:val="auto"/>
              <w:highlight w:val="none"/>
            </w:rPr>
            <w:tab/>
          </w:r>
          <w:r>
            <w:rPr>
              <w:color w:val="auto"/>
              <w:highlight w:val="none"/>
            </w:rPr>
            <w:fldChar w:fldCharType="begin"/>
          </w:r>
          <w:r>
            <w:rPr>
              <w:color w:val="auto"/>
              <w:highlight w:val="none"/>
            </w:rPr>
            <w:instrText xml:space="preserve"> PAGEREF _Toc22641 \h </w:instrText>
          </w:r>
          <w:r>
            <w:rPr>
              <w:color w:val="auto"/>
              <w:highlight w:val="none"/>
            </w:rPr>
            <w:fldChar w:fldCharType="separate"/>
          </w:r>
          <w:r>
            <w:rPr>
              <w:color w:val="auto"/>
              <w:highlight w:val="none"/>
            </w:rPr>
            <w:t>235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5FF0E38">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_Toc8720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6.2运行期污染防治措施及可行性论证</w:t>
          </w:r>
          <w:r>
            <w:rPr>
              <w:color w:val="auto"/>
              <w:highlight w:val="none"/>
            </w:rPr>
            <w:tab/>
          </w:r>
          <w:r>
            <w:rPr>
              <w:color w:val="auto"/>
              <w:highlight w:val="none"/>
            </w:rPr>
            <w:fldChar w:fldCharType="begin"/>
          </w:r>
          <w:r>
            <w:rPr>
              <w:color w:val="auto"/>
              <w:highlight w:val="none"/>
            </w:rPr>
            <w:instrText xml:space="preserve"> PAGEREF _Toc8720 \h </w:instrText>
          </w:r>
          <w:r>
            <w:rPr>
              <w:color w:val="auto"/>
              <w:highlight w:val="none"/>
            </w:rPr>
            <w:fldChar w:fldCharType="separate"/>
          </w:r>
          <w:r>
            <w:rPr>
              <w:color w:val="auto"/>
              <w:highlight w:val="none"/>
            </w:rPr>
            <w:t>236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9EA69F6">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_Toc15968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6.2.1运行期废水污染防治措施及可行性论证</w:t>
          </w:r>
          <w:r>
            <w:rPr>
              <w:color w:val="auto"/>
              <w:highlight w:val="none"/>
            </w:rPr>
            <w:tab/>
          </w:r>
          <w:r>
            <w:rPr>
              <w:color w:val="auto"/>
              <w:highlight w:val="none"/>
            </w:rPr>
            <w:fldChar w:fldCharType="begin"/>
          </w:r>
          <w:r>
            <w:rPr>
              <w:color w:val="auto"/>
              <w:highlight w:val="none"/>
            </w:rPr>
            <w:instrText xml:space="preserve"> PAGEREF _Toc15968 \h </w:instrText>
          </w:r>
          <w:r>
            <w:rPr>
              <w:color w:val="auto"/>
              <w:highlight w:val="none"/>
            </w:rPr>
            <w:fldChar w:fldCharType="separate"/>
          </w:r>
          <w:r>
            <w:rPr>
              <w:color w:val="auto"/>
              <w:highlight w:val="none"/>
            </w:rPr>
            <w:t>236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4544922">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_Toc2396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6.2.2运行期地下水污染防治措施及可行性论证</w:t>
          </w:r>
          <w:r>
            <w:rPr>
              <w:color w:val="auto"/>
              <w:highlight w:val="none"/>
            </w:rPr>
            <w:tab/>
          </w:r>
          <w:r>
            <w:rPr>
              <w:color w:val="auto"/>
              <w:highlight w:val="none"/>
            </w:rPr>
            <w:fldChar w:fldCharType="begin"/>
          </w:r>
          <w:r>
            <w:rPr>
              <w:color w:val="auto"/>
              <w:highlight w:val="none"/>
            </w:rPr>
            <w:instrText xml:space="preserve"> PAGEREF _Toc2396 \h </w:instrText>
          </w:r>
          <w:r>
            <w:rPr>
              <w:color w:val="auto"/>
              <w:highlight w:val="none"/>
            </w:rPr>
            <w:fldChar w:fldCharType="separate"/>
          </w:r>
          <w:r>
            <w:rPr>
              <w:color w:val="auto"/>
              <w:highlight w:val="none"/>
            </w:rPr>
            <w:t>238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4D7E49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_Toc26196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6.2.3运行期大气污染防治措施及可行性论证</w:t>
          </w:r>
          <w:r>
            <w:rPr>
              <w:color w:val="auto"/>
              <w:highlight w:val="none"/>
            </w:rPr>
            <w:tab/>
          </w:r>
          <w:r>
            <w:rPr>
              <w:color w:val="auto"/>
              <w:highlight w:val="none"/>
            </w:rPr>
            <w:fldChar w:fldCharType="begin"/>
          </w:r>
          <w:r>
            <w:rPr>
              <w:color w:val="auto"/>
              <w:highlight w:val="none"/>
            </w:rPr>
            <w:instrText xml:space="preserve"> PAGEREF _Toc26196 \h </w:instrText>
          </w:r>
          <w:r>
            <w:rPr>
              <w:color w:val="auto"/>
              <w:highlight w:val="none"/>
            </w:rPr>
            <w:fldChar w:fldCharType="separate"/>
          </w:r>
          <w:r>
            <w:rPr>
              <w:color w:val="auto"/>
              <w:highlight w:val="none"/>
            </w:rPr>
            <w:t>243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D136DA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_Toc31892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6.2.4运行期噪声污染防治措施及可行性论证</w:t>
          </w:r>
          <w:r>
            <w:rPr>
              <w:color w:val="auto"/>
              <w:highlight w:val="none"/>
            </w:rPr>
            <w:tab/>
          </w:r>
          <w:r>
            <w:rPr>
              <w:color w:val="auto"/>
              <w:highlight w:val="none"/>
            </w:rPr>
            <w:fldChar w:fldCharType="begin"/>
          </w:r>
          <w:r>
            <w:rPr>
              <w:color w:val="auto"/>
              <w:highlight w:val="none"/>
            </w:rPr>
            <w:instrText xml:space="preserve"> PAGEREF _Toc31892 \h </w:instrText>
          </w:r>
          <w:r>
            <w:rPr>
              <w:color w:val="auto"/>
              <w:highlight w:val="none"/>
            </w:rPr>
            <w:fldChar w:fldCharType="separate"/>
          </w:r>
          <w:r>
            <w:rPr>
              <w:color w:val="auto"/>
              <w:highlight w:val="none"/>
            </w:rPr>
            <w:t>249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FE9E0D6">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_Toc15752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6.2.5运行期固体废物污染防治措施及可行性论证</w:t>
          </w:r>
          <w:r>
            <w:rPr>
              <w:color w:val="auto"/>
              <w:highlight w:val="none"/>
            </w:rPr>
            <w:tab/>
          </w:r>
          <w:r>
            <w:rPr>
              <w:color w:val="auto"/>
              <w:highlight w:val="none"/>
            </w:rPr>
            <w:fldChar w:fldCharType="begin"/>
          </w:r>
          <w:r>
            <w:rPr>
              <w:color w:val="auto"/>
              <w:highlight w:val="none"/>
            </w:rPr>
            <w:instrText xml:space="preserve"> PAGEREF _Toc15752 \h </w:instrText>
          </w:r>
          <w:r>
            <w:rPr>
              <w:color w:val="auto"/>
              <w:highlight w:val="none"/>
            </w:rPr>
            <w:fldChar w:fldCharType="separate"/>
          </w:r>
          <w:r>
            <w:rPr>
              <w:color w:val="auto"/>
              <w:highlight w:val="none"/>
            </w:rPr>
            <w:t>250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A8B3F8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_Toc3582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6.2.6运行期风险防范措施及可行性论证</w:t>
          </w:r>
          <w:r>
            <w:rPr>
              <w:color w:val="auto"/>
              <w:highlight w:val="none"/>
            </w:rPr>
            <w:tab/>
          </w:r>
          <w:r>
            <w:rPr>
              <w:color w:val="auto"/>
              <w:highlight w:val="none"/>
            </w:rPr>
            <w:fldChar w:fldCharType="begin"/>
          </w:r>
          <w:r>
            <w:rPr>
              <w:color w:val="auto"/>
              <w:highlight w:val="none"/>
            </w:rPr>
            <w:instrText xml:space="preserve"> PAGEREF _Toc3582 \h </w:instrText>
          </w:r>
          <w:r>
            <w:rPr>
              <w:color w:val="auto"/>
              <w:highlight w:val="none"/>
            </w:rPr>
            <w:fldChar w:fldCharType="separate"/>
          </w:r>
          <w:r>
            <w:rPr>
              <w:color w:val="auto"/>
              <w:highlight w:val="none"/>
            </w:rPr>
            <w:t>254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168151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_Toc18265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6.2.7土壤保护措施</w:t>
          </w:r>
          <w:r>
            <w:rPr>
              <w:color w:val="auto"/>
              <w:highlight w:val="none"/>
            </w:rPr>
            <w:tab/>
          </w:r>
          <w:r>
            <w:rPr>
              <w:color w:val="auto"/>
              <w:highlight w:val="none"/>
            </w:rPr>
            <w:fldChar w:fldCharType="begin"/>
          </w:r>
          <w:r>
            <w:rPr>
              <w:color w:val="auto"/>
              <w:highlight w:val="none"/>
            </w:rPr>
            <w:instrText xml:space="preserve"> PAGEREF _Toc18265 \h </w:instrText>
          </w:r>
          <w:r>
            <w:rPr>
              <w:color w:val="auto"/>
              <w:highlight w:val="none"/>
            </w:rPr>
            <w:fldChar w:fldCharType="separate"/>
          </w:r>
          <w:r>
            <w:rPr>
              <w:color w:val="auto"/>
              <w:highlight w:val="none"/>
            </w:rPr>
            <w:t>259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E7C2F94">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_Toc11525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6.3环境保护投资估算</w:t>
          </w:r>
          <w:r>
            <w:rPr>
              <w:color w:val="auto"/>
              <w:highlight w:val="none"/>
            </w:rPr>
            <w:tab/>
          </w:r>
          <w:r>
            <w:rPr>
              <w:color w:val="auto"/>
              <w:highlight w:val="none"/>
            </w:rPr>
            <w:fldChar w:fldCharType="begin"/>
          </w:r>
          <w:r>
            <w:rPr>
              <w:color w:val="auto"/>
              <w:highlight w:val="none"/>
            </w:rPr>
            <w:instrText xml:space="preserve"> PAGEREF _Toc11525 \h </w:instrText>
          </w:r>
          <w:r>
            <w:rPr>
              <w:color w:val="auto"/>
              <w:highlight w:val="none"/>
            </w:rPr>
            <w:fldChar w:fldCharType="separate"/>
          </w:r>
          <w:r>
            <w:rPr>
              <w:color w:val="auto"/>
              <w:highlight w:val="none"/>
            </w:rPr>
            <w:t>260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A69338E">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_Toc20730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7环境经济损益分析</w:t>
          </w:r>
          <w:r>
            <w:rPr>
              <w:color w:val="auto"/>
              <w:highlight w:val="none"/>
            </w:rPr>
            <w:tab/>
          </w:r>
          <w:r>
            <w:rPr>
              <w:color w:val="auto"/>
              <w:highlight w:val="none"/>
            </w:rPr>
            <w:fldChar w:fldCharType="begin"/>
          </w:r>
          <w:r>
            <w:rPr>
              <w:color w:val="auto"/>
              <w:highlight w:val="none"/>
            </w:rPr>
            <w:instrText xml:space="preserve"> PAGEREF _Toc20730 \h </w:instrText>
          </w:r>
          <w:r>
            <w:rPr>
              <w:color w:val="auto"/>
              <w:highlight w:val="none"/>
            </w:rPr>
            <w:fldChar w:fldCharType="separate"/>
          </w:r>
          <w:r>
            <w:rPr>
              <w:color w:val="auto"/>
              <w:highlight w:val="none"/>
            </w:rPr>
            <w:t>262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1A36649">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_Toc1951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7.1项目实施后对环境影响的变化情况</w:t>
          </w:r>
          <w:r>
            <w:rPr>
              <w:color w:val="auto"/>
              <w:highlight w:val="none"/>
            </w:rPr>
            <w:tab/>
          </w:r>
          <w:r>
            <w:rPr>
              <w:color w:val="auto"/>
              <w:highlight w:val="none"/>
            </w:rPr>
            <w:fldChar w:fldCharType="begin"/>
          </w:r>
          <w:r>
            <w:rPr>
              <w:color w:val="auto"/>
              <w:highlight w:val="none"/>
            </w:rPr>
            <w:instrText xml:space="preserve"> PAGEREF _Toc1951 \h </w:instrText>
          </w:r>
          <w:r>
            <w:rPr>
              <w:color w:val="auto"/>
              <w:highlight w:val="none"/>
            </w:rPr>
            <w:fldChar w:fldCharType="separate"/>
          </w:r>
          <w:r>
            <w:rPr>
              <w:color w:val="auto"/>
              <w:highlight w:val="none"/>
            </w:rPr>
            <w:t>262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914E4AE">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_Toc22485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7.2经济效益分析</w:t>
          </w:r>
          <w:r>
            <w:rPr>
              <w:color w:val="auto"/>
              <w:highlight w:val="none"/>
            </w:rPr>
            <w:tab/>
          </w:r>
          <w:r>
            <w:rPr>
              <w:color w:val="auto"/>
              <w:highlight w:val="none"/>
            </w:rPr>
            <w:fldChar w:fldCharType="begin"/>
          </w:r>
          <w:r>
            <w:rPr>
              <w:color w:val="auto"/>
              <w:highlight w:val="none"/>
            </w:rPr>
            <w:instrText xml:space="preserve"> PAGEREF _Toc22485 \h </w:instrText>
          </w:r>
          <w:r>
            <w:rPr>
              <w:color w:val="auto"/>
              <w:highlight w:val="none"/>
            </w:rPr>
            <w:fldChar w:fldCharType="separate"/>
          </w:r>
          <w:r>
            <w:rPr>
              <w:color w:val="auto"/>
              <w:highlight w:val="none"/>
            </w:rPr>
            <w:t>262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3ABA7D2">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_Toc14256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7.3环境效益分析</w:t>
          </w:r>
          <w:r>
            <w:rPr>
              <w:color w:val="auto"/>
              <w:highlight w:val="none"/>
            </w:rPr>
            <w:tab/>
          </w:r>
          <w:r>
            <w:rPr>
              <w:color w:val="auto"/>
              <w:highlight w:val="none"/>
            </w:rPr>
            <w:fldChar w:fldCharType="begin"/>
          </w:r>
          <w:r>
            <w:rPr>
              <w:color w:val="auto"/>
              <w:highlight w:val="none"/>
            </w:rPr>
            <w:instrText xml:space="preserve"> PAGEREF _Toc14256 \h </w:instrText>
          </w:r>
          <w:r>
            <w:rPr>
              <w:color w:val="auto"/>
              <w:highlight w:val="none"/>
            </w:rPr>
            <w:fldChar w:fldCharType="separate"/>
          </w:r>
          <w:r>
            <w:rPr>
              <w:color w:val="auto"/>
              <w:highlight w:val="none"/>
            </w:rPr>
            <w:t>263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C70324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_Toc24538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7.3.1有利影响</w:t>
          </w:r>
          <w:r>
            <w:rPr>
              <w:color w:val="auto"/>
              <w:highlight w:val="none"/>
            </w:rPr>
            <w:tab/>
          </w:r>
          <w:r>
            <w:rPr>
              <w:color w:val="auto"/>
              <w:highlight w:val="none"/>
            </w:rPr>
            <w:fldChar w:fldCharType="begin"/>
          </w:r>
          <w:r>
            <w:rPr>
              <w:color w:val="auto"/>
              <w:highlight w:val="none"/>
            </w:rPr>
            <w:instrText xml:space="preserve"> PAGEREF _Toc24538 \h </w:instrText>
          </w:r>
          <w:r>
            <w:rPr>
              <w:color w:val="auto"/>
              <w:highlight w:val="none"/>
            </w:rPr>
            <w:fldChar w:fldCharType="separate"/>
          </w:r>
          <w:r>
            <w:rPr>
              <w:color w:val="auto"/>
              <w:highlight w:val="none"/>
            </w:rPr>
            <w:t>263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B1693D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_Toc9371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7.3.2不利影响</w:t>
          </w:r>
          <w:r>
            <w:rPr>
              <w:color w:val="auto"/>
              <w:highlight w:val="none"/>
            </w:rPr>
            <w:tab/>
          </w:r>
          <w:r>
            <w:rPr>
              <w:color w:val="auto"/>
              <w:highlight w:val="none"/>
            </w:rPr>
            <w:fldChar w:fldCharType="begin"/>
          </w:r>
          <w:r>
            <w:rPr>
              <w:color w:val="auto"/>
              <w:highlight w:val="none"/>
            </w:rPr>
            <w:instrText xml:space="preserve"> PAGEREF _Toc9371 \h </w:instrText>
          </w:r>
          <w:r>
            <w:rPr>
              <w:color w:val="auto"/>
              <w:highlight w:val="none"/>
            </w:rPr>
            <w:fldChar w:fldCharType="separate"/>
          </w:r>
          <w:r>
            <w:rPr>
              <w:color w:val="auto"/>
              <w:highlight w:val="none"/>
            </w:rPr>
            <w:t>263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6A5DA74">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_Toc8518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7.3.3环境损失分析</w:t>
          </w:r>
          <w:r>
            <w:rPr>
              <w:color w:val="auto"/>
              <w:highlight w:val="none"/>
            </w:rPr>
            <w:tab/>
          </w:r>
          <w:r>
            <w:rPr>
              <w:color w:val="auto"/>
              <w:highlight w:val="none"/>
            </w:rPr>
            <w:fldChar w:fldCharType="begin"/>
          </w:r>
          <w:r>
            <w:rPr>
              <w:color w:val="auto"/>
              <w:highlight w:val="none"/>
            </w:rPr>
            <w:instrText xml:space="preserve"> PAGEREF _Toc8518 \h </w:instrText>
          </w:r>
          <w:r>
            <w:rPr>
              <w:color w:val="auto"/>
              <w:highlight w:val="none"/>
            </w:rPr>
            <w:fldChar w:fldCharType="separate"/>
          </w:r>
          <w:r>
            <w:rPr>
              <w:color w:val="auto"/>
              <w:highlight w:val="none"/>
            </w:rPr>
            <w:t>264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EA0FCE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_Toc623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7.3.4环境效益分析</w:t>
          </w:r>
          <w:r>
            <w:rPr>
              <w:color w:val="auto"/>
              <w:highlight w:val="none"/>
            </w:rPr>
            <w:tab/>
          </w:r>
          <w:r>
            <w:rPr>
              <w:color w:val="auto"/>
              <w:highlight w:val="none"/>
            </w:rPr>
            <w:fldChar w:fldCharType="begin"/>
          </w:r>
          <w:r>
            <w:rPr>
              <w:color w:val="auto"/>
              <w:highlight w:val="none"/>
            </w:rPr>
            <w:instrText xml:space="preserve"> PAGEREF _Toc623 \h </w:instrText>
          </w:r>
          <w:r>
            <w:rPr>
              <w:color w:val="auto"/>
              <w:highlight w:val="none"/>
            </w:rPr>
            <w:fldChar w:fldCharType="separate"/>
          </w:r>
          <w:r>
            <w:rPr>
              <w:color w:val="auto"/>
              <w:highlight w:val="none"/>
            </w:rPr>
            <w:t>265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9F658C6">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_Toc29097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7.4环境经济损益简要分析</w:t>
          </w:r>
          <w:r>
            <w:rPr>
              <w:color w:val="auto"/>
              <w:highlight w:val="none"/>
            </w:rPr>
            <w:tab/>
          </w:r>
          <w:r>
            <w:rPr>
              <w:color w:val="auto"/>
              <w:highlight w:val="none"/>
            </w:rPr>
            <w:fldChar w:fldCharType="begin"/>
          </w:r>
          <w:r>
            <w:rPr>
              <w:color w:val="auto"/>
              <w:highlight w:val="none"/>
            </w:rPr>
            <w:instrText xml:space="preserve"> PAGEREF _Toc29097 \h </w:instrText>
          </w:r>
          <w:r>
            <w:rPr>
              <w:color w:val="auto"/>
              <w:highlight w:val="none"/>
            </w:rPr>
            <w:fldChar w:fldCharType="separate"/>
          </w:r>
          <w:r>
            <w:rPr>
              <w:color w:val="auto"/>
              <w:highlight w:val="none"/>
            </w:rPr>
            <w:t>265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B28C0ED">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_Toc25414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7.5结论</w:t>
          </w:r>
          <w:r>
            <w:rPr>
              <w:color w:val="auto"/>
              <w:highlight w:val="none"/>
            </w:rPr>
            <w:tab/>
          </w:r>
          <w:r>
            <w:rPr>
              <w:color w:val="auto"/>
              <w:highlight w:val="none"/>
            </w:rPr>
            <w:fldChar w:fldCharType="begin"/>
          </w:r>
          <w:r>
            <w:rPr>
              <w:color w:val="auto"/>
              <w:highlight w:val="none"/>
            </w:rPr>
            <w:instrText xml:space="preserve"> PAGEREF _Toc25414 \h </w:instrText>
          </w:r>
          <w:r>
            <w:rPr>
              <w:color w:val="auto"/>
              <w:highlight w:val="none"/>
            </w:rPr>
            <w:fldChar w:fldCharType="separate"/>
          </w:r>
          <w:r>
            <w:rPr>
              <w:color w:val="auto"/>
              <w:highlight w:val="none"/>
            </w:rPr>
            <w:t>266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4506C67">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_Toc10817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8环境管理与监测计划</w:t>
          </w:r>
          <w:r>
            <w:rPr>
              <w:color w:val="auto"/>
              <w:highlight w:val="none"/>
            </w:rPr>
            <w:tab/>
          </w:r>
          <w:r>
            <w:rPr>
              <w:color w:val="auto"/>
              <w:highlight w:val="none"/>
            </w:rPr>
            <w:fldChar w:fldCharType="begin"/>
          </w:r>
          <w:r>
            <w:rPr>
              <w:color w:val="auto"/>
              <w:highlight w:val="none"/>
            </w:rPr>
            <w:instrText xml:space="preserve"> PAGEREF _Toc10817 \h </w:instrText>
          </w:r>
          <w:r>
            <w:rPr>
              <w:color w:val="auto"/>
              <w:highlight w:val="none"/>
            </w:rPr>
            <w:fldChar w:fldCharType="separate"/>
          </w:r>
          <w:r>
            <w:rPr>
              <w:color w:val="auto"/>
              <w:highlight w:val="none"/>
            </w:rPr>
            <w:t>267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51D62B2">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_Toc13520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8.1环境管理</w:t>
          </w:r>
          <w:r>
            <w:rPr>
              <w:color w:val="auto"/>
              <w:highlight w:val="none"/>
            </w:rPr>
            <w:tab/>
          </w:r>
          <w:r>
            <w:rPr>
              <w:color w:val="auto"/>
              <w:highlight w:val="none"/>
            </w:rPr>
            <w:fldChar w:fldCharType="begin"/>
          </w:r>
          <w:r>
            <w:rPr>
              <w:color w:val="auto"/>
              <w:highlight w:val="none"/>
            </w:rPr>
            <w:instrText xml:space="preserve"> PAGEREF _Toc13520 \h </w:instrText>
          </w:r>
          <w:r>
            <w:rPr>
              <w:color w:val="auto"/>
              <w:highlight w:val="none"/>
            </w:rPr>
            <w:fldChar w:fldCharType="separate"/>
          </w:r>
          <w:r>
            <w:rPr>
              <w:color w:val="auto"/>
              <w:highlight w:val="none"/>
            </w:rPr>
            <w:t>267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C0F5D6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_Toc7634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8.1.1施工期环境管理计划</w:t>
          </w:r>
          <w:r>
            <w:rPr>
              <w:color w:val="auto"/>
              <w:highlight w:val="none"/>
            </w:rPr>
            <w:tab/>
          </w:r>
          <w:r>
            <w:rPr>
              <w:color w:val="auto"/>
              <w:highlight w:val="none"/>
            </w:rPr>
            <w:fldChar w:fldCharType="begin"/>
          </w:r>
          <w:r>
            <w:rPr>
              <w:color w:val="auto"/>
              <w:highlight w:val="none"/>
            </w:rPr>
            <w:instrText xml:space="preserve"> PAGEREF _Toc7634 \h </w:instrText>
          </w:r>
          <w:r>
            <w:rPr>
              <w:color w:val="auto"/>
              <w:highlight w:val="none"/>
            </w:rPr>
            <w:fldChar w:fldCharType="separate"/>
          </w:r>
          <w:r>
            <w:rPr>
              <w:color w:val="auto"/>
              <w:highlight w:val="none"/>
            </w:rPr>
            <w:t>268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3DDF94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_Toc4909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8.1.2运行期环境管理计划</w:t>
          </w:r>
          <w:r>
            <w:rPr>
              <w:color w:val="auto"/>
              <w:highlight w:val="none"/>
            </w:rPr>
            <w:tab/>
          </w:r>
          <w:r>
            <w:rPr>
              <w:color w:val="auto"/>
              <w:highlight w:val="none"/>
            </w:rPr>
            <w:fldChar w:fldCharType="begin"/>
          </w:r>
          <w:r>
            <w:rPr>
              <w:color w:val="auto"/>
              <w:highlight w:val="none"/>
            </w:rPr>
            <w:instrText xml:space="preserve"> PAGEREF _Toc4909 \h </w:instrText>
          </w:r>
          <w:r>
            <w:rPr>
              <w:color w:val="auto"/>
              <w:highlight w:val="none"/>
            </w:rPr>
            <w:fldChar w:fldCharType="separate"/>
          </w:r>
          <w:r>
            <w:rPr>
              <w:color w:val="auto"/>
              <w:highlight w:val="none"/>
            </w:rPr>
            <w:t>269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63653B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_Toc683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8.1.3污染物排放清单及管理要求</w:t>
          </w:r>
          <w:r>
            <w:rPr>
              <w:color w:val="auto"/>
              <w:highlight w:val="none"/>
            </w:rPr>
            <w:tab/>
          </w:r>
          <w:r>
            <w:rPr>
              <w:color w:val="auto"/>
              <w:highlight w:val="none"/>
            </w:rPr>
            <w:fldChar w:fldCharType="begin"/>
          </w:r>
          <w:r>
            <w:rPr>
              <w:color w:val="auto"/>
              <w:highlight w:val="none"/>
            </w:rPr>
            <w:instrText xml:space="preserve"> PAGEREF _Toc683 \h </w:instrText>
          </w:r>
          <w:r>
            <w:rPr>
              <w:color w:val="auto"/>
              <w:highlight w:val="none"/>
            </w:rPr>
            <w:fldChar w:fldCharType="separate"/>
          </w:r>
          <w:r>
            <w:rPr>
              <w:color w:val="auto"/>
              <w:highlight w:val="none"/>
            </w:rPr>
            <w:t>270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A606826">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_Toc25459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8.2环境监测</w:t>
          </w:r>
          <w:r>
            <w:rPr>
              <w:color w:val="auto"/>
              <w:highlight w:val="none"/>
            </w:rPr>
            <w:tab/>
          </w:r>
          <w:r>
            <w:rPr>
              <w:color w:val="auto"/>
              <w:highlight w:val="none"/>
            </w:rPr>
            <w:fldChar w:fldCharType="begin"/>
          </w:r>
          <w:r>
            <w:rPr>
              <w:color w:val="auto"/>
              <w:highlight w:val="none"/>
            </w:rPr>
            <w:instrText xml:space="preserve"> PAGEREF _Toc25459 \h </w:instrText>
          </w:r>
          <w:r>
            <w:rPr>
              <w:color w:val="auto"/>
              <w:highlight w:val="none"/>
            </w:rPr>
            <w:fldChar w:fldCharType="separate"/>
          </w:r>
          <w:r>
            <w:rPr>
              <w:color w:val="auto"/>
              <w:highlight w:val="none"/>
            </w:rPr>
            <w:t>273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471ACD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_Toc6527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8.2.1环境监测的必要性</w:t>
          </w:r>
          <w:r>
            <w:rPr>
              <w:color w:val="auto"/>
              <w:highlight w:val="none"/>
            </w:rPr>
            <w:tab/>
          </w:r>
          <w:r>
            <w:rPr>
              <w:color w:val="auto"/>
              <w:highlight w:val="none"/>
            </w:rPr>
            <w:fldChar w:fldCharType="begin"/>
          </w:r>
          <w:r>
            <w:rPr>
              <w:color w:val="auto"/>
              <w:highlight w:val="none"/>
            </w:rPr>
            <w:instrText xml:space="preserve"> PAGEREF _Toc6527 \h </w:instrText>
          </w:r>
          <w:r>
            <w:rPr>
              <w:color w:val="auto"/>
              <w:highlight w:val="none"/>
            </w:rPr>
            <w:fldChar w:fldCharType="separate"/>
          </w:r>
          <w:r>
            <w:rPr>
              <w:color w:val="auto"/>
              <w:highlight w:val="none"/>
            </w:rPr>
            <w:t>274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ED15A4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_Toc31646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8.2.2环境监测机构设置</w:t>
          </w:r>
          <w:r>
            <w:rPr>
              <w:color w:val="auto"/>
              <w:highlight w:val="none"/>
            </w:rPr>
            <w:tab/>
          </w:r>
          <w:r>
            <w:rPr>
              <w:color w:val="auto"/>
              <w:highlight w:val="none"/>
            </w:rPr>
            <w:fldChar w:fldCharType="begin"/>
          </w:r>
          <w:r>
            <w:rPr>
              <w:color w:val="auto"/>
              <w:highlight w:val="none"/>
            </w:rPr>
            <w:instrText xml:space="preserve"> PAGEREF _Toc31646 \h </w:instrText>
          </w:r>
          <w:r>
            <w:rPr>
              <w:color w:val="auto"/>
              <w:highlight w:val="none"/>
            </w:rPr>
            <w:fldChar w:fldCharType="separate"/>
          </w:r>
          <w:r>
            <w:rPr>
              <w:color w:val="auto"/>
              <w:highlight w:val="none"/>
            </w:rPr>
            <w:t>274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A67D23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_Toc24620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8.2.3环境监测职责</w:t>
          </w:r>
          <w:r>
            <w:rPr>
              <w:color w:val="auto"/>
              <w:highlight w:val="none"/>
            </w:rPr>
            <w:tab/>
          </w:r>
          <w:r>
            <w:rPr>
              <w:color w:val="auto"/>
              <w:highlight w:val="none"/>
            </w:rPr>
            <w:fldChar w:fldCharType="begin"/>
          </w:r>
          <w:r>
            <w:rPr>
              <w:color w:val="auto"/>
              <w:highlight w:val="none"/>
            </w:rPr>
            <w:instrText xml:space="preserve"> PAGEREF _Toc24620 \h </w:instrText>
          </w:r>
          <w:r>
            <w:rPr>
              <w:color w:val="auto"/>
              <w:highlight w:val="none"/>
            </w:rPr>
            <w:fldChar w:fldCharType="separate"/>
          </w:r>
          <w:r>
            <w:rPr>
              <w:color w:val="auto"/>
              <w:highlight w:val="none"/>
            </w:rPr>
            <w:t>274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0A121F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_Toc2740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8.2.4设立排放口（源）标识</w:t>
          </w:r>
          <w:r>
            <w:rPr>
              <w:color w:val="auto"/>
              <w:highlight w:val="none"/>
            </w:rPr>
            <w:tab/>
          </w:r>
          <w:r>
            <w:rPr>
              <w:color w:val="auto"/>
              <w:highlight w:val="none"/>
            </w:rPr>
            <w:fldChar w:fldCharType="begin"/>
          </w:r>
          <w:r>
            <w:rPr>
              <w:color w:val="auto"/>
              <w:highlight w:val="none"/>
            </w:rPr>
            <w:instrText xml:space="preserve"> PAGEREF _Toc2740 \h </w:instrText>
          </w:r>
          <w:r>
            <w:rPr>
              <w:color w:val="auto"/>
              <w:highlight w:val="none"/>
            </w:rPr>
            <w:fldChar w:fldCharType="separate"/>
          </w:r>
          <w:r>
            <w:rPr>
              <w:color w:val="auto"/>
              <w:highlight w:val="none"/>
            </w:rPr>
            <w:t>274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CB1F5AD">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_Toc22449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8.2.5环境监测计划</w:t>
          </w:r>
          <w:r>
            <w:rPr>
              <w:color w:val="auto"/>
              <w:highlight w:val="none"/>
            </w:rPr>
            <w:tab/>
          </w:r>
          <w:r>
            <w:rPr>
              <w:color w:val="auto"/>
              <w:highlight w:val="none"/>
            </w:rPr>
            <w:fldChar w:fldCharType="begin"/>
          </w:r>
          <w:r>
            <w:rPr>
              <w:color w:val="auto"/>
              <w:highlight w:val="none"/>
            </w:rPr>
            <w:instrText xml:space="preserve"> PAGEREF _Toc22449 \h </w:instrText>
          </w:r>
          <w:r>
            <w:rPr>
              <w:color w:val="auto"/>
              <w:highlight w:val="none"/>
            </w:rPr>
            <w:fldChar w:fldCharType="separate"/>
          </w:r>
          <w:r>
            <w:rPr>
              <w:color w:val="auto"/>
              <w:highlight w:val="none"/>
            </w:rPr>
            <w:t>275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7A7D3A7">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_Toc19306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8.3环境保护验收</w:t>
          </w:r>
          <w:r>
            <w:rPr>
              <w:color w:val="auto"/>
              <w:highlight w:val="none"/>
            </w:rPr>
            <w:tab/>
          </w:r>
          <w:r>
            <w:rPr>
              <w:color w:val="auto"/>
              <w:highlight w:val="none"/>
            </w:rPr>
            <w:fldChar w:fldCharType="begin"/>
          </w:r>
          <w:r>
            <w:rPr>
              <w:color w:val="auto"/>
              <w:highlight w:val="none"/>
            </w:rPr>
            <w:instrText xml:space="preserve"> PAGEREF _Toc19306 \h </w:instrText>
          </w:r>
          <w:r>
            <w:rPr>
              <w:color w:val="auto"/>
              <w:highlight w:val="none"/>
            </w:rPr>
            <w:fldChar w:fldCharType="separate"/>
          </w:r>
          <w:r>
            <w:rPr>
              <w:color w:val="auto"/>
              <w:highlight w:val="none"/>
            </w:rPr>
            <w:t>279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250CDDD">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_Toc24289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8.4总量控制</w:t>
          </w:r>
          <w:r>
            <w:rPr>
              <w:color w:val="auto"/>
              <w:highlight w:val="none"/>
            </w:rPr>
            <w:tab/>
          </w:r>
          <w:r>
            <w:rPr>
              <w:color w:val="auto"/>
              <w:highlight w:val="none"/>
            </w:rPr>
            <w:fldChar w:fldCharType="begin"/>
          </w:r>
          <w:r>
            <w:rPr>
              <w:color w:val="auto"/>
              <w:highlight w:val="none"/>
            </w:rPr>
            <w:instrText xml:space="preserve"> PAGEREF _Toc24289 \h </w:instrText>
          </w:r>
          <w:r>
            <w:rPr>
              <w:color w:val="auto"/>
              <w:highlight w:val="none"/>
            </w:rPr>
            <w:fldChar w:fldCharType="separate"/>
          </w:r>
          <w:r>
            <w:rPr>
              <w:color w:val="auto"/>
              <w:highlight w:val="none"/>
            </w:rPr>
            <w:t>282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848A9F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_Toc7306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8.4.1总量控制的意义和原则</w:t>
          </w:r>
          <w:r>
            <w:rPr>
              <w:color w:val="auto"/>
              <w:highlight w:val="none"/>
            </w:rPr>
            <w:tab/>
          </w:r>
          <w:r>
            <w:rPr>
              <w:color w:val="auto"/>
              <w:highlight w:val="none"/>
            </w:rPr>
            <w:fldChar w:fldCharType="begin"/>
          </w:r>
          <w:r>
            <w:rPr>
              <w:color w:val="auto"/>
              <w:highlight w:val="none"/>
            </w:rPr>
            <w:instrText xml:space="preserve"> PAGEREF _Toc7306 \h </w:instrText>
          </w:r>
          <w:r>
            <w:rPr>
              <w:color w:val="auto"/>
              <w:highlight w:val="none"/>
            </w:rPr>
            <w:fldChar w:fldCharType="separate"/>
          </w:r>
          <w:r>
            <w:rPr>
              <w:color w:val="auto"/>
              <w:highlight w:val="none"/>
            </w:rPr>
            <w:t>282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6886BC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_Toc28560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8.4.2总量控制因子</w:t>
          </w:r>
          <w:r>
            <w:rPr>
              <w:color w:val="auto"/>
              <w:highlight w:val="none"/>
            </w:rPr>
            <w:tab/>
          </w:r>
          <w:r>
            <w:rPr>
              <w:color w:val="auto"/>
              <w:highlight w:val="none"/>
            </w:rPr>
            <w:fldChar w:fldCharType="begin"/>
          </w:r>
          <w:r>
            <w:rPr>
              <w:color w:val="auto"/>
              <w:highlight w:val="none"/>
            </w:rPr>
            <w:instrText xml:space="preserve"> PAGEREF _Toc28560 \h </w:instrText>
          </w:r>
          <w:r>
            <w:rPr>
              <w:color w:val="auto"/>
              <w:highlight w:val="none"/>
            </w:rPr>
            <w:fldChar w:fldCharType="separate"/>
          </w:r>
          <w:r>
            <w:rPr>
              <w:color w:val="auto"/>
              <w:highlight w:val="none"/>
            </w:rPr>
            <w:t>282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EE87775">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_Toc13801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8.5与排污许可证制度衔接</w:t>
          </w:r>
          <w:r>
            <w:rPr>
              <w:color w:val="auto"/>
              <w:highlight w:val="none"/>
            </w:rPr>
            <w:tab/>
          </w:r>
          <w:r>
            <w:rPr>
              <w:color w:val="auto"/>
              <w:highlight w:val="none"/>
            </w:rPr>
            <w:fldChar w:fldCharType="begin"/>
          </w:r>
          <w:r>
            <w:rPr>
              <w:color w:val="auto"/>
              <w:highlight w:val="none"/>
            </w:rPr>
            <w:instrText xml:space="preserve"> PAGEREF _Toc13801 \h </w:instrText>
          </w:r>
          <w:r>
            <w:rPr>
              <w:color w:val="auto"/>
              <w:highlight w:val="none"/>
            </w:rPr>
            <w:fldChar w:fldCharType="separate"/>
          </w:r>
          <w:r>
            <w:rPr>
              <w:color w:val="auto"/>
              <w:highlight w:val="none"/>
            </w:rPr>
            <w:t>282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5A0EA03">
          <w:pPr>
            <w:pStyle w:val="33"/>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_Toc14929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9环境影响评价结论</w:t>
          </w:r>
          <w:r>
            <w:rPr>
              <w:color w:val="auto"/>
              <w:highlight w:val="none"/>
            </w:rPr>
            <w:tab/>
          </w:r>
          <w:r>
            <w:rPr>
              <w:color w:val="auto"/>
              <w:highlight w:val="none"/>
            </w:rPr>
            <w:fldChar w:fldCharType="begin"/>
          </w:r>
          <w:r>
            <w:rPr>
              <w:color w:val="auto"/>
              <w:highlight w:val="none"/>
            </w:rPr>
            <w:instrText xml:space="preserve"> PAGEREF _Toc14929 \h </w:instrText>
          </w:r>
          <w:r>
            <w:rPr>
              <w:color w:val="auto"/>
              <w:highlight w:val="none"/>
            </w:rPr>
            <w:fldChar w:fldCharType="separate"/>
          </w:r>
          <w:r>
            <w:rPr>
              <w:color w:val="auto"/>
              <w:highlight w:val="none"/>
            </w:rPr>
            <w:t>285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75E8AAFB">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_Toc9647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9.1评价结论</w:t>
          </w:r>
          <w:r>
            <w:rPr>
              <w:color w:val="auto"/>
              <w:highlight w:val="none"/>
            </w:rPr>
            <w:tab/>
          </w:r>
          <w:r>
            <w:rPr>
              <w:color w:val="auto"/>
              <w:highlight w:val="none"/>
            </w:rPr>
            <w:fldChar w:fldCharType="begin"/>
          </w:r>
          <w:r>
            <w:rPr>
              <w:color w:val="auto"/>
              <w:highlight w:val="none"/>
            </w:rPr>
            <w:instrText xml:space="preserve"> PAGEREF _Toc9647 \h </w:instrText>
          </w:r>
          <w:r>
            <w:rPr>
              <w:color w:val="auto"/>
              <w:highlight w:val="none"/>
            </w:rPr>
            <w:fldChar w:fldCharType="separate"/>
          </w:r>
          <w:r>
            <w:rPr>
              <w:color w:val="auto"/>
              <w:highlight w:val="none"/>
            </w:rPr>
            <w:t>285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31BFD0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_Toc15616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9.1.1建设概况</w:t>
          </w:r>
          <w:r>
            <w:rPr>
              <w:color w:val="auto"/>
              <w:highlight w:val="none"/>
            </w:rPr>
            <w:tab/>
          </w:r>
          <w:r>
            <w:rPr>
              <w:color w:val="auto"/>
              <w:highlight w:val="none"/>
            </w:rPr>
            <w:fldChar w:fldCharType="begin"/>
          </w:r>
          <w:r>
            <w:rPr>
              <w:color w:val="auto"/>
              <w:highlight w:val="none"/>
            </w:rPr>
            <w:instrText xml:space="preserve"> PAGEREF _Toc15616 \h </w:instrText>
          </w:r>
          <w:r>
            <w:rPr>
              <w:color w:val="auto"/>
              <w:highlight w:val="none"/>
            </w:rPr>
            <w:fldChar w:fldCharType="separate"/>
          </w:r>
          <w:r>
            <w:rPr>
              <w:color w:val="auto"/>
              <w:highlight w:val="none"/>
            </w:rPr>
            <w:t>285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4ACDE47">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_Toc24895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9.1.2项目符合性结论</w:t>
          </w:r>
          <w:r>
            <w:rPr>
              <w:color w:val="auto"/>
              <w:highlight w:val="none"/>
            </w:rPr>
            <w:tab/>
          </w:r>
          <w:r>
            <w:rPr>
              <w:color w:val="auto"/>
              <w:highlight w:val="none"/>
            </w:rPr>
            <w:fldChar w:fldCharType="begin"/>
          </w:r>
          <w:r>
            <w:rPr>
              <w:color w:val="auto"/>
              <w:highlight w:val="none"/>
            </w:rPr>
            <w:instrText xml:space="preserve"> PAGEREF _Toc24895 \h </w:instrText>
          </w:r>
          <w:r>
            <w:rPr>
              <w:color w:val="auto"/>
              <w:highlight w:val="none"/>
            </w:rPr>
            <w:fldChar w:fldCharType="separate"/>
          </w:r>
          <w:r>
            <w:rPr>
              <w:color w:val="auto"/>
              <w:highlight w:val="none"/>
            </w:rPr>
            <w:t>285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314FE8A">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_Toc4771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9.1.3环境质量现状评价结论</w:t>
          </w:r>
          <w:r>
            <w:rPr>
              <w:color w:val="auto"/>
              <w:highlight w:val="none"/>
            </w:rPr>
            <w:tab/>
          </w:r>
          <w:r>
            <w:rPr>
              <w:color w:val="auto"/>
              <w:highlight w:val="none"/>
            </w:rPr>
            <w:fldChar w:fldCharType="begin"/>
          </w:r>
          <w:r>
            <w:rPr>
              <w:color w:val="auto"/>
              <w:highlight w:val="none"/>
            </w:rPr>
            <w:instrText xml:space="preserve"> PAGEREF _Toc4771 \h </w:instrText>
          </w:r>
          <w:r>
            <w:rPr>
              <w:color w:val="auto"/>
              <w:highlight w:val="none"/>
            </w:rPr>
            <w:fldChar w:fldCharType="separate"/>
          </w:r>
          <w:r>
            <w:rPr>
              <w:color w:val="auto"/>
              <w:highlight w:val="none"/>
            </w:rPr>
            <w:t>285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8958BDB">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_Toc19970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9.1.4污染防治措施可行性结论</w:t>
          </w:r>
          <w:r>
            <w:rPr>
              <w:color w:val="auto"/>
              <w:highlight w:val="none"/>
            </w:rPr>
            <w:tab/>
          </w:r>
          <w:r>
            <w:rPr>
              <w:color w:val="auto"/>
              <w:highlight w:val="none"/>
            </w:rPr>
            <w:fldChar w:fldCharType="begin"/>
          </w:r>
          <w:r>
            <w:rPr>
              <w:color w:val="auto"/>
              <w:highlight w:val="none"/>
            </w:rPr>
            <w:instrText xml:space="preserve"> PAGEREF _Toc19970 \h </w:instrText>
          </w:r>
          <w:r>
            <w:rPr>
              <w:color w:val="auto"/>
              <w:highlight w:val="none"/>
            </w:rPr>
            <w:fldChar w:fldCharType="separate"/>
          </w:r>
          <w:r>
            <w:rPr>
              <w:color w:val="auto"/>
              <w:highlight w:val="none"/>
            </w:rPr>
            <w:t>286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90723A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_Toc28532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9.1.5经济损益分析结论</w:t>
          </w:r>
          <w:r>
            <w:rPr>
              <w:color w:val="auto"/>
              <w:highlight w:val="none"/>
            </w:rPr>
            <w:tab/>
          </w:r>
          <w:r>
            <w:rPr>
              <w:color w:val="auto"/>
              <w:highlight w:val="none"/>
            </w:rPr>
            <w:fldChar w:fldCharType="begin"/>
          </w:r>
          <w:r>
            <w:rPr>
              <w:color w:val="auto"/>
              <w:highlight w:val="none"/>
            </w:rPr>
            <w:instrText xml:space="preserve"> PAGEREF _Toc28532 \h </w:instrText>
          </w:r>
          <w:r>
            <w:rPr>
              <w:color w:val="auto"/>
              <w:highlight w:val="none"/>
            </w:rPr>
            <w:fldChar w:fldCharType="separate"/>
          </w:r>
          <w:r>
            <w:rPr>
              <w:color w:val="auto"/>
              <w:highlight w:val="none"/>
            </w:rPr>
            <w:t>288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5F852E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_Toc2526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9.1.6环境管理与监测结论</w:t>
          </w:r>
          <w:r>
            <w:rPr>
              <w:color w:val="auto"/>
              <w:highlight w:val="none"/>
            </w:rPr>
            <w:tab/>
          </w:r>
          <w:r>
            <w:rPr>
              <w:color w:val="auto"/>
              <w:highlight w:val="none"/>
            </w:rPr>
            <w:fldChar w:fldCharType="begin"/>
          </w:r>
          <w:r>
            <w:rPr>
              <w:color w:val="auto"/>
              <w:highlight w:val="none"/>
            </w:rPr>
            <w:instrText xml:space="preserve"> PAGEREF _Toc2526 \h </w:instrText>
          </w:r>
          <w:r>
            <w:rPr>
              <w:color w:val="auto"/>
              <w:highlight w:val="none"/>
            </w:rPr>
            <w:fldChar w:fldCharType="separate"/>
          </w:r>
          <w:r>
            <w:rPr>
              <w:color w:val="auto"/>
              <w:highlight w:val="none"/>
            </w:rPr>
            <w:t>288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18188C53">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_Toc4622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9.1.7公众意见采纳情况</w:t>
          </w:r>
          <w:r>
            <w:rPr>
              <w:color w:val="auto"/>
              <w:highlight w:val="none"/>
            </w:rPr>
            <w:tab/>
          </w:r>
          <w:r>
            <w:rPr>
              <w:color w:val="auto"/>
              <w:highlight w:val="none"/>
            </w:rPr>
            <w:fldChar w:fldCharType="begin"/>
          </w:r>
          <w:r>
            <w:rPr>
              <w:color w:val="auto"/>
              <w:highlight w:val="none"/>
            </w:rPr>
            <w:instrText xml:space="preserve"> PAGEREF _Toc4622 \h </w:instrText>
          </w:r>
          <w:r>
            <w:rPr>
              <w:color w:val="auto"/>
              <w:highlight w:val="none"/>
            </w:rPr>
            <w:fldChar w:fldCharType="separate"/>
          </w:r>
          <w:r>
            <w:rPr>
              <w:color w:val="auto"/>
              <w:highlight w:val="none"/>
            </w:rPr>
            <w:t>288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EECE4A8">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_Toc14377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9.1.8总结论</w:t>
          </w:r>
          <w:r>
            <w:rPr>
              <w:color w:val="auto"/>
              <w:highlight w:val="none"/>
            </w:rPr>
            <w:tab/>
          </w:r>
          <w:r>
            <w:rPr>
              <w:color w:val="auto"/>
              <w:highlight w:val="none"/>
            </w:rPr>
            <w:fldChar w:fldCharType="begin"/>
          </w:r>
          <w:r>
            <w:rPr>
              <w:color w:val="auto"/>
              <w:highlight w:val="none"/>
            </w:rPr>
            <w:instrText xml:space="preserve"> PAGEREF _Toc14377 \h </w:instrText>
          </w:r>
          <w:r>
            <w:rPr>
              <w:color w:val="auto"/>
              <w:highlight w:val="none"/>
            </w:rPr>
            <w:fldChar w:fldCharType="separate"/>
          </w:r>
          <w:r>
            <w:rPr>
              <w:color w:val="auto"/>
              <w:highlight w:val="none"/>
            </w:rPr>
            <w:t>288</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4BCDEA3">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_Toc31495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9.2建议</w:t>
          </w:r>
          <w:r>
            <w:rPr>
              <w:color w:val="auto"/>
              <w:highlight w:val="none"/>
            </w:rPr>
            <w:tab/>
          </w:r>
          <w:r>
            <w:rPr>
              <w:color w:val="auto"/>
              <w:highlight w:val="none"/>
            </w:rPr>
            <w:fldChar w:fldCharType="begin"/>
          </w:r>
          <w:r>
            <w:rPr>
              <w:color w:val="auto"/>
              <w:highlight w:val="none"/>
            </w:rPr>
            <w:instrText xml:space="preserve"> PAGEREF _Toc31495 \h </w:instrText>
          </w:r>
          <w:r>
            <w:rPr>
              <w:color w:val="auto"/>
              <w:highlight w:val="none"/>
            </w:rPr>
            <w:fldChar w:fldCharType="separate"/>
          </w:r>
          <w:r>
            <w:rPr>
              <w:color w:val="auto"/>
              <w:highlight w:val="none"/>
            </w:rPr>
            <w:t>289</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F235F9E">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_Toc32588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附件</w:t>
          </w:r>
          <w:r>
            <w:rPr>
              <w:color w:val="auto"/>
              <w:highlight w:val="none"/>
            </w:rPr>
            <w:tab/>
          </w:r>
          <w:r>
            <w:rPr>
              <w:color w:val="auto"/>
              <w:highlight w:val="none"/>
            </w:rPr>
            <w:fldChar w:fldCharType="begin"/>
          </w:r>
          <w:r>
            <w:rPr>
              <w:color w:val="auto"/>
              <w:highlight w:val="none"/>
            </w:rPr>
            <w:instrText xml:space="preserve"> PAGEREF _Toc32588 \h </w:instrText>
          </w:r>
          <w:r>
            <w:rPr>
              <w:color w:val="auto"/>
              <w:highlight w:val="none"/>
            </w:rPr>
            <w:fldChar w:fldCharType="separate"/>
          </w:r>
          <w:r>
            <w:rPr>
              <w:color w:val="auto"/>
              <w:highlight w:val="none"/>
            </w:rPr>
            <w:t>290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49D4EF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_Toc1680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附件1营业执照</w:t>
          </w:r>
          <w:r>
            <w:rPr>
              <w:color w:val="auto"/>
              <w:highlight w:val="none"/>
            </w:rPr>
            <w:tab/>
          </w:r>
          <w:r>
            <w:rPr>
              <w:color w:val="auto"/>
              <w:highlight w:val="none"/>
            </w:rPr>
            <w:fldChar w:fldCharType="begin"/>
          </w:r>
          <w:r>
            <w:rPr>
              <w:color w:val="auto"/>
              <w:highlight w:val="none"/>
            </w:rPr>
            <w:instrText xml:space="preserve"> PAGEREF _Toc1680 \h </w:instrText>
          </w:r>
          <w:r>
            <w:rPr>
              <w:color w:val="auto"/>
              <w:highlight w:val="none"/>
            </w:rPr>
            <w:fldChar w:fldCharType="separate"/>
          </w:r>
          <w:r>
            <w:rPr>
              <w:color w:val="auto"/>
              <w:highlight w:val="none"/>
            </w:rPr>
            <w:t>290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3C7A08E">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_Toc1146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bCs w:val="0"/>
              <w:color w:val="auto"/>
              <w:highlight w:val="none"/>
            </w:rPr>
            <w:t>附件</w:t>
          </w:r>
          <w:r>
            <w:rPr>
              <w:rFonts w:hint="default" w:ascii="Times New Roman" w:hAnsi="Times New Roman" w:cs="Times New Roman"/>
              <w:bCs w:val="0"/>
              <w:color w:val="auto"/>
              <w:highlight w:val="none"/>
              <w:lang w:val="en-US" w:eastAsia="zh-CN"/>
            </w:rPr>
            <w:t>2</w:t>
          </w:r>
          <w:r>
            <w:rPr>
              <w:rFonts w:hint="default" w:ascii="Times New Roman" w:hAnsi="Times New Roman" w:cs="Times New Roman"/>
              <w:color w:val="auto"/>
              <w:highlight w:val="none"/>
            </w:rPr>
            <w:t>检测报告</w:t>
          </w:r>
          <w:r>
            <w:rPr>
              <w:color w:val="auto"/>
              <w:highlight w:val="none"/>
            </w:rPr>
            <w:tab/>
          </w:r>
          <w:r>
            <w:rPr>
              <w:color w:val="auto"/>
              <w:highlight w:val="none"/>
            </w:rPr>
            <w:fldChar w:fldCharType="begin"/>
          </w:r>
          <w:r>
            <w:rPr>
              <w:color w:val="auto"/>
              <w:highlight w:val="none"/>
            </w:rPr>
            <w:instrText xml:space="preserve"> PAGEREF _Toc1146 \h </w:instrText>
          </w:r>
          <w:r>
            <w:rPr>
              <w:color w:val="auto"/>
              <w:highlight w:val="none"/>
            </w:rPr>
            <w:fldChar w:fldCharType="separate"/>
          </w:r>
          <w:r>
            <w:rPr>
              <w:color w:val="auto"/>
              <w:highlight w:val="none"/>
            </w:rPr>
            <w:t>291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DF43A1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_Toc8137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生态环境分区管控分析报告</w:t>
          </w:r>
          <w:r>
            <w:rPr>
              <w:color w:val="auto"/>
              <w:highlight w:val="none"/>
            </w:rPr>
            <w:tab/>
          </w:r>
          <w:r>
            <w:rPr>
              <w:color w:val="auto"/>
              <w:highlight w:val="none"/>
            </w:rPr>
            <w:fldChar w:fldCharType="begin"/>
          </w:r>
          <w:r>
            <w:rPr>
              <w:color w:val="auto"/>
              <w:highlight w:val="none"/>
            </w:rPr>
            <w:instrText xml:space="preserve"> PAGEREF _Toc8137 \h </w:instrText>
          </w:r>
          <w:r>
            <w:rPr>
              <w:color w:val="auto"/>
              <w:highlight w:val="none"/>
            </w:rPr>
            <w:fldChar w:fldCharType="separate"/>
          </w:r>
          <w:r>
            <w:rPr>
              <w:color w:val="auto"/>
              <w:highlight w:val="none"/>
            </w:rPr>
            <w:t>292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F88CB56">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_Toc24103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w:t>
          </w:r>
          <w:r>
            <w:rPr>
              <w:rFonts w:hint="default" w:ascii="Times New Roman" w:hAnsi="Times New Roman" w:cs="Times New Roman"/>
              <w:color w:val="auto"/>
              <w:highlight w:val="none"/>
              <w:lang w:val="en-US" w:eastAsia="zh-CN"/>
            </w:rPr>
            <w:t>件</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粪污还田协议</w:t>
          </w:r>
          <w:r>
            <w:rPr>
              <w:color w:val="auto"/>
              <w:highlight w:val="none"/>
            </w:rPr>
            <w:tab/>
          </w:r>
          <w:r>
            <w:rPr>
              <w:color w:val="auto"/>
              <w:highlight w:val="none"/>
            </w:rPr>
            <w:fldChar w:fldCharType="begin"/>
          </w:r>
          <w:r>
            <w:rPr>
              <w:color w:val="auto"/>
              <w:highlight w:val="none"/>
            </w:rPr>
            <w:instrText xml:space="preserve"> PAGEREF _Toc24103 \h </w:instrText>
          </w:r>
          <w:r>
            <w:rPr>
              <w:color w:val="auto"/>
              <w:highlight w:val="none"/>
            </w:rPr>
            <w:fldChar w:fldCharType="separate"/>
          </w:r>
          <w:r>
            <w:rPr>
              <w:color w:val="auto"/>
              <w:highlight w:val="none"/>
            </w:rPr>
            <w:t>304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66ED73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_Toc17379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w:t>
          </w:r>
          <w:r>
            <w:rPr>
              <w:rFonts w:hint="default" w:ascii="Times New Roman" w:hAnsi="Times New Roman" w:cs="Times New Roman"/>
              <w:color w:val="auto"/>
              <w:highlight w:val="none"/>
              <w:lang w:val="en-US" w:eastAsia="zh-CN"/>
            </w:rPr>
            <w:t>件</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 xml:space="preserve">  备案承诺书</w:t>
          </w:r>
          <w:r>
            <w:rPr>
              <w:color w:val="auto"/>
              <w:highlight w:val="none"/>
            </w:rPr>
            <w:tab/>
          </w:r>
          <w:r>
            <w:rPr>
              <w:color w:val="auto"/>
              <w:highlight w:val="none"/>
            </w:rPr>
            <w:fldChar w:fldCharType="begin"/>
          </w:r>
          <w:r>
            <w:rPr>
              <w:color w:val="auto"/>
              <w:highlight w:val="none"/>
            </w:rPr>
            <w:instrText xml:space="preserve"> PAGEREF _Toc17379 \h </w:instrText>
          </w:r>
          <w:r>
            <w:rPr>
              <w:color w:val="auto"/>
              <w:highlight w:val="none"/>
            </w:rPr>
            <w:fldChar w:fldCharType="separate"/>
          </w:r>
          <w:r>
            <w:rPr>
              <w:color w:val="auto"/>
              <w:highlight w:val="none"/>
            </w:rPr>
            <w:t>305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288E833C">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_Toc31516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 xml:space="preserve"> 用地手续</w:t>
          </w:r>
          <w:r>
            <w:rPr>
              <w:color w:val="auto"/>
              <w:highlight w:val="none"/>
            </w:rPr>
            <w:tab/>
          </w:r>
          <w:r>
            <w:rPr>
              <w:color w:val="auto"/>
              <w:highlight w:val="none"/>
            </w:rPr>
            <w:fldChar w:fldCharType="begin"/>
          </w:r>
          <w:r>
            <w:rPr>
              <w:color w:val="auto"/>
              <w:highlight w:val="none"/>
            </w:rPr>
            <w:instrText xml:space="preserve"> PAGEREF _Toc31516 \h </w:instrText>
          </w:r>
          <w:r>
            <w:rPr>
              <w:color w:val="auto"/>
              <w:highlight w:val="none"/>
            </w:rPr>
            <w:fldChar w:fldCharType="separate"/>
          </w:r>
          <w:r>
            <w:rPr>
              <w:color w:val="auto"/>
              <w:highlight w:val="none"/>
            </w:rPr>
            <w:t>306</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5D397B7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_Toc31574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7</w:t>
          </w:r>
          <w:r>
            <w:rPr>
              <w:rFonts w:hint="eastAsia" w:ascii="Times New Roman" w:hAnsi="Times New Roman" w:cs="Times New Roman"/>
              <w:color w:val="auto"/>
              <w:highlight w:val="none"/>
              <w:lang w:val="en-US" w:eastAsia="zh-CN"/>
            </w:rPr>
            <w:t xml:space="preserve"> 无害化处理协议</w:t>
          </w:r>
          <w:r>
            <w:rPr>
              <w:color w:val="auto"/>
              <w:highlight w:val="none"/>
            </w:rPr>
            <w:tab/>
          </w:r>
          <w:r>
            <w:rPr>
              <w:color w:val="auto"/>
              <w:highlight w:val="none"/>
            </w:rPr>
            <w:fldChar w:fldCharType="begin"/>
          </w:r>
          <w:r>
            <w:rPr>
              <w:color w:val="auto"/>
              <w:highlight w:val="none"/>
            </w:rPr>
            <w:instrText xml:space="preserve"> PAGEREF _Toc31574 \h </w:instrText>
          </w:r>
          <w:r>
            <w:rPr>
              <w:color w:val="auto"/>
              <w:highlight w:val="none"/>
            </w:rPr>
            <w:fldChar w:fldCharType="separate"/>
          </w:r>
          <w:r>
            <w:rPr>
              <w:color w:val="auto"/>
              <w:highlight w:val="none"/>
            </w:rPr>
            <w:t>307</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62BDC31">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_Toc11110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附图</w:t>
          </w:r>
          <w:r>
            <w:rPr>
              <w:color w:val="auto"/>
              <w:highlight w:val="none"/>
            </w:rPr>
            <w:tab/>
          </w:r>
          <w:r>
            <w:rPr>
              <w:color w:val="auto"/>
              <w:highlight w:val="none"/>
            </w:rPr>
            <w:fldChar w:fldCharType="begin"/>
          </w:r>
          <w:r>
            <w:rPr>
              <w:color w:val="auto"/>
              <w:highlight w:val="none"/>
            </w:rPr>
            <w:instrText xml:space="preserve"> PAGEREF _Toc11110 \h </w:instrText>
          </w:r>
          <w:r>
            <w:rPr>
              <w:color w:val="auto"/>
              <w:highlight w:val="none"/>
            </w:rPr>
            <w:fldChar w:fldCharType="separate"/>
          </w:r>
          <w:r>
            <w:rPr>
              <w:color w:val="auto"/>
              <w:highlight w:val="none"/>
            </w:rPr>
            <w:t>310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E4579C9">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_Toc25005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附图</w:t>
          </w:r>
          <w:r>
            <w:rPr>
              <w:rFonts w:hint="eastAsia" w:cs="Times New Roman"/>
              <w:color w:val="auto"/>
              <w:highlight w:val="none"/>
              <w:lang w:val="en-US" w:eastAsia="zh-CN"/>
            </w:rPr>
            <w:t>1</w:t>
          </w:r>
          <w:r>
            <w:rPr>
              <w:rFonts w:hint="default" w:ascii="Times New Roman" w:hAnsi="Times New Roman" w:cs="Times New Roman"/>
              <w:color w:val="auto"/>
              <w:highlight w:val="none"/>
            </w:rPr>
            <w:t>平面布置图</w:t>
          </w:r>
          <w:r>
            <w:rPr>
              <w:color w:val="auto"/>
              <w:highlight w:val="none"/>
            </w:rPr>
            <w:tab/>
          </w:r>
          <w:r>
            <w:rPr>
              <w:color w:val="auto"/>
              <w:highlight w:val="none"/>
            </w:rPr>
            <w:fldChar w:fldCharType="begin"/>
          </w:r>
          <w:r>
            <w:rPr>
              <w:color w:val="auto"/>
              <w:highlight w:val="none"/>
            </w:rPr>
            <w:instrText xml:space="preserve"> PAGEREF _Toc25005 \h </w:instrText>
          </w:r>
          <w:r>
            <w:rPr>
              <w:color w:val="auto"/>
              <w:highlight w:val="none"/>
            </w:rPr>
            <w:fldChar w:fldCharType="separate"/>
          </w:r>
          <w:r>
            <w:rPr>
              <w:color w:val="auto"/>
              <w:highlight w:val="none"/>
            </w:rPr>
            <w:t>310</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B4E8B1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_Toc8553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附图</w:t>
          </w: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本次建设区域</w:t>
          </w:r>
          <w:r>
            <w:rPr>
              <w:rFonts w:hint="default" w:ascii="Times New Roman" w:hAnsi="Times New Roman" w:cs="Times New Roman"/>
              <w:color w:val="auto"/>
              <w:highlight w:val="none"/>
              <w:lang w:val="en-US" w:eastAsia="zh-CN"/>
            </w:rPr>
            <w:t>分区防渗图</w:t>
          </w:r>
          <w:r>
            <w:rPr>
              <w:color w:val="auto"/>
              <w:highlight w:val="none"/>
            </w:rPr>
            <w:tab/>
          </w:r>
          <w:r>
            <w:rPr>
              <w:color w:val="auto"/>
              <w:highlight w:val="none"/>
            </w:rPr>
            <w:fldChar w:fldCharType="begin"/>
          </w:r>
          <w:r>
            <w:rPr>
              <w:color w:val="auto"/>
              <w:highlight w:val="none"/>
            </w:rPr>
            <w:instrText xml:space="preserve"> PAGEREF _Toc8553 \h </w:instrText>
          </w:r>
          <w:r>
            <w:rPr>
              <w:color w:val="auto"/>
              <w:highlight w:val="none"/>
            </w:rPr>
            <w:fldChar w:fldCharType="separate"/>
          </w:r>
          <w:r>
            <w:rPr>
              <w:color w:val="auto"/>
              <w:highlight w:val="none"/>
            </w:rPr>
            <w:t>311</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3A60718F">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_Toc22702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黑河市畜禽禁养区分布总图</w:t>
          </w:r>
          <w:r>
            <w:rPr>
              <w:color w:val="auto"/>
              <w:highlight w:val="none"/>
            </w:rPr>
            <w:tab/>
          </w:r>
          <w:r>
            <w:rPr>
              <w:color w:val="auto"/>
              <w:highlight w:val="none"/>
            </w:rPr>
            <w:fldChar w:fldCharType="begin"/>
          </w:r>
          <w:r>
            <w:rPr>
              <w:color w:val="auto"/>
              <w:highlight w:val="none"/>
            </w:rPr>
            <w:instrText xml:space="preserve"> PAGEREF _Toc22702 \h </w:instrText>
          </w:r>
          <w:r>
            <w:rPr>
              <w:color w:val="auto"/>
              <w:highlight w:val="none"/>
            </w:rPr>
            <w:fldChar w:fldCharType="separate"/>
          </w:r>
          <w:r>
            <w:rPr>
              <w:color w:val="auto"/>
              <w:highlight w:val="none"/>
            </w:rPr>
            <w:t>312</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6D202C0">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_Toc13537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黑龙江省主体功能区划图</w:t>
          </w:r>
          <w:r>
            <w:rPr>
              <w:color w:val="auto"/>
              <w:highlight w:val="none"/>
            </w:rPr>
            <w:tab/>
          </w:r>
          <w:r>
            <w:rPr>
              <w:color w:val="auto"/>
              <w:highlight w:val="none"/>
            </w:rPr>
            <w:fldChar w:fldCharType="begin"/>
          </w:r>
          <w:r>
            <w:rPr>
              <w:color w:val="auto"/>
              <w:highlight w:val="none"/>
            </w:rPr>
            <w:instrText xml:space="preserve"> PAGEREF _Toc13537 \h </w:instrText>
          </w:r>
          <w:r>
            <w:rPr>
              <w:color w:val="auto"/>
              <w:highlight w:val="none"/>
            </w:rPr>
            <w:fldChar w:fldCharType="separate"/>
          </w:r>
          <w:r>
            <w:rPr>
              <w:color w:val="auto"/>
              <w:highlight w:val="none"/>
            </w:rPr>
            <w:t>313</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02E120E1">
          <w:pPr>
            <w:pStyle w:val="26"/>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_Toc10743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 xml:space="preserve"> 黑龙江省生态功能区划图</w:t>
          </w:r>
          <w:r>
            <w:rPr>
              <w:color w:val="auto"/>
              <w:highlight w:val="none"/>
            </w:rPr>
            <w:tab/>
          </w:r>
          <w:r>
            <w:rPr>
              <w:color w:val="auto"/>
              <w:highlight w:val="none"/>
            </w:rPr>
            <w:fldChar w:fldCharType="begin"/>
          </w:r>
          <w:r>
            <w:rPr>
              <w:color w:val="auto"/>
              <w:highlight w:val="none"/>
            </w:rPr>
            <w:instrText xml:space="preserve"> PAGEREF _Toc10743 \h </w:instrText>
          </w:r>
          <w:r>
            <w:rPr>
              <w:color w:val="auto"/>
              <w:highlight w:val="none"/>
            </w:rPr>
            <w:fldChar w:fldCharType="separate"/>
          </w:r>
          <w:r>
            <w:rPr>
              <w:color w:val="auto"/>
              <w:highlight w:val="none"/>
            </w:rPr>
            <w:t>314</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4AEFBF11">
          <w:pPr>
            <w:pStyle w:val="38"/>
            <w:tabs>
              <w:tab w:val="right" w:leader="dot" w:pos="8312"/>
            </w:tabs>
            <w:spacing w:line="240" w:lineRule="auto"/>
            <w:rPr>
              <w:color w:val="auto"/>
              <w:highlight w:val="none"/>
            </w:rPr>
          </w:pPr>
          <w:r>
            <w:rPr>
              <w:rFonts w:hint="default" w:ascii="Times New Roman" w:hAnsi="Times New Roman" w:eastAsia="仿宋" w:cs="Times New Roman"/>
              <w:caps/>
              <w:color w:val="auto"/>
              <w:kern w:val="0"/>
              <w:szCs w:val="21"/>
              <w:highlight w:val="none"/>
            </w:rPr>
            <w:fldChar w:fldCharType="begin"/>
          </w:r>
          <w:r>
            <w:rPr>
              <w:rFonts w:hint="default" w:ascii="Times New Roman" w:hAnsi="Times New Roman" w:eastAsia="仿宋" w:cs="Times New Roman"/>
              <w:caps/>
              <w:color w:val="auto"/>
              <w:kern w:val="0"/>
              <w:szCs w:val="21"/>
              <w:highlight w:val="none"/>
            </w:rPr>
            <w:instrText xml:space="preserve"> HYPERLINK \l _Toc16023 </w:instrText>
          </w:r>
          <w:r>
            <w:rPr>
              <w:rFonts w:hint="default" w:ascii="Times New Roman" w:hAnsi="Times New Roman" w:eastAsia="仿宋" w:cs="Times New Roman"/>
              <w:caps/>
              <w:color w:val="auto"/>
              <w:kern w:val="0"/>
              <w:szCs w:val="21"/>
              <w:highlight w:val="none"/>
            </w:rPr>
            <w:fldChar w:fldCharType="separate"/>
          </w:r>
          <w:r>
            <w:rPr>
              <w:rFonts w:hint="default" w:ascii="Times New Roman" w:hAnsi="Times New Roman" w:cs="Times New Roman"/>
              <w:color w:val="auto"/>
              <w:highlight w:val="none"/>
            </w:rPr>
            <w:t>附表</w:t>
          </w:r>
          <w:r>
            <w:rPr>
              <w:color w:val="auto"/>
              <w:highlight w:val="none"/>
            </w:rPr>
            <w:tab/>
          </w:r>
          <w:r>
            <w:rPr>
              <w:color w:val="auto"/>
              <w:highlight w:val="none"/>
            </w:rPr>
            <w:fldChar w:fldCharType="begin"/>
          </w:r>
          <w:r>
            <w:rPr>
              <w:color w:val="auto"/>
              <w:highlight w:val="none"/>
            </w:rPr>
            <w:instrText xml:space="preserve"> PAGEREF _Toc16023 \h </w:instrText>
          </w:r>
          <w:r>
            <w:rPr>
              <w:color w:val="auto"/>
              <w:highlight w:val="none"/>
            </w:rPr>
            <w:fldChar w:fldCharType="separate"/>
          </w:r>
          <w:r>
            <w:rPr>
              <w:color w:val="auto"/>
              <w:highlight w:val="none"/>
            </w:rPr>
            <w:t>315</w:t>
          </w:r>
          <w:r>
            <w:rPr>
              <w:color w:val="auto"/>
              <w:highlight w:val="none"/>
            </w:rPr>
            <w:fldChar w:fldCharType="end"/>
          </w:r>
          <w:r>
            <w:rPr>
              <w:rFonts w:hint="default" w:ascii="Times New Roman" w:hAnsi="Times New Roman" w:eastAsia="仿宋" w:cs="Times New Roman"/>
              <w:caps/>
              <w:color w:val="auto"/>
              <w:kern w:val="0"/>
              <w:szCs w:val="21"/>
              <w:highlight w:val="none"/>
            </w:rPr>
            <w:fldChar w:fldCharType="end"/>
          </w:r>
        </w:p>
        <w:p w14:paraId="62D4D0E0">
          <w:pPr>
            <w:pStyle w:val="26"/>
            <w:tabs>
              <w:tab w:val="right" w:leader="dot" w:pos="8312"/>
            </w:tabs>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_Toc12864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附表1建设项目大气环境影响评价自查表</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_Toc12864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315</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70B065DB">
          <w:pPr>
            <w:pStyle w:val="26"/>
            <w:tabs>
              <w:tab w:val="right" w:leader="dot" w:pos="8312"/>
            </w:tabs>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_Toc23316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附表2建设项目地表水环境影响评价自查表</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_Toc23316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316</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12E2BF22">
          <w:pPr>
            <w:pStyle w:val="26"/>
            <w:tabs>
              <w:tab w:val="right" w:leader="dot" w:pos="8312"/>
            </w:tabs>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_Toc19424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附表3建设项目环境风险环境影响评价自查</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_Toc19424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318</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1E277B0C">
          <w:pPr>
            <w:pStyle w:val="26"/>
            <w:tabs>
              <w:tab w:val="right" w:leader="dot" w:pos="8312"/>
            </w:tabs>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_Toc5016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附表4建设项目土壤环境影响评价自查表</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_Toc5016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319</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4B98A784">
          <w:pPr>
            <w:pStyle w:val="26"/>
            <w:tabs>
              <w:tab w:val="right" w:leader="dot" w:pos="8312"/>
            </w:tabs>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_Toc6728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附表5建设项目声环境影响评价自查表</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_Toc6728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320</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29362D1C">
          <w:pPr>
            <w:pStyle w:val="26"/>
            <w:tabs>
              <w:tab w:val="right" w:leader="dot" w:pos="8312"/>
            </w:tabs>
            <w:spacing w:line="240" w:lineRule="auto"/>
            <w:rPr>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\l _Toc10271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附表6建设项目生态环境影响评价自查表</w:t>
          </w:r>
          <w:r>
            <w:rPr>
              <w:rFonts w:hint="default" w:ascii="Times New Roman" w:hAnsi="Times New Roman" w:eastAsia="宋体" w:cs="Times New Roman"/>
              <w:color w:val="auto"/>
              <w:highlight w:val="none"/>
              <w:lang w:val="en-US" w:eastAsia="zh-CN"/>
            </w:rPr>
            <w:tab/>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PAGEREF _Toc10271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321</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end"/>
          </w:r>
        </w:p>
        <w:p w14:paraId="3C29FB37">
          <w:pPr>
            <w:spacing w:line="240" w:lineRule="auto"/>
            <w:jc w:val="center"/>
            <w:rPr>
              <w:rFonts w:hint="default" w:ascii="Times New Roman" w:hAnsi="Times New Roman" w:cs="Times New Roman"/>
              <w:color w:val="auto"/>
              <w:highlight w:val="none"/>
            </w:rPr>
          </w:pPr>
          <w:r>
            <w:rPr>
              <w:rFonts w:hint="default" w:ascii="Times New Roman" w:hAnsi="Times New Roman" w:eastAsia="仿宋" w:cs="Times New Roman"/>
              <w:caps/>
              <w:color w:val="auto"/>
              <w:kern w:val="0"/>
              <w:szCs w:val="21"/>
              <w:highlight w:val="none"/>
            </w:rPr>
            <w:fldChar w:fldCharType="end"/>
          </w:r>
        </w:p>
      </w:sdtContent>
    </w:sdt>
    <w:p w14:paraId="20CB28CE">
      <w:pPr>
        <w:ind w:firstLine="0" w:firstLineChars="0"/>
        <w:rPr>
          <w:rFonts w:hint="default" w:ascii="Times New Roman" w:hAnsi="Times New Roman" w:cs="Times New Roman"/>
          <w:color w:val="auto"/>
          <w:szCs w:val="24"/>
          <w:highlight w:val="none"/>
          <w:lang w:val="zh-CN"/>
        </w:rPr>
        <w:sectPr>
          <w:headerReference r:id="rId11" w:type="default"/>
          <w:footerReference r:id="rId12" w:type="default"/>
          <w:pgSz w:w="11906" w:h="16838"/>
          <w:pgMar w:top="1440" w:right="1797" w:bottom="1440" w:left="1797" w:header="850" w:footer="992" w:gutter="0"/>
          <w:pgBorders>
            <w:top w:val="none" w:sz="0" w:space="0"/>
            <w:left w:val="none" w:sz="0" w:space="0"/>
            <w:bottom w:val="none" w:sz="0" w:space="0"/>
            <w:right w:val="none" w:sz="0" w:space="0"/>
          </w:pgBorders>
          <w:cols w:space="425" w:num="1"/>
          <w:docGrid w:type="linesAndChars" w:linePitch="326" w:charSpace="0"/>
        </w:sectPr>
      </w:pPr>
    </w:p>
    <w:p w14:paraId="442736D3">
      <w:pPr>
        <w:pStyle w:val="3"/>
        <w:spacing w:line="500" w:lineRule="exact"/>
        <w:rPr>
          <w:rFonts w:hint="default" w:ascii="Times New Roman" w:hAnsi="Times New Roman" w:cs="Times New Roman"/>
          <w:color w:val="auto"/>
          <w:highlight w:val="none"/>
        </w:rPr>
      </w:pPr>
      <w:bookmarkStart w:id="0" w:name="_Toc12111"/>
      <w:bookmarkStart w:id="1" w:name="_Toc57713592"/>
      <w:r>
        <w:rPr>
          <w:rFonts w:hint="default" w:ascii="Times New Roman" w:hAnsi="Times New Roman" w:cs="Times New Roman"/>
          <w:color w:val="auto"/>
          <w:highlight w:val="none"/>
        </w:rPr>
        <w:t>1概述</w:t>
      </w:r>
      <w:bookmarkEnd w:id="0"/>
      <w:bookmarkEnd w:id="1"/>
    </w:p>
    <w:p w14:paraId="4AAC77CC">
      <w:pPr>
        <w:keepNext w:val="0"/>
        <w:keepLines w:val="0"/>
        <w:pageBreakBefore w:val="0"/>
        <w:widowControl/>
        <w:suppressLineNumbers w:val="0"/>
        <w:kinsoku/>
        <w:wordWrap/>
        <w:overflowPunct/>
        <w:topLinePunct w:val="0"/>
        <w:autoSpaceDE/>
        <w:autoSpaceDN/>
        <w:bidi w:val="0"/>
        <w:adjustRightInd w:val="0"/>
        <w:snapToGrid w:val="0"/>
        <w:spacing w:line="500" w:lineRule="atLeast"/>
        <w:ind w:left="0" w:leftChars="0" w:firstLine="480" w:firstLineChars="200"/>
        <w:jc w:val="left"/>
        <w:textAlignment w:val="auto"/>
        <w:rPr>
          <w:rFonts w:hint="default" w:ascii="Times New Roman" w:hAnsi="Times New Roman" w:eastAsia="宋体" w:cs="Times New Roman"/>
          <w:snapToGrid w:val="0"/>
          <w:color w:val="auto"/>
          <w:kern w:val="0"/>
          <w:sz w:val="24"/>
          <w:szCs w:val="22"/>
          <w:highlight w:val="none"/>
          <w:lang w:val="en-US" w:eastAsia="zh-CN" w:bidi="ar-SA"/>
        </w:rPr>
      </w:pPr>
      <w:r>
        <w:rPr>
          <w:rFonts w:hint="default" w:ascii="Times New Roman" w:hAnsi="Times New Roman" w:eastAsia="宋体" w:cs="Times New Roman"/>
          <w:color w:val="auto"/>
          <w:highlight w:val="none"/>
        </w:rPr>
        <w:t>随着农村经济的发展，畜牧业在大农业中的地位越发突出，农村经济能否持续快速、健康发展，某种程度上取决于畜牧业的大发展。发展畜牧业主要为人类提供食物中的肉类来源，肉类是提供人们蛋白质，改善人民生活的重要食品，肉食品重要来源之一就是牛肉，牛是草食家畜，具有较强的合群性，便于放牧管理和圈养管理。它的采草能力和发达的胃，能大量利用牧草和玉米等粗饲料转化为人们所需的牛肉、毛皮等，并且肉牛早熟、抗病力强、繁殖力高、周转快。牛肉属高蛋白、低脂肪，富含多种氨基酸和矿物质元素，具有消化吸收率高等特点。牛肉的胆固醇比鸡肉、鱼和蛋低，适量的脂肪是健康均衡饮食的基本组成部分。</w:t>
      </w:r>
    </w:p>
    <w:p w14:paraId="114C5837">
      <w:pPr>
        <w:pStyle w:val="6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黑尊牛（黑龙江）牧业科技有限公司</w:t>
      </w:r>
      <w:r>
        <w:rPr>
          <w:rFonts w:hint="eastAsia" w:ascii="Times New Roman" w:hAnsi="Times New Roman" w:eastAsia="宋体" w:cs="Times New Roman"/>
          <w:color w:val="auto"/>
          <w:highlight w:val="none"/>
          <w:lang w:val="en-US" w:eastAsia="zh-CN"/>
        </w:rPr>
        <w:t>拟在黑河市孙吴县建设一座</w:t>
      </w:r>
      <w:r>
        <w:rPr>
          <w:rFonts w:hint="default" w:ascii="Times New Roman" w:hAnsi="Times New Roman" w:eastAsia="宋体" w:cs="Times New Roman"/>
          <w:color w:val="auto"/>
          <w:highlight w:val="none"/>
          <w:lang w:val="en-US" w:eastAsia="zh-CN"/>
        </w:rPr>
        <w:t>年出栏1</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000头安格斯牛养殖场。本项目</w:t>
      </w:r>
      <w:r>
        <w:rPr>
          <w:rFonts w:hint="default" w:ascii="Times New Roman" w:hAnsi="Times New Roman" w:eastAsia="宋体" w:cs="Times New Roman"/>
          <w:color w:val="auto"/>
          <w:highlight w:val="none"/>
        </w:rPr>
        <w:t>的建设符合黑龙江省和</w:t>
      </w:r>
      <w:r>
        <w:rPr>
          <w:rFonts w:hint="default" w:ascii="Times New Roman" w:hAnsi="Times New Roman" w:eastAsia="宋体" w:cs="Times New Roman"/>
          <w:color w:val="auto"/>
          <w:highlight w:val="none"/>
          <w:lang w:val="en-US" w:eastAsia="zh-CN"/>
        </w:rPr>
        <w:t>黑河</w:t>
      </w:r>
      <w:r>
        <w:rPr>
          <w:rFonts w:hint="default" w:ascii="Times New Roman" w:hAnsi="Times New Roman" w:eastAsia="宋体" w:cs="Times New Roman"/>
          <w:color w:val="auto"/>
          <w:highlight w:val="none"/>
        </w:rPr>
        <w:t>市的畜牧产业发展方向，发展畜禽标准化规模养殖，是加快生产方式转变，建设现代畜牧业的重要内容。加快推进畜禽标准化规模养殖，有利于增强畜牧业综合生产能力，保障畜产品供给安全；可以从源头对产品质量安全进行控制，提升畜产品质量安全水平，通过规模化养殖，能有效提升疫病防控能力，降低疫病风险，确保人畜安全。同时，标准化、规模化养殖可以保证畜禽粪污的集中有效处理和资源化利用，实现畜牧业与环境的协调发展。项目的建设对于充分发挥</w:t>
      </w:r>
      <w:r>
        <w:rPr>
          <w:rFonts w:hint="default" w:ascii="Times New Roman" w:hAnsi="Times New Roman" w:eastAsia="宋体" w:cs="Times New Roman"/>
          <w:color w:val="auto"/>
          <w:highlight w:val="none"/>
          <w:lang w:val="en-US" w:eastAsia="zh-CN"/>
        </w:rPr>
        <w:t>黑河</w:t>
      </w:r>
      <w:r>
        <w:rPr>
          <w:rFonts w:hint="default" w:ascii="Times New Roman" w:hAnsi="Times New Roman" w:eastAsia="宋体" w:cs="Times New Roman"/>
          <w:color w:val="auto"/>
          <w:highlight w:val="none"/>
        </w:rPr>
        <w:t>市地区资源优势、促进畜牧业产业结构调整、提高畜产品质量和收益、推动畜禽养殖业向规模化方向发展具有十分重要的意义。</w:t>
      </w:r>
    </w:p>
    <w:p w14:paraId="173CDC23">
      <w:pPr>
        <w:pStyle w:val="6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按照《中华人民共和国环境保护法》、《中华人民共和国环境影响评价法》和</w:t>
      </w:r>
      <w:bookmarkStart w:id="2" w:name="_Hlk141193318"/>
      <w:r>
        <w:rPr>
          <w:rFonts w:hint="default" w:ascii="Times New Roman" w:hAnsi="Times New Roman" w:eastAsia="宋体" w:cs="Times New Roman"/>
          <w:color w:val="auto"/>
          <w:highlight w:val="none"/>
        </w:rPr>
        <w:t>《建设项目环境保护管理条例》（国务院令第682号）</w:t>
      </w:r>
      <w:bookmarkEnd w:id="2"/>
      <w:r>
        <w:rPr>
          <w:rFonts w:hint="default" w:ascii="Times New Roman" w:hAnsi="Times New Roman" w:eastAsia="宋体" w:cs="Times New Roman"/>
          <w:color w:val="auto"/>
          <w:highlight w:val="none"/>
        </w:rPr>
        <w:t>等环保法规和条例中的有关规定，需对该项目进行环境影响评价，受</w:t>
      </w:r>
      <w:r>
        <w:rPr>
          <w:rFonts w:hint="default" w:ascii="Times New Roman" w:hAnsi="Times New Roman" w:eastAsia="宋体" w:cs="Times New Roman"/>
          <w:color w:val="auto"/>
          <w:highlight w:val="none"/>
          <w:lang w:val="en-US" w:eastAsia="zh-CN"/>
        </w:rPr>
        <w:t>黑尊牛（黑龙江）牧业科技有限公司</w:t>
      </w: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val="en-US" w:eastAsia="zh-CN"/>
        </w:rPr>
        <w:t>黑龙江泽文生态环境科技有限公司</w:t>
      </w:r>
      <w:r>
        <w:rPr>
          <w:rFonts w:hint="default" w:ascii="Times New Roman" w:hAnsi="Times New Roman" w:eastAsia="宋体" w:cs="Times New Roman"/>
          <w:color w:val="auto"/>
          <w:highlight w:val="none"/>
        </w:rPr>
        <w:t>承担了本项目的环境影响评价工作，对</w:t>
      </w:r>
      <w:r>
        <w:rPr>
          <w:rFonts w:hint="default" w:ascii="Times New Roman" w:hAnsi="Times New Roman" w:eastAsia="宋体" w:cs="Times New Roman"/>
          <w:color w:val="auto"/>
          <w:highlight w:val="none"/>
          <w:lang w:val="en-US" w:eastAsia="zh-CN"/>
        </w:rPr>
        <w:t>黑龙江省黑河市孙吴县黑尊牛(黑龙江)牧业科技有限公司万头安格斯高端肉牛育种养殖项目</w:t>
      </w:r>
      <w:r>
        <w:rPr>
          <w:rFonts w:hint="default" w:ascii="Times New Roman" w:hAnsi="Times New Roman" w:eastAsia="宋体" w:cs="Times New Roman"/>
          <w:color w:val="auto"/>
          <w:highlight w:val="none"/>
        </w:rPr>
        <w:t>的建设与运营可能产生的环境影响进行分析、预测与评估，提出减缓不利环境影响的对策与措施，从环境保护角度论证项目建设的可行性，给出明确的环境影响评价结论。</w:t>
      </w:r>
    </w:p>
    <w:p w14:paraId="41027BD7">
      <w:pPr>
        <w:pStyle w:val="4"/>
        <w:rPr>
          <w:rFonts w:hint="default" w:ascii="Times New Roman" w:hAnsi="Times New Roman" w:cs="Times New Roman"/>
          <w:color w:val="auto"/>
          <w:highlight w:val="none"/>
        </w:rPr>
      </w:pPr>
      <w:bookmarkStart w:id="3" w:name="_Toc57713593"/>
      <w:bookmarkStart w:id="4" w:name="_Toc11967"/>
      <w:r>
        <w:rPr>
          <w:rFonts w:hint="default" w:ascii="Times New Roman" w:hAnsi="Times New Roman" w:cs="Times New Roman"/>
          <w:color w:val="auto"/>
          <w:highlight w:val="none"/>
        </w:rPr>
        <w:t>1.1项目的基本情况</w:t>
      </w:r>
      <w:bookmarkEnd w:id="3"/>
      <w:bookmarkEnd w:id="4"/>
    </w:p>
    <w:p w14:paraId="0ED28E59">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名称：</w:t>
      </w:r>
      <w:r>
        <w:rPr>
          <w:rFonts w:hint="default" w:ascii="Times New Roman" w:hAnsi="Times New Roman" w:eastAsia="宋体" w:cs="Times New Roman"/>
          <w:color w:val="auto"/>
          <w:highlight w:val="none"/>
          <w:lang w:val="en-US" w:eastAsia="zh-CN"/>
        </w:rPr>
        <w:t>黑龙江省黑河市孙吴县黑尊牛(黑龙江)牧业科技有限公司万头安格斯高端肉牛育种养殖项目</w:t>
      </w:r>
    </w:p>
    <w:p w14:paraId="015197E2">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建设</w:t>
      </w:r>
      <w:r>
        <w:rPr>
          <w:rFonts w:hint="default" w:ascii="Times New Roman" w:hAnsi="Times New Roman" w:eastAsia="宋体" w:cs="Times New Roman"/>
          <w:color w:val="auto"/>
          <w:highlight w:val="none"/>
          <w:lang w:eastAsia="zh-CN"/>
        </w:rPr>
        <w:t>单位：</w:t>
      </w:r>
      <w:r>
        <w:rPr>
          <w:rFonts w:hint="default" w:ascii="Times New Roman" w:hAnsi="Times New Roman" w:eastAsia="宋体" w:cs="Times New Roman"/>
          <w:color w:val="auto"/>
          <w:highlight w:val="none"/>
          <w:lang w:val="en-US" w:eastAsia="zh-CN"/>
        </w:rPr>
        <w:t>黑尊牛（黑龙江）牧业科技有限公司</w:t>
      </w:r>
    </w:p>
    <w:p w14:paraId="608584A1">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建设地点：</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p>
    <w:p w14:paraId="0210C70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建设性质：新建</w:t>
      </w:r>
    </w:p>
    <w:p w14:paraId="44B574B1">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工程投资：</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lang w:eastAsia="zh-CN"/>
        </w:rPr>
        <w:t>万元</w:t>
      </w:r>
    </w:p>
    <w:p w14:paraId="2DDC2D9C">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土地类型：</w:t>
      </w:r>
      <w:r>
        <w:rPr>
          <w:rFonts w:hint="eastAsia" w:eastAsia="宋体" w:cs="Times New Roman"/>
          <w:color w:val="auto"/>
          <w:highlight w:val="none"/>
          <w:lang w:val="en-US" w:eastAsia="zh-CN"/>
        </w:rPr>
        <w:t>设施农业用地</w:t>
      </w:r>
    </w:p>
    <w:p w14:paraId="5A6A305D">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占地面积：</w:t>
      </w:r>
      <w:bookmarkStart w:id="5" w:name="_Hlk8894729"/>
      <w:r>
        <w:rPr>
          <w:rFonts w:hint="default"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6.4161</w:t>
      </w:r>
      <w:r>
        <w:rPr>
          <w:rFonts w:hint="default" w:ascii="Times New Roman" w:hAnsi="Times New Roman" w:eastAsia="宋体" w:cs="Times New Roman"/>
          <w:color w:val="auto"/>
          <w:highlight w:val="none"/>
          <w:lang w:eastAsia="zh-CN"/>
        </w:rPr>
        <w:t>万平方米</w:t>
      </w:r>
    </w:p>
    <w:bookmarkEnd w:id="5"/>
    <w:p w14:paraId="3AF6F10E">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建筑面积：</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平方米</w:t>
      </w:r>
    </w:p>
    <w:p w14:paraId="7B1A409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劳动定员及工作制度：</w:t>
      </w:r>
      <w:r>
        <w:rPr>
          <w:rFonts w:hint="default" w:ascii="Times New Roman" w:hAnsi="Times New Roman" w:eastAsia="宋体" w:cs="Times New Roman"/>
          <w:color w:val="auto"/>
          <w:highlight w:val="none"/>
          <w:lang w:val="en-US" w:eastAsia="zh-CN"/>
        </w:rPr>
        <w:t>80</w:t>
      </w:r>
      <w:r>
        <w:rPr>
          <w:rFonts w:hint="default" w:ascii="Times New Roman" w:hAnsi="Times New Roman" w:eastAsia="宋体" w:cs="Times New Roman"/>
          <w:color w:val="auto"/>
          <w:highlight w:val="none"/>
        </w:rPr>
        <w:t>人，全年工作天数为365天</w:t>
      </w:r>
    </w:p>
    <w:p w14:paraId="440E99DA">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建设周期：项目建设期</w:t>
      </w:r>
      <w:r>
        <w:rPr>
          <w:rFonts w:hint="default" w:ascii="Times New Roman" w:hAnsi="Times New Roman" w:eastAsia="宋体" w:cs="Times New Roman"/>
          <w:color w:val="auto"/>
          <w:highlight w:val="none"/>
          <w:lang w:val="en-US" w:eastAsia="zh-CN"/>
        </w:rPr>
        <w:t>为18个月</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为202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eastAsia" w:eastAsia="宋体" w:cs="Times New Roman"/>
          <w:color w:val="auto"/>
          <w:highlight w:val="none"/>
          <w:lang w:val="en-US" w:eastAsia="zh-CN"/>
        </w:rPr>
        <w:t>7</w:t>
      </w:r>
      <w:r>
        <w:rPr>
          <w:rFonts w:hint="default" w:ascii="Times New Roman" w:hAnsi="Times New Roman" w:eastAsia="宋体" w:cs="Times New Roman"/>
          <w:color w:val="auto"/>
          <w:highlight w:val="none"/>
        </w:rPr>
        <w:t>月至20</w:t>
      </w:r>
      <w:r>
        <w:rPr>
          <w:rFonts w:hint="default" w:ascii="Times New Roman" w:hAnsi="Times New Roman" w:eastAsia="宋体" w:cs="Times New Roman"/>
          <w:color w:val="auto"/>
          <w:highlight w:val="none"/>
          <w:lang w:val="en-US" w:eastAsia="zh-CN"/>
        </w:rPr>
        <w:t>2</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rPr>
        <w:t>年</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月，计划于202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年</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初</w:t>
      </w:r>
      <w:r>
        <w:rPr>
          <w:rFonts w:hint="default" w:ascii="Times New Roman" w:hAnsi="Times New Roman" w:eastAsia="宋体" w:cs="Times New Roman"/>
          <w:color w:val="auto"/>
          <w:highlight w:val="none"/>
        </w:rPr>
        <w:t>投产。</w:t>
      </w:r>
    </w:p>
    <w:p w14:paraId="2FA84ECB">
      <w:pPr>
        <w:pStyle w:val="4"/>
        <w:rPr>
          <w:rFonts w:hint="default" w:ascii="Times New Roman" w:hAnsi="Times New Roman" w:cs="Times New Roman"/>
          <w:color w:val="auto"/>
          <w:highlight w:val="none"/>
        </w:rPr>
      </w:pPr>
      <w:bookmarkStart w:id="6" w:name="_Toc25909"/>
      <w:bookmarkStart w:id="7" w:name="_Toc57713594"/>
      <w:bookmarkStart w:id="8" w:name="_Toc524431260"/>
      <w:r>
        <w:rPr>
          <w:rFonts w:hint="default" w:ascii="Times New Roman" w:hAnsi="Times New Roman" w:cs="Times New Roman"/>
          <w:color w:val="auto"/>
          <w:highlight w:val="none"/>
        </w:rPr>
        <w:t>1.2项目特点</w:t>
      </w:r>
      <w:bookmarkEnd w:id="6"/>
      <w:bookmarkEnd w:id="7"/>
      <w:bookmarkEnd w:id="8"/>
    </w:p>
    <w:p w14:paraId="23C585E1">
      <w:pPr>
        <w:pStyle w:val="5"/>
        <w:spacing w:line="500" w:lineRule="exact"/>
        <w:rPr>
          <w:rFonts w:hint="default" w:ascii="Times New Roman" w:hAnsi="Times New Roman" w:cs="Times New Roman"/>
          <w:color w:val="auto"/>
          <w:highlight w:val="none"/>
        </w:rPr>
      </w:pPr>
      <w:bookmarkStart w:id="9" w:name="_Toc524431261"/>
      <w:bookmarkStart w:id="10" w:name="_Toc57713595"/>
      <w:bookmarkStart w:id="11" w:name="_Toc11245"/>
      <w:r>
        <w:rPr>
          <w:rFonts w:hint="default" w:ascii="Times New Roman" w:hAnsi="Times New Roman" w:cs="Times New Roman"/>
          <w:color w:val="auto"/>
          <w:highlight w:val="none"/>
        </w:rPr>
        <w:t>1.2.1项目概况</w:t>
      </w:r>
      <w:bookmarkEnd w:id="9"/>
      <w:bookmarkEnd w:id="10"/>
      <w:bookmarkEnd w:id="11"/>
    </w:p>
    <w:p w14:paraId="6BECD95A">
      <w:pPr>
        <w:pStyle w:val="67"/>
        <w:ind w:firstLine="480"/>
        <w:rPr>
          <w:rFonts w:hint="default" w:ascii="Times New Roman" w:hAnsi="Times New Roman" w:eastAsia="宋体" w:cs="Times New Roman"/>
          <w:color w:val="auto"/>
          <w:highlight w:val="none"/>
          <w:lang w:val="en-US"/>
        </w:rPr>
      </w:pPr>
      <w:bookmarkStart w:id="12" w:name="_Toc57713596"/>
      <w:bookmarkStart w:id="13" w:name="_Toc524431262"/>
      <w:r>
        <w:rPr>
          <w:rFonts w:hint="default" w:ascii="Times New Roman" w:hAnsi="Times New Roman" w:eastAsia="宋体" w:cs="Times New Roman"/>
          <w:color w:val="auto"/>
          <w:highlight w:val="none"/>
          <w:lang w:val="en-US" w:eastAsia="zh-CN"/>
        </w:rPr>
        <w:t>黑龙江省黑河市孙吴县黑尊牛(黑龙江)牧业科技有限公司万头安格斯高端肉牛育种养殖项目</w:t>
      </w:r>
      <w:r>
        <w:rPr>
          <w:rFonts w:hint="default" w:ascii="Times New Roman" w:hAnsi="Times New Roman" w:eastAsia="宋体" w:cs="Times New Roman"/>
          <w:color w:val="auto"/>
          <w:highlight w:val="none"/>
        </w:rPr>
        <w:t>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，为新建项目，总投资</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万元，</w:t>
      </w:r>
      <w:r>
        <w:rPr>
          <w:rFonts w:hint="default" w:ascii="Times New Roman" w:hAnsi="Times New Roman" w:eastAsia="宋体" w:cs="Times New Roman"/>
          <w:color w:val="auto"/>
          <w:highlight w:val="none"/>
          <w:lang w:val="en-US" w:eastAsia="zh-CN"/>
        </w:rPr>
        <w:t>本项目</w:t>
      </w:r>
      <w:r>
        <w:rPr>
          <w:rFonts w:hint="eastAsia" w:eastAsia="宋体" w:cs="Times New Roman"/>
          <w:color w:val="auto"/>
          <w:highlight w:val="none"/>
          <w:lang w:val="en-US" w:eastAsia="zh-CN"/>
        </w:rPr>
        <w:t>建设内容</w:t>
      </w:r>
      <w:r>
        <w:rPr>
          <w:rFonts w:hint="default" w:ascii="Times New Roman" w:hAnsi="Times New Roman" w:eastAsia="宋体" w:cs="Times New Roman"/>
          <w:color w:val="auto"/>
          <w:highlight w:val="none"/>
          <w:lang w:val="en-US" w:eastAsia="zh-CN"/>
        </w:rPr>
        <w:t>包括牛舍、青储窖、草料棚、TMR车间及精料库、</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、机械库、更衣消毒间、处置室与兽医</w:t>
      </w:r>
      <w:r>
        <w:rPr>
          <w:rFonts w:hint="eastAsia" w:eastAsia="宋体" w:cs="Times New Roman"/>
          <w:color w:val="auto"/>
          <w:highlight w:val="none"/>
          <w:lang w:val="en-US" w:eastAsia="zh-CN"/>
        </w:rPr>
        <w:t>室</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初期雨水池、门卫地磅房、</w:t>
      </w:r>
      <w:r>
        <w:rPr>
          <w:rFonts w:hint="default" w:ascii="Times New Roman" w:hAnsi="Times New Roman" w:eastAsia="宋体" w:cs="Times New Roman"/>
          <w:color w:val="auto"/>
          <w:highlight w:val="none"/>
          <w:lang w:val="en-US" w:eastAsia="zh-CN"/>
        </w:rPr>
        <w:t>厂区地面硬化、厂区外网等。</w:t>
      </w:r>
      <w:r>
        <w:rPr>
          <w:rFonts w:hint="eastAsia" w:eastAsia="宋体" w:cs="Times New Roman"/>
          <w:color w:val="auto"/>
          <w:highlight w:val="none"/>
          <w:lang w:val="en-US" w:eastAsia="zh-CN"/>
        </w:rPr>
        <w:t>总</w:t>
      </w:r>
      <w:r>
        <w:rPr>
          <w:rFonts w:hint="default" w:ascii="Times New Roman" w:hAnsi="Times New Roman" w:eastAsia="宋体" w:cs="Times New Roman"/>
          <w:color w:val="auto"/>
          <w:highlight w:val="none"/>
        </w:rPr>
        <w:t>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万平方米</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总</w:t>
      </w:r>
      <w:r>
        <w:rPr>
          <w:rFonts w:hint="default" w:ascii="Times New Roman" w:hAnsi="Times New Roman" w:eastAsia="宋体" w:cs="Times New Roman"/>
          <w:color w:val="auto"/>
          <w:highlight w:val="none"/>
        </w:rPr>
        <w:t>建筑面积为</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平方米</w:t>
      </w:r>
      <w:r>
        <w:rPr>
          <w:rFonts w:hint="default" w:ascii="Times New Roman" w:hAnsi="Times New Roman" w:eastAsia="宋体" w:cs="Times New Roman"/>
          <w:color w:val="auto"/>
          <w:highlight w:val="none"/>
          <w:lang w:val="en-US" w:eastAsia="zh-CN"/>
        </w:rPr>
        <w:t>。建成后形成年存栏</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000头、年出栏1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000头安格斯牛的养殖规模，涵盖繁育、育肥全产业链环节。</w:t>
      </w:r>
    </w:p>
    <w:p w14:paraId="1ED0501A">
      <w:pPr>
        <w:pStyle w:val="5"/>
        <w:spacing w:line="500" w:lineRule="exact"/>
        <w:rPr>
          <w:rFonts w:hint="default" w:ascii="Times New Roman" w:hAnsi="Times New Roman" w:cs="Times New Roman"/>
          <w:color w:val="auto"/>
          <w:highlight w:val="none"/>
        </w:rPr>
      </w:pPr>
      <w:bookmarkStart w:id="14" w:name="_Toc16424"/>
      <w:r>
        <w:rPr>
          <w:rFonts w:hint="default" w:ascii="Times New Roman" w:hAnsi="Times New Roman" w:cs="Times New Roman"/>
          <w:color w:val="auto"/>
          <w:highlight w:val="none"/>
        </w:rPr>
        <w:t>1.2.2生产工艺</w:t>
      </w:r>
      <w:bookmarkEnd w:id="12"/>
      <w:bookmarkEnd w:id="14"/>
    </w:p>
    <w:p w14:paraId="12CA2211">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1.2.2.1饲养工艺</w:t>
      </w:r>
    </w:p>
    <w:p w14:paraId="0B01813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本项目肉牛采用集约化养殖技术，肉牛</w:t>
      </w:r>
      <w:r>
        <w:rPr>
          <w:rFonts w:hint="default" w:ascii="Times New Roman" w:hAnsi="Times New Roman" w:eastAsia="宋体" w:cs="Times New Roman"/>
          <w:color w:val="auto"/>
          <w:highlight w:val="none"/>
          <w:lang w:val="en-US" w:eastAsia="zh-CN"/>
        </w:rPr>
        <w:t>饲</w:t>
      </w:r>
      <w:r>
        <w:rPr>
          <w:rFonts w:hint="default" w:ascii="Times New Roman" w:hAnsi="Times New Roman" w:eastAsia="宋体" w:cs="Times New Roman"/>
          <w:color w:val="auto"/>
          <w:highlight w:val="none"/>
        </w:rPr>
        <w:t>喂将采用全混合日粮（Total Mixed Ration，TMR）饲养技术，利用当地的饲料资源以降低饲粮的成本。肉牛饲养全程采用无公害、无污染的饲养技术，饲养良种肉牛，育肥外卖。</w:t>
      </w:r>
    </w:p>
    <w:p w14:paraId="628B91D8">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1.2.2.2清粪工艺</w:t>
      </w:r>
    </w:p>
    <w:p w14:paraId="1E6FC26E">
      <w:pPr>
        <w:pStyle w:val="6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牛舍内的牛粪采用畜禽养殖生物发酵床技术，</w:t>
      </w:r>
      <w:r>
        <w:rPr>
          <w:rFonts w:hint="eastAsia" w:ascii="Times New Roman" w:hAnsi="Times New Roman" w:eastAsia="宋体" w:cs="Times New Roman"/>
          <w:color w:val="auto"/>
          <w:highlight w:val="none"/>
        </w:rPr>
        <w:t>生物发酵床技术是按一定比例将发酵菌种与秸秆、锯末、稻壳以及辅助材料等混合，通过发酵形成有机垫料，将有机垫料置于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r>
        <w:rPr>
          <w:rFonts w:hint="eastAsia" w:eastAsia="宋体" w:cs="Times New Roman"/>
          <w:color w:val="auto"/>
          <w:highlight w:val="none"/>
          <w:lang w:eastAsia="zh-CN"/>
        </w:rPr>
        <w:t>。</w:t>
      </w:r>
    </w:p>
    <w:p w14:paraId="2D248769">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1.2.2.3污水处理工艺</w:t>
      </w:r>
    </w:p>
    <w:p w14:paraId="4ECA5CE7">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w:t>
      </w:r>
      <w:r>
        <w:rPr>
          <w:rFonts w:hint="eastAsia" w:eastAsia="宋体" w:cs="Times New Roman"/>
          <w:color w:val="auto"/>
          <w:highlight w:val="none"/>
          <w:lang w:val="en-US" w:eastAsia="zh-CN"/>
        </w:rPr>
        <w:t>沉淀</w:t>
      </w:r>
      <w:r>
        <w:rPr>
          <w:rFonts w:hint="default" w:ascii="Times New Roman" w:hAnsi="Times New Roman" w:eastAsia="宋体" w:cs="Times New Roman"/>
          <w:color w:val="auto"/>
          <w:highlight w:val="none"/>
          <w:lang w:val="zh-CN"/>
        </w:rPr>
        <w:t>后用于厂区内洒水降尘，不外排；生活污水排入化粪池，定期外运，不外排。</w:t>
      </w:r>
    </w:p>
    <w:p w14:paraId="6C1D4ACD">
      <w:pPr>
        <w:pStyle w:val="67"/>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eastAsia" w:eastAsia="宋体" w:cs="Times New Roman"/>
          <w:color w:val="auto"/>
          <w:highlight w:val="none"/>
          <w:lang w:val="en-US" w:eastAsia="zh-CN"/>
        </w:rPr>
        <w:t>，项目无地面冲洗水产生；</w:t>
      </w:r>
      <w:r>
        <w:rPr>
          <w:rFonts w:hint="default" w:ascii="Times New Roman" w:hAnsi="Times New Roman" w:eastAsia="宋体" w:cs="Times New Roman"/>
          <w:color w:val="auto"/>
          <w:highlight w:val="none"/>
          <w:lang w:val="zh-CN"/>
        </w:rPr>
        <w:t>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w:t>
      </w:r>
      <w:r>
        <w:rPr>
          <w:rFonts w:hint="default" w:ascii="Times New Roman" w:hAnsi="Times New Roman" w:eastAsia="宋体" w:cs="Times New Roman"/>
          <w:color w:val="auto"/>
          <w:highlight w:val="none"/>
          <w:lang w:val="en-US" w:eastAsia="zh-CN"/>
        </w:rPr>
        <w:t>消毒用水全部损耗。</w:t>
      </w:r>
      <w:r>
        <w:rPr>
          <w:rFonts w:hint="eastAsia" w:ascii="Times New Roman" w:hAnsi="Times New Roman" w:eastAsia="宋体" w:cs="Times New Roman"/>
          <w:color w:val="auto"/>
          <w:highlight w:val="none"/>
          <w:lang w:val="en-US" w:eastAsia="zh-CN"/>
        </w:rPr>
        <w:t>采取以上措施，本项目无</w:t>
      </w:r>
      <w:r>
        <w:rPr>
          <w:rFonts w:hint="eastAsia" w:eastAsia="宋体" w:cs="Times New Roman"/>
          <w:color w:val="auto"/>
          <w:highlight w:val="none"/>
          <w:lang w:val="en-US" w:eastAsia="zh-CN"/>
        </w:rPr>
        <w:t>养殖</w:t>
      </w:r>
      <w:r>
        <w:rPr>
          <w:rFonts w:hint="eastAsia" w:ascii="Times New Roman" w:hAnsi="Times New Roman" w:eastAsia="宋体" w:cs="Times New Roman"/>
          <w:color w:val="auto"/>
          <w:highlight w:val="none"/>
          <w:lang w:val="en-US" w:eastAsia="zh-CN"/>
        </w:rPr>
        <w:t>废水产生。</w:t>
      </w:r>
    </w:p>
    <w:p w14:paraId="1F01C39A">
      <w:pPr>
        <w:pStyle w:val="5"/>
        <w:spacing w:line="500" w:lineRule="exact"/>
        <w:rPr>
          <w:rFonts w:hint="default" w:ascii="Times New Roman" w:hAnsi="Times New Roman" w:cs="Times New Roman"/>
          <w:color w:val="auto"/>
          <w:highlight w:val="none"/>
        </w:rPr>
      </w:pPr>
      <w:bookmarkStart w:id="15" w:name="_Toc5697"/>
      <w:bookmarkStart w:id="16" w:name="_Toc57713597"/>
      <w:r>
        <w:rPr>
          <w:rFonts w:hint="default" w:ascii="Times New Roman" w:hAnsi="Times New Roman" w:cs="Times New Roman"/>
          <w:color w:val="auto"/>
          <w:highlight w:val="none"/>
        </w:rPr>
        <w:t>1.2.3污染物产生情况</w:t>
      </w:r>
      <w:bookmarkEnd w:id="13"/>
      <w:bookmarkEnd w:id="15"/>
      <w:bookmarkEnd w:id="16"/>
    </w:p>
    <w:p w14:paraId="005CBC25">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1.2.3.1废气</w:t>
      </w:r>
    </w:p>
    <w:p w14:paraId="6E0ED0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本项目废气主要为牛舍、堆肥间</w:t>
      </w:r>
      <w:r>
        <w:rPr>
          <w:rFonts w:hint="eastAsia" w:eastAsia="宋体" w:cs="Times New Roman"/>
          <w:color w:val="auto"/>
          <w:highlight w:val="none"/>
          <w:lang w:eastAsia="zh-CN"/>
        </w:rPr>
        <w:t>、</w:t>
      </w:r>
      <w:r>
        <w:rPr>
          <w:rFonts w:hint="eastAsia" w:eastAsia="宋体" w:cs="Times New Roman"/>
          <w:color w:val="auto"/>
          <w:highlight w:val="none"/>
          <w:lang w:val="en-US" w:eastAsia="zh-CN"/>
        </w:rPr>
        <w:t>青贮窖、储粪间</w:t>
      </w:r>
      <w:r>
        <w:rPr>
          <w:rFonts w:hint="default" w:ascii="Times New Roman" w:hAnsi="Times New Roman" w:eastAsia="宋体" w:cs="Times New Roman"/>
          <w:color w:val="auto"/>
          <w:highlight w:val="none"/>
        </w:rPr>
        <w:t>产生的恶臭气体。主要成分为NH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S及臭气浓度。</w:t>
      </w:r>
    </w:p>
    <w:p w14:paraId="5D4FCD17">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1.2.3.2废水</w:t>
      </w:r>
    </w:p>
    <w:p w14:paraId="03FD212C">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w:t>
      </w:r>
      <w:r>
        <w:rPr>
          <w:rFonts w:hint="eastAsia" w:eastAsia="宋体" w:cs="Times New Roman"/>
          <w:color w:val="auto"/>
          <w:highlight w:val="none"/>
          <w:lang w:val="en-US" w:eastAsia="zh-CN"/>
        </w:rPr>
        <w:t>沉淀</w:t>
      </w:r>
      <w:r>
        <w:rPr>
          <w:rFonts w:hint="default" w:ascii="Times New Roman" w:hAnsi="Times New Roman" w:eastAsia="宋体" w:cs="Times New Roman"/>
          <w:color w:val="auto"/>
          <w:highlight w:val="none"/>
          <w:lang w:val="zh-CN"/>
        </w:rPr>
        <w:t>后用于厂区内洒水降尘，不外排；生活污水排入化粪池，定期外运，不外排。</w:t>
      </w:r>
    </w:p>
    <w:p w14:paraId="6674CC83">
      <w:pPr>
        <w:pStyle w:val="67"/>
        <w:ind w:firstLine="48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en-US" w:eastAsia="zh-CN"/>
        </w:rPr>
        <w:t>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eastAsia" w:eastAsia="宋体" w:cs="Times New Roman"/>
          <w:color w:val="auto"/>
          <w:highlight w:val="none"/>
          <w:lang w:val="en-US" w:eastAsia="zh-CN"/>
        </w:rPr>
        <w:t>，项目无地面冲洗水产生；</w:t>
      </w:r>
      <w:r>
        <w:rPr>
          <w:rFonts w:hint="default" w:ascii="Times New Roman" w:hAnsi="Times New Roman" w:eastAsia="宋体" w:cs="Times New Roman"/>
          <w:color w:val="auto"/>
          <w:highlight w:val="none"/>
          <w:lang w:val="zh-CN"/>
        </w:rPr>
        <w:t>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w:t>
      </w:r>
      <w:r>
        <w:rPr>
          <w:rFonts w:hint="default" w:ascii="Times New Roman" w:hAnsi="Times New Roman" w:eastAsia="宋体" w:cs="Times New Roman"/>
          <w:color w:val="auto"/>
          <w:highlight w:val="none"/>
          <w:lang w:val="en-US" w:eastAsia="zh-CN"/>
        </w:rPr>
        <w:t>消毒用水全部损耗。</w:t>
      </w:r>
      <w:r>
        <w:rPr>
          <w:rFonts w:hint="eastAsia" w:ascii="Times New Roman" w:hAnsi="Times New Roman" w:eastAsia="宋体" w:cs="Times New Roman"/>
          <w:color w:val="auto"/>
          <w:highlight w:val="none"/>
          <w:lang w:val="en-US" w:eastAsia="zh-CN"/>
        </w:rPr>
        <w:t>采取以上措施，本项目无</w:t>
      </w:r>
      <w:r>
        <w:rPr>
          <w:rFonts w:hint="eastAsia" w:eastAsia="宋体" w:cs="Times New Roman"/>
          <w:color w:val="auto"/>
          <w:highlight w:val="none"/>
          <w:lang w:val="en-US" w:eastAsia="zh-CN"/>
        </w:rPr>
        <w:t>养殖</w:t>
      </w:r>
      <w:r>
        <w:rPr>
          <w:rFonts w:hint="eastAsia" w:ascii="Times New Roman" w:hAnsi="Times New Roman" w:eastAsia="宋体" w:cs="Times New Roman"/>
          <w:color w:val="auto"/>
          <w:highlight w:val="none"/>
          <w:lang w:val="en-US" w:eastAsia="zh-CN"/>
        </w:rPr>
        <w:t>废水产生。</w:t>
      </w:r>
    </w:p>
    <w:p w14:paraId="250D0383">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1.2.3.3噪声</w:t>
      </w:r>
    </w:p>
    <w:p w14:paraId="5621272E">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噪声源主要为水泵、风机、牛叫等，噪声源强为</w:t>
      </w:r>
      <w:r>
        <w:rPr>
          <w:rFonts w:hint="default" w:ascii="Times New Roman" w:hAnsi="Times New Roman" w:eastAsia="宋体" w:cs="Times New Roman"/>
          <w:color w:val="auto"/>
          <w:highlight w:val="none"/>
          <w:lang w:val="en-US" w:eastAsia="zh-CN"/>
        </w:rPr>
        <w:t>65</w:t>
      </w:r>
      <w:r>
        <w:rPr>
          <w:rFonts w:hint="default" w:ascii="Times New Roman" w:hAnsi="Times New Roman" w:eastAsia="宋体" w:cs="Times New Roman"/>
          <w:color w:val="auto"/>
          <w:highlight w:val="none"/>
        </w:rPr>
        <w:t>~90dB（A）。</w:t>
      </w:r>
    </w:p>
    <w:p w14:paraId="7706A86A">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1.2.3.4固体废物</w:t>
      </w:r>
    </w:p>
    <w:p w14:paraId="7AB708CA">
      <w:pPr>
        <w:pStyle w:val="67"/>
        <w:ind w:firstLine="480"/>
        <w:rPr>
          <w:rFonts w:hint="default" w:ascii="Times New Roman" w:hAnsi="Times New Roman" w:cs="Times New Roman"/>
          <w:color w:val="auto"/>
          <w:highlight w:val="none"/>
        </w:rPr>
      </w:pPr>
      <w:bookmarkStart w:id="17" w:name="_Toc524431263"/>
      <w:bookmarkStart w:id="18" w:name="_Toc57713598"/>
      <w:r>
        <w:rPr>
          <w:rFonts w:hint="default" w:ascii="Times New Roman" w:hAnsi="Times New Roman" w:eastAsia="宋体" w:cs="Times New Roman"/>
          <w:color w:val="auto"/>
          <w:highlight w:val="none"/>
        </w:rPr>
        <w:t>本项目固体废物主要为</w:t>
      </w:r>
      <w:r>
        <w:rPr>
          <w:rFonts w:hint="eastAsia" w:eastAsia="宋体" w:cs="Times New Roman"/>
          <w:color w:val="auto"/>
          <w:highlight w:val="none"/>
          <w:lang w:val="en-US" w:eastAsia="zh-CN"/>
        </w:rPr>
        <w:t>含粪污垫料</w:t>
      </w:r>
      <w:r>
        <w:rPr>
          <w:rFonts w:hint="default" w:ascii="Times New Roman" w:hAnsi="Times New Roman" w:eastAsia="宋体" w:cs="Times New Roman"/>
          <w:color w:val="auto"/>
          <w:highlight w:val="none"/>
        </w:rPr>
        <w:t>、病死牛尸体、医疗废物</w:t>
      </w:r>
      <w:r>
        <w:rPr>
          <w:rFonts w:hint="eastAsia" w:eastAsia="宋体" w:cs="Times New Roman"/>
          <w:color w:val="auto"/>
          <w:highlight w:val="none"/>
          <w:lang w:eastAsia="zh-CN"/>
        </w:rPr>
        <w:t>、</w:t>
      </w:r>
      <w:r>
        <w:rPr>
          <w:rFonts w:hint="eastAsia" w:eastAsia="宋体" w:cs="Times New Roman"/>
          <w:color w:val="auto"/>
          <w:highlight w:val="none"/>
          <w:lang w:val="en-US" w:eastAsia="zh-CN"/>
        </w:rPr>
        <w:t>废活性炭</w:t>
      </w:r>
      <w:r>
        <w:rPr>
          <w:rFonts w:hint="default" w:ascii="Times New Roman" w:hAnsi="Times New Roman" w:eastAsia="宋体" w:cs="Times New Roman"/>
          <w:color w:val="auto"/>
          <w:highlight w:val="none"/>
        </w:rPr>
        <w:t>和生活垃圾等。</w:t>
      </w:r>
    </w:p>
    <w:p w14:paraId="012D2A75">
      <w:pPr>
        <w:pStyle w:val="5"/>
        <w:spacing w:line="500" w:lineRule="exact"/>
        <w:rPr>
          <w:rFonts w:hint="default" w:ascii="Times New Roman" w:hAnsi="Times New Roman" w:cs="Times New Roman"/>
          <w:color w:val="auto"/>
          <w:highlight w:val="none"/>
        </w:rPr>
      </w:pPr>
      <w:bookmarkStart w:id="19" w:name="_Toc14281"/>
      <w:r>
        <w:rPr>
          <w:rFonts w:hint="default" w:ascii="Times New Roman" w:hAnsi="Times New Roman" w:cs="Times New Roman"/>
          <w:color w:val="auto"/>
          <w:highlight w:val="none"/>
        </w:rPr>
        <w:t>1.2.4主要环保措施</w:t>
      </w:r>
      <w:bookmarkEnd w:id="17"/>
      <w:bookmarkEnd w:id="18"/>
      <w:bookmarkEnd w:id="19"/>
    </w:p>
    <w:p w14:paraId="5FCCB4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（1）废气</w:t>
      </w:r>
    </w:p>
    <w:p w14:paraId="5209E0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牛舍恶臭</w:t>
      </w:r>
    </w:p>
    <w:p w14:paraId="0A338E9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牛舍内的牛粪</w:t>
      </w:r>
      <w:r>
        <w:rPr>
          <w:rFonts w:hint="eastAsia" w:eastAsia="宋体" w:cs="Times New Roman"/>
          <w:color w:val="auto"/>
          <w:highlight w:val="none"/>
          <w:lang w:val="en-US" w:eastAsia="zh-CN"/>
        </w:rPr>
        <w:t>污</w:t>
      </w:r>
      <w:r>
        <w:rPr>
          <w:rFonts w:hint="default" w:ascii="Times New Roman" w:hAnsi="Times New Roman" w:eastAsia="宋体" w:cs="Times New Roman"/>
          <w:color w:val="auto"/>
          <w:highlight w:val="none"/>
        </w:rPr>
        <w:t>采用畜禽养殖生物发酵床技术，</w:t>
      </w:r>
      <w:r>
        <w:rPr>
          <w:rFonts w:hint="eastAsia" w:ascii="Times New Roman" w:hAnsi="Times New Roman" w:eastAsia="宋体" w:cs="Times New Roman"/>
          <w:color w:val="auto"/>
          <w:highlight w:val="none"/>
        </w:rPr>
        <w:t>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除臭剂、绿化措施以降低恶臭污染的影响。臭气浓度满足《畜禽养殖业污染物排放标准》（GB18596-2001）中表7标准，硫化氢、氨在场界浓度满足《恶臭污染物排放标准》（GB14554-93）表1中二级新扩改建标准。</w:t>
      </w:r>
    </w:p>
    <w:p w14:paraId="6C94DA4B">
      <w:pPr>
        <w:pStyle w:val="67"/>
        <w:ind w:firstLine="480"/>
        <w:rPr>
          <w:rFonts w:hint="default" w:ascii="Times New Roman" w:hAnsi="Times New Roman" w:eastAsia="宋体" w:cs="Times New Roman"/>
          <w:color w:val="auto"/>
          <w:highlight w:val="none"/>
        </w:rPr>
      </w:pPr>
      <w:bookmarkStart w:id="20" w:name="_Hlk28272447"/>
      <w:r>
        <w:rPr>
          <w:rFonts w:hint="default" w:ascii="Times New Roman" w:hAnsi="Times New Roman" w:eastAsia="宋体" w:cs="Times New Roman"/>
          <w:color w:val="auto"/>
          <w:highlight w:val="none"/>
        </w:rPr>
        <w:t>②堆肥间恶臭</w:t>
      </w:r>
    </w:p>
    <w:p w14:paraId="28F2527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堆肥间采取废气收集装置（收集效率95%）经活性炭吸附（去除效率90%）后通过15m高排气筒（DA001）排放。满足</w:t>
      </w:r>
      <w:r>
        <w:rPr>
          <w:rFonts w:hint="default" w:ascii="Times New Roman" w:hAnsi="Times New Roman" w:eastAsia="宋体" w:cs="Times New Roman"/>
          <w:color w:val="auto"/>
          <w:highlight w:val="none"/>
        </w:rPr>
        <w:t>《恶臭污染物排放标准》（GB14553-93）中表2标准值要求</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堆肥间</w:t>
      </w:r>
      <w:r>
        <w:rPr>
          <w:rFonts w:hint="eastAsia" w:eastAsia="宋体" w:cs="Times New Roman"/>
          <w:color w:val="auto"/>
          <w:highlight w:val="none"/>
          <w:lang w:val="en-US" w:eastAsia="zh-CN"/>
        </w:rPr>
        <w:t>无组织</w:t>
      </w:r>
      <w:r>
        <w:rPr>
          <w:rFonts w:hint="default" w:ascii="Times New Roman" w:hAnsi="Times New Roman" w:eastAsia="宋体" w:cs="Times New Roman"/>
          <w:color w:val="auto"/>
          <w:highlight w:val="none"/>
        </w:rPr>
        <w:t>恶臭气体</w:t>
      </w:r>
      <w:r>
        <w:rPr>
          <w:rFonts w:hint="eastAsia" w:eastAsia="宋体" w:cs="Times New Roman"/>
          <w:color w:val="auto"/>
          <w:highlight w:val="none"/>
          <w:lang w:val="en-US" w:eastAsia="zh-CN"/>
        </w:rPr>
        <w:t>采用</w:t>
      </w:r>
      <w:r>
        <w:rPr>
          <w:rFonts w:hint="default" w:ascii="Times New Roman" w:hAnsi="Times New Roman" w:eastAsia="宋体" w:cs="Times New Roman"/>
          <w:color w:val="auto"/>
          <w:highlight w:val="none"/>
        </w:rPr>
        <w:t>堆肥生物基除臭技术</w:t>
      </w:r>
      <w:r>
        <w:rPr>
          <w:rFonts w:hint="eastAsia" w:eastAsia="宋体" w:cs="Times New Roman"/>
          <w:color w:val="auto"/>
          <w:highlight w:val="none"/>
          <w:lang w:eastAsia="zh-CN"/>
        </w:rPr>
        <w:t>，</w:t>
      </w:r>
      <w:r>
        <w:rPr>
          <w:rFonts w:hint="eastAsia" w:eastAsia="宋体" w:cs="Times New Roman"/>
          <w:color w:val="auto"/>
          <w:highlight w:val="none"/>
          <w:lang w:val="en-US" w:eastAsia="zh-CN"/>
        </w:rPr>
        <w:t>使用后的生物发酵床有机垫料运送至堆肥间后采取</w:t>
      </w:r>
      <w:r>
        <w:rPr>
          <w:rFonts w:hint="default" w:ascii="Times New Roman" w:hAnsi="Times New Roman" w:eastAsia="宋体" w:cs="Times New Roman"/>
          <w:color w:val="auto"/>
          <w:highlight w:val="none"/>
        </w:rPr>
        <w:t>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w:t>
      </w:r>
      <w:r>
        <w:rPr>
          <w:rFonts w:ascii="宋体" w:hAnsi="宋体" w:eastAsia="宋体" w:cs="宋体"/>
          <w:color w:val="auto"/>
          <w:sz w:val="24"/>
          <w:szCs w:val="24"/>
          <w:highlight w:val="none"/>
        </w:rPr>
        <w:t>复合生物除臭菌粉</w:t>
      </w:r>
      <w:r>
        <w:rPr>
          <w:rFonts w:hint="eastAsia" w:ascii="宋体" w:hAnsi="宋体" w:eastAsia="宋体" w:cs="宋体"/>
          <w:color w:val="auto"/>
          <w:sz w:val="24"/>
          <w:szCs w:val="24"/>
          <w:highlight w:val="none"/>
          <w:lang w:val="en-US" w:eastAsia="zh-CN"/>
        </w:rPr>
        <w:t>以及</w:t>
      </w:r>
      <w:r>
        <w:rPr>
          <w:rFonts w:hint="default" w:ascii="Times New Roman" w:hAnsi="Times New Roman" w:eastAsia="宋体" w:cs="Times New Roman"/>
          <w:color w:val="auto"/>
          <w:highlight w:val="none"/>
        </w:rPr>
        <w:t>绿化措施以降低恶臭污染的影响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臭气浓度满足《畜禽养殖业污染物排放标准》（GB18596-2001）中表7标准，硫化氢、氨在场界浓度满足《恶臭污染物排放标准》（GB14554-93）表1中二级新扩改建标准。</w:t>
      </w:r>
    </w:p>
    <w:p w14:paraId="7140CFD0">
      <w:pPr>
        <w:pStyle w:val="67"/>
        <w:ind w:firstLine="480"/>
        <w:rPr>
          <w:rFonts w:hint="default" w:eastAsia="宋体" w:cs="Times New Roman"/>
          <w:color w:val="auto"/>
          <w:highlight w:val="none"/>
          <w:lang w:val="en-US"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 MERGEFORMAT </w:instrText>
      </w:r>
      <w:r>
        <w:rPr>
          <w:rFonts w:hint="default" w:ascii="Times New Roman" w:hAnsi="Times New Roman" w:eastAsia="宋体" w:cs="Times New Roman"/>
          <w:color w:val="auto"/>
          <w:highlight w:val="none"/>
        </w:rPr>
        <w:fldChar w:fldCharType="separate"/>
      </w:r>
      <w:r>
        <w:rPr>
          <w:color w:val="auto"/>
          <w:highlight w:val="none"/>
        </w:rPr>
        <w:t>③</w:t>
      </w:r>
      <w:r>
        <w:rPr>
          <w:rFonts w:hint="default" w:ascii="Times New Roman" w:hAnsi="Times New Roman" w:eastAsia="宋体" w:cs="Times New Roman"/>
          <w:color w:val="auto"/>
          <w:highlight w:val="none"/>
        </w:rPr>
        <w:fldChar w:fldCharType="end"/>
      </w:r>
      <w:r>
        <w:rPr>
          <w:rFonts w:ascii="宋体" w:hAnsi="宋体" w:eastAsia="宋体" w:cs="宋体"/>
          <w:color w:val="auto"/>
          <w:spacing w:val="-3"/>
          <w:sz w:val="24"/>
          <w:szCs w:val="24"/>
          <w:highlight w:val="none"/>
        </w:rPr>
        <w:t>堆肥车间颗粒物</w:t>
      </w:r>
    </w:p>
    <w:p w14:paraId="6FC45B2D">
      <w:pPr>
        <w:pStyle w:val="67"/>
        <w:ind w:firstLine="480"/>
        <w:rPr>
          <w:rFonts w:hint="default" w:ascii="Times New Roman" w:hAnsi="Times New Roman" w:eastAsia="宋体" w:cs="Times New Roman"/>
          <w:color w:val="auto"/>
          <w:highlight w:val="none"/>
          <w:lang w:val="en-US" w:eastAsia="zh-CN"/>
        </w:rPr>
      </w:pPr>
      <w:r>
        <w:rPr>
          <w:rFonts w:ascii="宋体" w:hAnsi="宋体" w:eastAsia="宋体" w:cs="宋体"/>
          <w:color w:val="auto"/>
          <w:spacing w:val="3"/>
          <w:sz w:val="24"/>
          <w:szCs w:val="24"/>
          <w:highlight w:val="none"/>
        </w:rPr>
        <w:t>本项目</w:t>
      </w:r>
      <w:r>
        <w:rPr>
          <w:rFonts w:hint="eastAsia" w:ascii="宋体" w:hAnsi="宋体" w:eastAsia="宋体" w:cs="宋体"/>
          <w:color w:val="auto"/>
          <w:spacing w:val="3"/>
          <w:sz w:val="24"/>
          <w:szCs w:val="24"/>
          <w:highlight w:val="none"/>
          <w:lang w:val="en-US" w:eastAsia="zh-CN"/>
        </w:rPr>
        <w:t>牛</w:t>
      </w:r>
      <w:r>
        <w:rPr>
          <w:rFonts w:ascii="宋体" w:hAnsi="宋体" w:eastAsia="宋体" w:cs="宋体"/>
          <w:color w:val="auto"/>
          <w:spacing w:val="3"/>
          <w:sz w:val="24"/>
          <w:szCs w:val="24"/>
          <w:highlight w:val="none"/>
        </w:rPr>
        <w:t>粪采用好氧堆肥工艺处理，堆肥过程需通过翻抛</w:t>
      </w:r>
      <w:r>
        <w:rPr>
          <w:rFonts w:ascii="宋体" w:hAnsi="宋体" w:eastAsia="宋体" w:cs="宋体"/>
          <w:color w:val="auto"/>
          <w:spacing w:val="2"/>
          <w:sz w:val="24"/>
          <w:szCs w:val="24"/>
          <w:highlight w:val="none"/>
        </w:rPr>
        <w:t>设备对堆体进行定</w:t>
      </w:r>
      <w:r>
        <w:rPr>
          <w:rFonts w:ascii="宋体" w:hAnsi="宋体" w:eastAsia="宋体" w:cs="宋体"/>
          <w:color w:val="auto"/>
          <w:spacing w:val="3"/>
          <w:sz w:val="24"/>
          <w:szCs w:val="24"/>
          <w:highlight w:val="none"/>
        </w:rPr>
        <w:t>期翻堆作业，以保障物料供氧均匀、发酵充分。在</w:t>
      </w:r>
      <w:r>
        <w:rPr>
          <w:rFonts w:ascii="宋体" w:hAnsi="宋体" w:eastAsia="宋体" w:cs="宋体"/>
          <w:color w:val="auto"/>
          <w:spacing w:val="2"/>
          <w:sz w:val="24"/>
          <w:szCs w:val="24"/>
          <w:highlight w:val="none"/>
        </w:rPr>
        <w:t>翻堆、抛撒、推移等机械作业</w:t>
      </w:r>
      <w:r>
        <w:rPr>
          <w:rFonts w:ascii="宋体" w:hAnsi="宋体" w:eastAsia="宋体" w:cs="宋体"/>
          <w:color w:val="auto"/>
          <w:spacing w:val="3"/>
          <w:sz w:val="24"/>
          <w:szCs w:val="24"/>
          <w:highlight w:val="none"/>
        </w:rPr>
        <w:t>环节，堆体物料受机械扰动、破碎及气流夹带作用</w:t>
      </w:r>
      <w:r>
        <w:rPr>
          <w:rFonts w:ascii="宋体" w:hAnsi="宋体" w:eastAsia="宋体" w:cs="宋体"/>
          <w:color w:val="auto"/>
          <w:spacing w:val="2"/>
          <w:sz w:val="24"/>
          <w:szCs w:val="24"/>
          <w:highlight w:val="none"/>
        </w:rPr>
        <w:t>，会产生颗粒物。项目采取控</w:t>
      </w:r>
      <w:r>
        <w:rPr>
          <w:rFonts w:ascii="宋体" w:hAnsi="宋体" w:eastAsia="宋体" w:cs="宋体"/>
          <w:color w:val="auto"/>
          <w:spacing w:val="3"/>
          <w:sz w:val="24"/>
          <w:szCs w:val="24"/>
          <w:highlight w:val="none"/>
        </w:rPr>
        <w:t>制堆肥含水率、密闭发酵车间、机械通风集气、优</w:t>
      </w:r>
      <w:r>
        <w:rPr>
          <w:rFonts w:ascii="宋体" w:hAnsi="宋体" w:eastAsia="宋体" w:cs="宋体"/>
          <w:color w:val="auto"/>
          <w:spacing w:val="2"/>
          <w:sz w:val="24"/>
          <w:szCs w:val="24"/>
          <w:highlight w:val="none"/>
        </w:rPr>
        <w:t>化翻堆作业时间等措施，可有</w:t>
      </w:r>
      <w:r>
        <w:rPr>
          <w:rFonts w:ascii="宋体" w:hAnsi="宋体" w:eastAsia="宋体" w:cs="宋体"/>
          <w:color w:val="auto"/>
          <w:sz w:val="24"/>
          <w:szCs w:val="24"/>
          <w:highlight w:val="none"/>
        </w:rPr>
        <w:t>效降低翻堆过程颗粒物的产生量，颗粒物的产生量较小</w:t>
      </w:r>
      <w:r>
        <w:rPr>
          <w:rFonts w:ascii="宋体" w:hAnsi="宋体" w:eastAsia="宋体" w:cs="宋体"/>
          <w:color w:val="auto"/>
          <w:spacing w:val="-1"/>
          <w:sz w:val="24"/>
          <w:szCs w:val="24"/>
          <w:highlight w:val="none"/>
        </w:rPr>
        <w:t>，对周围环境影响较小。</w:t>
      </w:r>
    </w:p>
    <w:p w14:paraId="7B4B4885">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4 \* GB3 \* MERGEFORMAT </w:instrText>
      </w:r>
      <w:r>
        <w:rPr>
          <w:rFonts w:hint="default" w:ascii="Times New Roman" w:hAnsi="Times New Roman" w:eastAsia="宋体" w:cs="Times New Roman"/>
          <w:color w:val="auto"/>
          <w:highlight w:val="none"/>
          <w:lang w:val="en-US" w:eastAsia="zh-CN"/>
        </w:rPr>
        <w:fldChar w:fldCharType="separate"/>
      </w:r>
      <w:r>
        <w:rPr>
          <w:color w:val="auto"/>
          <w:highlight w:val="none"/>
        </w:rPr>
        <w:t>④</w:t>
      </w:r>
      <w:r>
        <w:rPr>
          <w:rFonts w:hint="default" w:ascii="Times New Roman" w:hAnsi="Times New Roman" w:eastAsia="宋体" w:cs="Times New Roman"/>
          <w:color w:val="auto"/>
          <w:highlight w:val="none"/>
          <w:lang w:val="en-US" w:eastAsia="zh-CN"/>
        </w:rPr>
        <w:fldChar w:fldCharType="end"/>
      </w:r>
      <w:r>
        <w:rPr>
          <w:rFonts w:hint="eastAsia" w:eastAsia="宋体" w:cs="Times New Roman"/>
          <w:color w:val="auto"/>
          <w:highlight w:val="none"/>
          <w:lang w:val="en-US" w:eastAsia="zh-CN"/>
        </w:rPr>
        <w:t>储粪间、青贮窖异味</w:t>
      </w:r>
    </w:p>
    <w:p w14:paraId="288A0A57">
      <w:pPr>
        <w:pStyle w:val="67"/>
        <w:ind w:firstLine="480"/>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储粪间用于存放冬季不能及时消纳于农田的腐熟固体粪肥，腐熟的固体粪肥颜色基</w:t>
      </w:r>
      <w:r>
        <w:rPr>
          <w:rFonts w:hint="eastAsia" w:ascii="Times New Roman" w:hAnsi="Times New Roman" w:eastAsia="宋体" w:cs="Times New Roman"/>
          <w:color w:val="auto"/>
          <w:highlight w:val="none"/>
          <w:lang w:val="en-US" w:eastAsia="zh-CN"/>
        </w:rPr>
        <w:t>本为褐色、深褐色或黑褐色，半干燥，疏松多孔，松软、均匀，呈粉状或粒状，无恶臭</w:t>
      </w:r>
      <w:r>
        <w:rPr>
          <w:rFonts w:hint="default" w:ascii="Times New Roman" w:hAnsi="Times New Roman" w:eastAsia="宋体" w:cs="Times New Roman"/>
          <w:color w:val="auto"/>
          <w:highlight w:val="none"/>
          <w:lang w:val="en-US" w:eastAsia="zh-CN"/>
        </w:rPr>
        <w:t>，略带泥土香或酵素的酸香</w:t>
      </w:r>
      <w:r>
        <w:rPr>
          <w:rFonts w:hint="eastAsia" w:ascii="Times New Roman" w:hAnsi="Times New Roman" w:eastAsia="宋体" w:cs="Times New Roman"/>
          <w:color w:val="auto"/>
          <w:highlight w:val="none"/>
          <w:lang w:val="en-US" w:eastAsia="zh-CN"/>
        </w:rPr>
        <w:t>，存放期间基本无异味产生，对周围环境不会产生较大影响。</w:t>
      </w:r>
    </w:p>
    <w:p w14:paraId="7069EA17">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青贮窖用于制作和存放青贮饲料。正常密封发酵良好的青贮饲料，气味呈浓郁的酸香或酒香，无腐败恶臭。存放期间，只要保持窖体密封完好、顶部覆膜或覆土无破损、窖壁无渗漏，青贮窖基本无异味外溢，对周围环境不会产生明显影响。</w:t>
      </w:r>
    </w:p>
    <w:bookmarkEnd w:id="20"/>
    <w:p w14:paraId="5F5A6CF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（2）废水</w:t>
      </w:r>
    </w:p>
    <w:p w14:paraId="3907303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w:t>
      </w:r>
      <w:r>
        <w:rPr>
          <w:rFonts w:hint="eastAsia" w:eastAsia="宋体" w:cs="Times New Roman"/>
          <w:color w:val="auto"/>
          <w:highlight w:val="none"/>
          <w:lang w:val="en-US" w:eastAsia="zh-CN"/>
        </w:rPr>
        <w:t>沉淀</w:t>
      </w:r>
      <w:r>
        <w:rPr>
          <w:rFonts w:hint="default" w:ascii="Times New Roman" w:hAnsi="Times New Roman" w:eastAsia="宋体" w:cs="Times New Roman"/>
          <w:color w:val="auto"/>
          <w:highlight w:val="none"/>
          <w:lang w:val="zh-CN"/>
        </w:rPr>
        <w:t>后用于厂区内洒水降尘，不外排；生活污水排入化粪池，定期外运，不外排。</w:t>
      </w:r>
    </w:p>
    <w:p w14:paraId="469078C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eastAsia" w:eastAsia="宋体" w:cs="Times New Roman"/>
          <w:color w:val="auto"/>
          <w:highlight w:val="none"/>
          <w:lang w:val="en-US" w:eastAsia="zh-CN"/>
        </w:rPr>
        <w:t>，项目无地面冲洗水产生；</w:t>
      </w:r>
      <w:r>
        <w:rPr>
          <w:rFonts w:hint="default" w:ascii="Times New Roman" w:hAnsi="Times New Roman" w:eastAsia="宋体" w:cs="Times New Roman"/>
          <w:color w:val="auto"/>
          <w:highlight w:val="none"/>
          <w:lang w:val="zh-CN"/>
        </w:rPr>
        <w:t>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w:t>
      </w:r>
      <w:r>
        <w:rPr>
          <w:rFonts w:hint="default" w:ascii="Times New Roman" w:hAnsi="Times New Roman" w:eastAsia="宋体" w:cs="Times New Roman"/>
          <w:color w:val="auto"/>
          <w:highlight w:val="none"/>
          <w:lang w:val="en-US" w:eastAsia="zh-CN"/>
        </w:rPr>
        <w:t>消毒用水全部损耗。</w:t>
      </w:r>
      <w:r>
        <w:rPr>
          <w:rFonts w:hint="eastAsia" w:ascii="Times New Roman" w:hAnsi="Times New Roman" w:eastAsia="宋体" w:cs="Times New Roman"/>
          <w:color w:val="auto"/>
          <w:highlight w:val="none"/>
          <w:lang w:val="en-US" w:eastAsia="zh-CN"/>
        </w:rPr>
        <w:t>采取以上措施，本项目无</w:t>
      </w:r>
      <w:r>
        <w:rPr>
          <w:rFonts w:hint="eastAsia" w:eastAsia="宋体" w:cs="Times New Roman"/>
          <w:color w:val="auto"/>
          <w:highlight w:val="none"/>
          <w:lang w:val="en-US" w:eastAsia="zh-CN"/>
        </w:rPr>
        <w:t>养殖</w:t>
      </w:r>
      <w:r>
        <w:rPr>
          <w:rFonts w:hint="eastAsia" w:ascii="Times New Roman" w:hAnsi="Times New Roman" w:eastAsia="宋体" w:cs="Times New Roman"/>
          <w:color w:val="auto"/>
          <w:highlight w:val="none"/>
          <w:lang w:val="en-US" w:eastAsia="zh-CN"/>
        </w:rPr>
        <w:t>废水产生。</w:t>
      </w:r>
    </w:p>
    <w:p w14:paraId="39798BD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（3）地下水</w:t>
      </w:r>
    </w:p>
    <w:p w14:paraId="741118EB">
      <w:pPr>
        <w:pStyle w:val="67"/>
        <w:ind w:firstLine="480"/>
        <w:rPr>
          <w:rFonts w:hint="default" w:ascii="Times New Roman" w:hAnsi="Times New Roman" w:eastAsia="宋体" w:cs="Times New Roman"/>
          <w:color w:val="auto"/>
          <w:highlight w:val="none"/>
        </w:rPr>
      </w:pPr>
      <w:bookmarkStart w:id="21" w:name="_Hlk530062686"/>
      <w:r>
        <w:rPr>
          <w:rFonts w:hint="default" w:ascii="Times New Roman" w:hAnsi="Times New Roman" w:eastAsia="宋体" w:cs="Times New Roman"/>
          <w:color w:val="auto"/>
          <w:highlight w:val="none"/>
        </w:rPr>
        <w:t>①</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堆肥间按重点防渗区采取防渗措施。</w:t>
      </w:r>
    </w:p>
    <w:p w14:paraId="58A654D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highlight w:val="none"/>
        </w:rPr>
        <w:t>采取一般防渗措施。</w:t>
      </w:r>
    </w:p>
    <w:p w14:paraId="0741D63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办公室等其他建筑物、厂内道路采取简单防渗，对其地面采用水泥进行一般地面硬化。</w:t>
      </w:r>
    </w:p>
    <w:bookmarkEnd w:id="21"/>
    <w:p w14:paraId="7272E72B">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（4）噪声</w:t>
      </w:r>
    </w:p>
    <w:p w14:paraId="02AE852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厂内合理喂养，减少牛叫声；</w:t>
      </w:r>
      <w:r>
        <w:rPr>
          <w:rFonts w:hint="default" w:ascii="Times New Roman" w:hAnsi="Times New Roman" w:eastAsia="宋体" w:cs="Times New Roman"/>
          <w:color w:val="auto"/>
          <w:highlight w:val="none"/>
        </w:rPr>
        <w:t>充分选用先进的低噪设备，风机、水泵等发声设备应设减振垫；加强设备的维护，着重场区绿化；综上所述，本项目采取上述防噪措施后，噪声对周围环境影响较小，场界噪声满足《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w:t>
      </w:r>
    </w:p>
    <w:p w14:paraId="16F99D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（5）固体废物</w:t>
      </w:r>
    </w:p>
    <w:p w14:paraId="16DE208F">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本项目含有牛粪尿的垫料在牛舍发酵后，运至</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进一步发酵制成</w:t>
      </w:r>
      <w:r>
        <w:rPr>
          <w:rFonts w:hint="eastAsia" w:eastAsia="宋体" w:cs="Times New Roman"/>
          <w:color w:val="auto"/>
          <w:highlight w:val="none"/>
          <w:lang w:val="en-US" w:eastAsia="zh-CN"/>
        </w:rPr>
        <w:t>固体粪肥</w:t>
      </w:r>
      <w:r>
        <w:rPr>
          <w:rFonts w:hint="default" w:ascii="Times New Roman" w:hAnsi="Times New Roman" w:eastAsia="宋体" w:cs="Times New Roman"/>
          <w:color w:val="auto"/>
          <w:highlight w:val="none"/>
          <w:lang w:val="en-US" w:eastAsia="zh-CN"/>
        </w:rPr>
        <w:t>，粪床每月清理一次，固体粪肥使用喷粪车作为肥料施用于配套消纳地进行施肥，非施肥季节储存于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eastAsia" w:ascii="Times New Roman" w:hAnsi="Times New Roman" w:eastAsia="宋体" w:cs="Times New Roman"/>
          <w:color w:val="auto"/>
          <w:highlight w:val="none"/>
          <w:lang w:val="en-US" w:eastAsia="zh-CN"/>
        </w:rPr>
        <w:t>医疗废物</w:t>
      </w:r>
      <w:r>
        <w:rPr>
          <w:rFonts w:hint="default" w:ascii="Times New Roman" w:hAnsi="Times New Roman" w:eastAsia="宋体" w:cs="Times New Roman"/>
          <w:color w:val="auto"/>
          <w:highlight w:val="none"/>
        </w:rPr>
        <w:t>暂存</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，委托有资质的单位处理。</w:t>
      </w:r>
      <w:r>
        <w:rPr>
          <w:rFonts w:hint="eastAsia" w:eastAsia="宋体" w:cs="Times New Roman"/>
          <w:color w:val="auto"/>
          <w:highlight w:val="none"/>
          <w:lang w:val="en-US" w:eastAsia="zh-CN"/>
        </w:rPr>
        <w:t>废活性炭收集后交由厂家回收。</w:t>
      </w:r>
      <w:r>
        <w:rPr>
          <w:rFonts w:hint="eastAsia" w:ascii="Times New Roman" w:hAnsi="Times New Roman" w:eastAsia="宋体" w:cs="Times New Roman"/>
          <w:color w:val="auto"/>
          <w:highlight w:val="none"/>
          <w:lang w:val="en-US" w:eastAsia="zh-CN"/>
        </w:rPr>
        <w:t>病死牛尸体</w:t>
      </w: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val="en-US" w:eastAsia="zh-CN"/>
        </w:rPr>
        <w:t>哈尔滨银山无害化处理有限公司</w:t>
      </w:r>
      <w:r>
        <w:rPr>
          <w:rFonts w:hint="eastAsia" w:eastAsia="宋体" w:cs="Times New Roman"/>
          <w:color w:val="auto"/>
          <w:highlight w:val="none"/>
          <w:lang w:val="en-US" w:eastAsia="zh-CN"/>
        </w:rPr>
        <w:t>进行</w:t>
      </w:r>
      <w:r>
        <w:rPr>
          <w:rFonts w:hint="default" w:ascii="Times New Roman" w:hAnsi="Times New Roman" w:eastAsia="宋体" w:cs="Times New Roman"/>
          <w:color w:val="auto"/>
          <w:highlight w:val="none"/>
        </w:rPr>
        <w:t>无害化处理。</w:t>
      </w:r>
      <w:r>
        <w:rPr>
          <w:rFonts w:hint="eastAsia" w:eastAsia="宋体" w:cs="Times New Roman"/>
          <w:color w:val="auto"/>
          <w:highlight w:val="none"/>
          <w:lang w:val="en-US" w:eastAsia="zh-CN"/>
        </w:rPr>
        <w:t>生活垃圾</w:t>
      </w:r>
      <w:r>
        <w:rPr>
          <w:rFonts w:hint="default" w:ascii="Times New Roman" w:hAnsi="Times New Roman" w:eastAsia="宋体" w:cs="Times New Roman"/>
          <w:color w:val="auto"/>
          <w:highlight w:val="none"/>
        </w:rPr>
        <w:t>及时清运，由市政部门统一清运处理。</w:t>
      </w:r>
    </w:p>
    <w:p w14:paraId="3D6CEF25">
      <w:pPr>
        <w:pStyle w:val="5"/>
        <w:spacing w:line="500" w:lineRule="exact"/>
        <w:rPr>
          <w:rFonts w:hint="default" w:ascii="Times New Roman" w:hAnsi="Times New Roman" w:cs="Times New Roman"/>
          <w:color w:val="auto"/>
          <w:highlight w:val="none"/>
        </w:rPr>
      </w:pPr>
      <w:bookmarkStart w:id="22" w:name="_Toc527121311"/>
      <w:bookmarkStart w:id="23" w:name="_Toc57713599"/>
      <w:bookmarkStart w:id="24" w:name="_Toc4900"/>
      <w:r>
        <w:rPr>
          <w:rFonts w:hint="default" w:ascii="Times New Roman" w:hAnsi="Times New Roman" w:cs="Times New Roman"/>
          <w:color w:val="auto"/>
          <w:highlight w:val="none"/>
        </w:rPr>
        <w:t>1.2.5主要结论</w:t>
      </w:r>
      <w:bookmarkEnd w:id="22"/>
      <w:bookmarkEnd w:id="23"/>
      <w:bookmarkEnd w:id="24"/>
    </w:p>
    <w:p w14:paraId="37F1431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符合国家产业政策要求，项目本着从清洁生产入手，对肉牛标准规模养殖产生的粪污采取了源头污染控制的工程措施切实可行，可实现污水零排放、粪污得到资源化综合利用的环境保护技术要求，在认真落实报告书所述各项污染防治措施后，可实现污染物稳定达标排放，通过加强环境管理和环境监测，杜绝事故发生，本项目建设可被周围环境所接受。</w:t>
      </w:r>
    </w:p>
    <w:p w14:paraId="42FF5084">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因此，从环境保护角度分析，本项目具有可行性。</w:t>
      </w:r>
      <w:bookmarkStart w:id="25" w:name="_Toc527121312"/>
    </w:p>
    <w:p w14:paraId="5A5039E7">
      <w:pPr>
        <w:pStyle w:val="4"/>
        <w:rPr>
          <w:rFonts w:hint="default" w:ascii="Times New Roman" w:hAnsi="Times New Roman" w:cs="Times New Roman"/>
          <w:color w:val="auto"/>
          <w:highlight w:val="none"/>
        </w:rPr>
      </w:pPr>
      <w:bookmarkStart w:id="26" w:name="_Toc57713600"/>
      <w:bookmarkStart w:id="27" w:name="_Toc32488"/>
      <w:r>
        <w:rPr>
          <w:rFonts w:hint="default" w:ascii="Times New Roman" w:hAnsi="Times New Roman" w:cs="Times New Roman"/>
          <w:color w:val="auto"/>
          <w:highlight w:val="none"/>
        </w:rPr>
        <w:t>1.3环境影响评价工作过程</w:t>
      </w:r>
      <w:bookmarkEnd w:id="25"/>
      <w:bookmarkEnd w:id="26"/>
      <w:bookmarkEnd w:id="27"/>
    </w:p>
    <w:p w14:paraId="38661B8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依据《建设项目环境影响评价技术导则 总纲》（HJ2.1-2016）要求，本次环评工作分为三个阶段进行。</w:t>
      </w:r>
    </w:p>
    <w:p w14:paraId="29BE76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依据《建设项目环境影响评价分类管理名录》（2021年版）规定，“二、畜牧业中的3牲畜饲养031”类，年出栏生猪5000头（其他畜禽种类折合猪的养殖量）及以上的规模化畜禽养殖；存栏生猪2500头（其他畜禽种类折合猪的养殖规模）及以上无出栏量的规模化畜禽养殖应做环境影响报告书。</w:t>
      </w:r>
    </w:p>
    <w:p w14:paraId="70CE7D8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根据《畜禽养殖业污染物排放标准》（GB18596-2001）1头肉牛折算成5头猪。本项目年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栏肉牛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头，折算猪为</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lang w:val="en-US" w:eastAsia="zh-CN"/>
        </w:rPr>
        <w:t>0000</w:t>
      </w:r>
      <w:r>
        <w:rPr>
          <w:rFonts w:hint="default" w:ascii="Times New Roman" w:hAnsi="Times New Roman" w:eastAsia="宋体" w:cs="Times New Roman"/>
          <w:color w:val="auto"/>
          <w:highlight w:val="none"/>
        </w:rPr>
        <w:t>头，因此本项目应编制环境影响报告书。在研究相关技术及其他有关文件基础上进行初步工程分析，开展了初步环境现状调查，进行了环境影响识别和评价因子筛选。明确了评价重点为水环境影响、大气环境影响和固体废物影响，确定了保护目标，进一步确定评价工作等级、范围及评价标准，制定出相应工作方案。</w:t>
      </w:r>
    </w:p>
    <w:p w14:paraId="04874C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根据第一阶段工作成果，对环境现状的大气环境、地表水环境、地下水环境、声环境、土壤环境等进行了调查、监测与评价，详细进行工程分析，确定了主要环境影响因素为废水对地表水和地下水的影响，牛舍、堆肥间恶臭对大气环境的影响，牛叫及设备噪声对周边声环境的影响，</w:t>
      </w:r>
      <w:r>
        <w:rPr>
          <w:rFonts w:hint="eastAsia" w:eastAsia="宋体" w:cs="Times New Roman"/>
          <w:color w:val="auto"/>
          <w:highlight w:val="none"/>
          <w:lang w:val="en-US" w:eastAsia="zh-CN"/>
        </w:rPr>
        <w:t>含粪污废垫料</w:t>
      </w:r>
      <w:r>
        <w:rPr>
          <w:rFonts w:hint="default" w:ascii="Times New Roman" w:hAnsi="Times New Roman" w:eastAsia="宋体" w:cs="Times New Roman"/>
          <w:color w:val="auto"/>
          <w:highlight w:val="none"/>
        </w:rPr>
        <w:t>、生活垃圾、病死牛尸体、</w:t>
      </w:r>
      <w:r>
        <w:rPr>
          <w:rFonts w:hint="eastAsia" w:eastAsia="宋体" w:cs="Times New Roman"/>
          <w:color w:val="auto"/>
          <w:highlight w:val="none"/>
          <w:lang w:val="en-US" w:eastAsia="zh-CN"/>
        </w:rPr>
        <w:t>废活性炭、</w:t>
      </w:r>
      <w:r>
        <w:rPr>
          <w:rFonts w:hint="default" w:ascii="Times New Roman" w:hAnsi="Times New Roman" w:eastAsia="宋体" w:cs="Times New Roman"/>
          <w:color w:val="auto"/>
          <w:highlight w:val="none"/>
        </w:rPr>
        <w:t>医疗废物等固体废物对周边环境的影响，并采取相应的模式对各环境要素影响进行了预测与分析。</w:t>
      </w:r>
    </w:p>
    <w:p w14:paraId="0576B3F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（3）对牛舍、堆肥间恶臭提出了大气环境保护措施，</w:t>
      </w:r>
      <w:r>
        <w:rPr>
          <w:rFonts w:hint="eastAsia" w:eastAsia="宋体" w:cs="Times New Roman"/>
          <w:color w:val="auto"/>
          <w:highlight w:val="none"/>
          <w:lang w:val="en-US" w:eastAsia="zh-CN"/>
        </w:rPr>
        <w:t>养殖废水、</w:t>
      </w:r>
      <w:r>
        <w:rPr>
          <w:rFonts w:hint="default" w:ascii="Times New Roman" w:hAnsi="Times New Roman" w:eastAsia="宋体" w:cs="Times New Roman"/>
          <w:color w:val="auto"/>
          <w:highlight w:val="none"/>
        </w:rPr>
        <w:t>生活污水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初期雨水</w:t>
      </w:r>
      <w:r>
        <w:rPr>
          <w:rFonts w:hint="default" w:ascii="Times New Roman" w:hAnsi="Times New Roman" w:eastAsia="宋体" w:cs="Times New Roman"/>
          <w:color w:val="auto"/>
          <w:highlight w:val="none"/>
        </w:rPr>
        <w:t>等提出了处理措施和地下水防治措施，对噪声采取了隔声减振等措施，对产生的固废采取了相应处理处置措施，并进行经济技术可行性论证，给出污染物排放清单并给出评价结论。</w:t>
      </w:r>
    </w:p>
    <w:p w14:paraId="67665596">
      <w:pPr>
        <w:adjustRightInd/>
        <w:snapToGrid/>
        <w:spacing w:line="240" w:lineRule="auto"/>
        <w:ind w:firstLine="0" w:firstLineChars="0"/>
        <w:jc w:val="center"/>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rPr>
        <w:drawing>
          <wp:inline distT="0" distB="0" distL="0" distR="0">
            <wp:extent cx="3903345" cy="5158740"/>
            <wp:effectExtent l="0" t="0" r="1905" b="381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30"/>
                    <a:stretch>
                      <a:fillRect/>
                    </a:stretch>
                  </pic:blipFill>
                  <pic:spPr>
                    <a:xfrm>
                      <a:off x="0" y="0"/>
                      <a:ext cx="3939433" cy="5206256"/>
                    </a:xfrm>
                    <a:prstGeom prst="rect">
                      <a:avLst/>
                    </a:prstGeom>
                  </pic:spPr>
                </pic:pic>
              </a:graphicData>
            </a:graphic>
          </wp:inline>
        </w:drawing>
      </w:r>
    </w:p>
    <w:p w14:paraId="4191022A">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图1-3-1建设项目环境影响评价工作程序图</w:t>
      </w:r>
    </w:p>
    <w:p w14:paraId="12B1E219">
      <w:pPr>
        <w:pStyle w:val="4"/>
        <w:rPr>
          <w:rFonts w:hint="default" w:ascii="Times New Roman" w:hAnsi="Times New Roman" w:cs="Times New Roman"/>
          <w:color w:val="auto"/>
          <w:highlight w:val="none"/>
        </w:rPr>
      </w:pPr>
      <w:bookmarkStart w:id="28" w:name="_Toc527121313"/>
      <w:bookmarkStart w:id="29" w:name="_Toc57713601"/>
      <w:bookmarkStart w:id="30" w:name="_Toc18702"/>
      <w:r>
        <w:rPr>
          <w:rFonts w:hint="default" w:ascii="Times New Roman" w:hAnsi="Times New Roman" w:cs="Times New Roman"/>
          <w:color w:val="auto"/>
          <w:highlight w:val="none"/>
        </w:rPr>
        <w:t>1.4</w:t>
      </w:r>
      <w:bookmarkEnd w:id="28"/>
      <w:bookmarkEnd w:id="29"/>
      <w:r>
        <w:rPr>
          <w:rFonts w:hint="default" w:ascii="Times New Roman" w:hAnsi="Times New Roman" w:cs="Times New Roman"/>
          <w:color w:val="auto"/>
          <w:highlight w:val="none"/>
        </w:rPr>
        <w:t>相关规划及政策符合性分析</w:t>
      </w:r>
      <w:bookmarkEnd w:id="30"/>
    </w:p>
    <w:p w14:paraId="2ADF3542">
      <w:pPr>
        <w:pStyle w:val="5"/>
        <w:spacing w:line="500" w:lineRule="exact"/>
        <w:rPr>
          <w:rFonts w:hint="default" w:ascii="Times New Roman" w:hAnsi="Times New Roman" w:cs="Times New Roman"/>
          <w:color w:val="auto"/>
          <w:highlight w:val="none"/>
        </w:rPr>
      </w:pPr>
      <w:bookmarkStart w:id="31" w:name="_Toc527121314"/>
      <w:bookmarkStart w:id="32" w:name="_Toc57713602"/>
      <w:bookmarkStart w:id="33" w:name="_Toc28025"/>
      <w:r>
        <w:rPr>
          <w:rFonts w:hint="default" w:ascii="Times New Roman" w:hAnsi="Times New Roman" w:cs="Times New Roman"/>
          <w:color w:val="auto"/>
          <w:highlight w:val="none"/>
        </w:rPr>
        <w:t>1.4.1产业政策符合性分析</w:t>
      </w:r>
      <w:bookmarkEnd w:id="31"/>
      <w:bookmarkEnd w:id="32"/>
      <w:bookmarkEnd w:id="33"/>
    </w:p>
    <w:p w14:paraId="465AD47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本项目达产后养殖规模年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栏量</w:t>
      </w:r>
      <w:r>
        <w:rPr>
          <w:rFonts w:hint="default" w:ascii="Times New Roman" w:hAnsi="Times New Roman" w:eastAsia="宋体" w:cs="Times New Roman"/>
          <w:color w:val="auto"/>
          <w:highlight w:val="none"/>
          <w:lang w:val="en-US" w:eastAsia="zh-CN"/>
        </w:rPr>
        <w:t>为1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肉牛，属标准化规模养殖项目，根据《产业结构调整指导目录（2024年本）》，本项目属于“农林牧渔业”中的“畜禽标准化规模养殖技术开发与应用”项目，是国家鼓励类项目，所用生产设备不涉及限制、淘汰类设备，符合国家产业政策。</w:t>
      </w:r>
    </w:p>
    <w:p w14:paraId="468F5508">
      <w:pPr>
        <w:pStyle w:val="67"/>
        <w:ind w:firstLine="480"/>
        <w:rPr>
          <w:rStyle w:val="59"/>
          <w:rFonts w:hint="default" w:ascii="Times New Roman" w:hAnsi="Times New Roman" w:eastAsia="仿宋" w:cs="Times New Roman"/>
          <w:snapToGrid/>
          <w:color w:val="auto"/>
          <w:kern w:val="2"/>
          <w:sz w:val="24"/>
          <w:szCs w:val="24"/>
          <w:highlight w:val="none"/>
        </w:rPr>
      </w:pPr>
      <w:r>
        <w:rPr>
          <w:rFonts w:hint="default" w:ascii="Times New Roman" w:hAnsi="Times New Roman" w:eastAsia="宋体" w:cs="Times New Roman"/>
          <w:color w:val="auto"/>
          <w:highlight w:val="none"/>
        </w:rPr>
        <w:t>综上所述，本项目建设符合国家产业政策要求。</w:t>
      </w:r>
    </w:p>
    <w:p w14:paraId="0020236C">
      <w:pPr>
        <w:pStyle w:val="5"/>
        <w:spacing w:line="500" w:lineRule="exact"/>
        <w:rPr>
          <w:rFonts w:hint="default" w:ascii="Times New Roman" w:hAnsi="Times New Roman" w:cs="Times New Roman"/>
          <w:color w:val="auto"/>
          <w:highlight w:val="none"/>
        </w:rPr>
      </w:pPr>
      <w:bookmarkStart w:id="34" w:name="_Toc13842"/>
      <w:bookmarkStart w:id="35" w:name="_Toc57713603"/>
      <w:bookmarkStart w:id="36" w:name="_Toc527121315"/>
      <w:r>
        <w:rPr>
          <w:rFonts w:hint="default" w:ascii="Times New Roman" w:hAnsi="Times New Roman" w:cs="Times New Roman"/>
          <w:color w:val="auto"/>
          <w:highlight w:val="none"/>
        </w:rPr>
        <w:t>1.4.2与相关规划和政策符合性分析</w:t>
      </w:r>
      <w:bookmarkEnd w:id="34"/>
      <w:bookmarkEnd w:id="35"/>
      <w:bookmarkEnd w:id="36"/>
    </w:p>
    <w:p w14:paraId="7141EA17">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1</w:t>
      </w:r>
      <w:r>
        <w:rPr>
          <w:rFonts w:hint="default" w:ascii="Times New Roman" w:hAnsi="Times New Roman" w:cs="Times New Roman"/>
          <w:color w:val="auto"/>
          <w:highlight w:val="none"/>
        </w:rPr>
        <w:t>与《畜禽养殖业污染防治技术规范》（HJ/T81-2001）符合性分析</w:t>
      </w:r>
    </w:p>
    <w:p w14:paraId="503760EE">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本项目与《畜禽养殖业污染防治技术规范》（HJ/T81-2001）符合性分析见下表。</w:t>
      </w:r>
    </w:p>
    <w:p w14:paraId="547366C3">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表1-4-1本项目与《畜禽养殖业污染防治技术规范》（HJ/T81-2001）符合性</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850"/>
        <w:gridCol w:w="3257"/>
        <w:gridCol w:w="2833"/>
        <w:gridCol w:w="657"/>
      </w:tblGrid>
      <w:tr w14:paraId="3937A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583629C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111" w:type="dxa"/>
            <w:gridSpan w:val="2"/>
            <w:vAlign w:val="center"/>
          </w:tcPr>
          <w:p w14:paraId="7B719D9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《畜禽养殖业污染防治技术规范》（HJ/T81-2001）要求</w:t>
            </w:r>
          </w:p>
        </w:tc>
        <w:tc>
          <w:tcPr>
            <w:tcW w:w="2835" w:type="dxa"/>
            <w:vAlign w:val="center"/>
          </w:tcPr>
          <w:p w14:paraId="4688BAF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657" w:type="dxa"/>
            <w:vAlign w:val="center"/>
          </w:tcPr>
          <w:p w14:paraId="5BFD470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66C7C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23071C9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51" w:type="dxa"/>
            <w:vMerge w:val="restart"/>
            <w:vAlign w:val="center"/>
          </w:tcPr>
          <w:p w14:paraId="315E30F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选址要求</w:t>
            </w:r>
          </w:p>
        </w:tc>
        <w:tc>
          <w:tcPr>
            <w:tcW w:w="3260" w:type="dxa"/>
            <w:vAlign w:val="center"/>
          </w:tcPr>
          <w:p w14:paraId="003886F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1.1禁止在下列区域内建设畜禽养殖场：</w:t>
            </w:r>
          </w:p>
          <w:p w14:paraId="756D297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1.1.1生活饮用水水源保护区、风景名胜区，自然保护区的核心区及缓冲区；</w:t>
            </w:r>
          </w:p>
          <w:p w14:paraId="742F041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1.1.2城市和城镇居民区,包括文教科研区、医疗区、商业区、工业区、游览区等人口集中地区；</w:t>
            </w:r>
          </w:p>
          <w:p w14:paraId="15EB224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1.1.3县级人民政府依法划定的禁养区域；</w:t>
            </w:r>
          </w:p>
          <w:p w14:paraId="27013AE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1.1.4国家或地方法律、法规规定需特殊保护的其它区域。</w:t>
            </w:r>
          </w:p>
        </w:tc>
        <w:tc>
          <w:tcPr>
            <w:tcW w:w="2835" w:type="dxa"/>
            <w:vAlign w:val="center"/>
          </w:tcPr>
          <w:p w14:paraId="04D5FC7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本项目选址位于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不属于生活饮用水水源保护区、风景名胜区，自然保护区的核心区及缓冲区；不属于城市和城镇居民区，包括文教科研区、医疗区、商业区、工业区、游览区等人口集中地区；不属于县级人民政府依法划定的禁养区域；不属于国家或地方法律、法规规定需特殊保护的其它区域。</w:t>
            </w:r>
          </w:p>
        </w:tc>
        <w:tc>
          <w:tcPr>
            <w:tcW w:w="657" w:type="dxa"/>
            <w:vAlign w:val="center"/>
          </w:tcPr>
          <w:p w14:paraId="02F77D4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2034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1DA4A984">
            <w:pPr>
              <w:pStyle w:val="146"/>
              <w:rPr>
                <w:rFonts w:hint="default" w:ascii="Times New Roman" w:hAnsi="Times New Roman" w:eastAsia="宋体" w:cs="Times New Roman"/>
                <w:color w:val="auto"/>
                <w:highlight w:val="none"/>
              </w:rPr>
            </w:pPr>
          </w:p>
        </w:tc>
        <w:tc>
          <w:tcPr>
            <w:tcW w:w="851" w:type="dxa"/>
            <w:vMerge w:val="continue"/>
            <w:vAlign w:val="center"/>
          </w:tcPr>
          <w:p w14:paraId="63C8F1F0">
            <w:pPr>
              <w:pStyle w:val="146"/>
              <w:rPr>
                <w:rFonts w:hint="default" w:ascii="Times New Roman" w:hAnsi="Times New Roman" w:eastAsia="宋体" w:cs="Times New Roman"/>
                <w:color w:val="auto"/>
                <w:highlight w:val="none"/>
              </w:rPr>
            </w:pPr>
          </w:p>
        </w:tc>
        <w:tc>
          <w:tcPr>
            <w:tcW w:w="3260" w:type="dxa"/>
            <w:vAlign w:val="center"/>
          </w:tcPr>
          <w:p w14:paraId="44DB3E7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1.2新建、改建、扩建的畜禽养殖场选址应避开1.1规定的禁建区域,在禁建区域附近建设的，应设在1.1规定的禁建区域常年主导风向的下风向或侧风向处，场界与禁建区域边界的最小距离不得小于500m。</w:t>
            </w:r>
          </w:p>
        </w:tc>
        <w:tc>
          <w:tcPr>
            <w:tcW w:w="2835" w:type="dxa"/>
            <w:vAlign w:val="center"/>
          </w:tcPr>
          <w:p w14:paraId="1485DB15">
            <w:pPr>
              <w:pStyle w:val="146"/>
              <w:jc w:val="both"/>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距项目最近居民区为</w:t>
            </w:r>
            <w:r>
              <w:rPr>
                <w:rFonts w:hint="default" w:ascii="Times New Roman" w:hAnsi="Times New Roman" w:eastAsia="宋体" w:cs="Times New Roman"/>
                <w:color w:val="auto"/>
                <w:highlight w:val="none"/>
                <w:lang w:val="en-US" w:eastAsia="zh-CN"/>
              </w:rPr>
              <w:t>厂界北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6460</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highlight w:val="none"/>
              </w:rPr>
              <w:t>的</w:t>
            </w:r>
            <w:r>
              <w:rPr>
                <w:rFonts w:hint="default" w:ascii="Times New Roman" w:hAnsi="Times New Roman" w:eastAsia="宋体" w:cs="Times New Roman"/>
                <w:color w:val="auto"/>
                <w:highlight w:val="none"/>
                <w:lang w:val="en-US" w:eastAsia="zh-CN"/>
              </w:rPr>
              <w:t>河北屯</w:t>
            </w:r>
            <w:r>
              <w:rPr>
                <w:rFonts w:hint="default" w:ascii="Times New Roman" w:hAnsi="Times New Roman" w:eastAsia="宋体" w:cs="Times New Roman"/>
                <w:color w:val="auto"/>
                <w:highlight w:val="none"/>
              </w:rPr>
              <w:t>，项目四周空旷。项目区域常年主导风向为</w:t>
            </w:r>
            <w:r>
              <w:rPr>
                <w:rFonts w:hint="default" w:ascii="Times New Roman" w:hAnsi="Times New Roman" w:eastAsia="宋体" w:cs="Times New Roman"/>
                <w:color w:val="auto"/>
                <w:highlight w:val="none"/>
                <w:lang w:val="en-US" w:eastAsia="zh-CN"/>
              </w:rPr>
              <w:t>西北北</w:t>
            </w:r>
            <w:r>
              <w:rPr>
                <w:rFonts w:hint="default" w:ascii="Times New Roman" w:hAnsi="Times New Roman" w:eastAsia="宋体" w:cs="Times New Roman"/>
                <w:color w:val="auto"/>
                <w:highlight w:val="none"/>
              </w:rPr>
              <w:t>风，</w:t>
            </w:r>
            <w:r>
              <w:rPr>
                <w:rFonts w:hint="default" w:ascii="Times New Roman" w:hAnsi="Times New Roman" w:eastAsia="宋体" w:cs="Times New Roman"/>
                <w:color w:val="auto"/>
                <w:highlight w:val="none"/>
                <w:lang w:val="en-US" w:eastAsia="zh-CN"/>
              </w:rPr>
              <w:t>河北屯</w:t>
            </w:r>
            <w:r>
              <w:rPr>
                <w:rFonts w:hint="default" w:ascii="Times New Roman" w:hAnsi="Times New Roman" w:eastAsia="宋体" w:cs="Times New Roman"/>
                <w:color w:val="auto"/>
                <w:highlight w:val="none"/>
              </w:rPr>
              <w:t>位于其主导风向的</w:t>
            </w:r>
            <w:r>
              <w:rPr>
                <w:rFonts w:hint="default" w:ascii="Times New Roman" w:hAnsi="Times New Roman" w:eastAsia="宋体" w:cs="Times New Roman"/>
                <w:color w:val="auto"/>
                <w:highlight w:val="none"/>
                <w:lang w:val="en-US" w:eastAsia="zh-CN"/>
              </w:rPr>
              <w:t>上</w:t>
            </w:r>
            <w:r>
              <w:rPr>
                <w:rFonts w:hint="default" w:ascii="Times New Roman" w:hAnsi="Times New Roman" w:eastAsia="宋体" w:cs="Times New Roman"/>
                <w:color w:val="auto"/>
                <w:highlight w:val="none"/>
              </w:rPr>
              <w:t>风向。</w:t>
            </w:r>
          </w:p>
        </w:tc>
        <w:tc>
          <w:tcPr>
            <w:tcW w:w="657" w:type="dxa"/>
            <w:vAlign w:val="center"/>
          </w:tcPr>
          <w:p w14:paraId="00DCEE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0775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6FE4938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51" w:type="dxa"/>
            <w:vMerge w:val="restart"/>
            <w:vAlign w:val="center"/>
          </w:tcPr>
          <w:p w14:paraId="71A7EF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场区布局与清粪工艺</w:t>
            </w:r>
          </w:p>
        </w:tc>
        <w:tc>
          <w:tcPr>
            <w:tcW w:w="3260" w:type="dxa"/>
            <w:vAlign w:val="center"/>
          </w:tcPr>
          <w:p w14:paraId="52AD619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2.1新建、改建、扩建的畜禽养殖场应实现生产区、生活管理区的隔离，粪便污水处理设施和禽畜尸体焚烧炉应设在养殖场的生产区、生活管理区的常年主导风向的下风向或侧风向处。</w:t>
            </w:r>
          </w:p>
        </w:tc>
        <w:tc>
          <w:tcPr>
            <w:tcW w:w="2835" w:type="dxa"/>
            <w:vAlign w:val="center"/>
          </w:tcPr>
          <w:p w14:paraId="70A7B387">
            <w:pPr>
              <w:autoSpaceDE w:val="0"/>
              <w:autoSpaceDN w:val="0"/>
              <w:spacing w:line="240" w:lineRule="auto"/>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实现了生产区、生活管理区的隔离，</w:t>
            </w:r>
            <w:r>
              <w:rPr>
                <w:rFonts w:hint="eastAsia" w:cs="Times New Roman"/>
                <w:color w:val="auto"/>
                <w:kern w:val="0"/>
                <w:sz w:val="21"/>
                <w:szCs w:val="21"/>
                <w:highlight w:val="none"/>
                <w:lang w:val="en-US" w:eastAsia="zh-CN"/>
              </w:rPr>
              <w:t>储粪间、</w:t>
            </w:r>
            <w:r>
              <w:rPr>
                <w:rFonts w:hint="default" w:ascii="Times New Roman" w:hAnsi="Times New Roman" w:eastAsia="宋体" w:cs="Times New Roman"/>
                <w:color w:val="auto"/>
                <w:kern w:val="0"/>
                <w:sz w:val="21"/>
                <w:szCs w:val="21"/>
                <w:highlight w:val="none"/>
              </w:rPr>
              <w:t>堆肥间位于</w:t>
            </w:r>
            <w:r>
              <w:rPr>
                <w:rFonts w:hint="eastAsia" w:cs="Times New Roman"/>
                <w:color w:val="auto"/>
                <w:kern w:val="0"/>
                <w:sz w:val="21"/>
                <w:szCs w:val="21"/>
                <w:highlight w:val="none"/>
                <w:lang w:val="en-US" w:eastAsia="zh-CN"/>
              </w:rPr>
              <w:t>南</w:t>
            </w:r>
            <w:r>
              <w:rPr>
                <w:rFonts w:hint="default" w:ascii="Times New Roman" w:hAnsi="Times New Roman" w:eastAsia="宋体" w:cs="Times New Roman"/>
                <w:color w:val="auto"/>
                <w:kern w:val="0"/>
                <w:sz w:val="21"/>
                <w:szCs w:val="21"/>
                <w:highlight w:val="none"/>
              </w:rPr>
              <w:t>侧，处于生产区、生活管理区的常年主导风向的下风向。</w:t>
            </w:r>
          </w:p>
        </w:tc>
        <w:tc>
          <w:tcPr>
            <w:tcW w:w="657" w:type="dxa"/>
            <w:vAlign w:val="center"/>
          </w:tcPr>
          <w:p w14:paraId="76F4464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0A59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0473A060">
            <w:pPr>
              <w:pStyle w:val="146"/>
              <w:rPr>
                <w:rFonts w:hint="default" w:ascii="Times New Roman" w:hAnsi="Times New Roman" w:eastAsia="宋体" w:cs="Times New Roman"/>
                <w:color w:val="auto"/>
                <w:highlight w:val="none"/>
              </w:rPr>
            </w:pPr>
          </w:p>
        </w:tc>
        <w:tc>
          <w:tcPr>
            <w:tcW w:w="851" w:type="dxa"/>
            <w:vMerge w:val="continue"/>
            <w:vAlign w:val="center"/>
          </w:tcPr>
          <w:p w14:paraId="2EB25616">
            <w:pPr>
              <w:pStyle w:val="146"/>
              <w:rPr>
                <w:rFonts w:hint="default" w:ascii="Times New Roman" w:hAnsi="Times New Roman" w:eastAsia="宋体" w:cs="Times New Roman"/>
                <w:color w:val="auto"/>
                <w:highlight w:val="none"/>
              </w:rPr>
            </w:pPr>
          </w:p>
        </w:tc>
        <w:tc>
          <w:tcPr>
            <w:tcW w:w="3260" w:type="dxa"/>
            <w:vAlign w:val="center"/>
          </w:tcPr>
          <w:p w14:paraId="75F6376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2.2养殖场的排水系统应实行雨水和污水收集输送系统分离，在场区内外设置的污水收集输送系统，不得采取明沟布设。</w:t>
            </w:r>
          </w:p>
        </w:tc>
        <w:tc>
          <w:tcPr>
            <w:tcW w:w="2835" w:type="dxa"/>
            <w:vAlign w:val="center"/>
          </w:tcPr>
          <w:p w14:paraId="59C6A8E4">
            <w:pPr>
              <w:pStyle w:val="146"/>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w:t>
            </w:r>
            <w:r>
              <w:rPr>
                <w:rFonts w:hint="eastAsia" w:eastAsia="宋体" w:cs="Times New Roman"/>
                <w:color w:val="auto"/>
                <w:highlight w:val="none"/>
                <w:lang w:val="en-US" w:eastAsia="zh-CN"/>
              </w:rPr>
              <w:t>通过地下敷设暗管</w:t>
            </w:r>
            <w:r>
              <w:rPr>
                <w:rFonts w:hint="default" w:ascii="Times New Roman" w:hAnsi="Times New Roman" w:eastAsia="宋体" w:cs="Times New Roman"/>
                <w:color w:val="auto"/>
                <w:highlight w:val="none"/>
                <w:lang w:val="zh-CN"/>
              </w:rPr>
              <w:t>排入化粪池，定期外运，不外排。</w:t>
            </w:r>
          </w:p>
        </w:tc>
        <w:tc>
          <w:tcPr>
            <w:tcW w:w="657" w:type="dxa"/>
            <w:vAlign w:val="center"/>
          </w:tcPr>
          <w:p w14:paraId="1A0019B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54701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11F9CF3E">
            <w:pPr>
              <w:pStyle w:val="146"/>
              <w:rPr>
                <w:rFonts w:hint="default" w:ascii="Times New Roman" w:hAnsi="Times New Roman" w:eastAsia="宋体" w:cs="Times New Roman"/>
                <w:color w:val="auto"/>
                <w:highlight w:val="none"/>
              </w:rPr>
            </w:pPr>
          </w:p>
        </w:tc>
        <w:tc>
          <w:tcPr>
            <w:tcW w:w="851" w:type="dxa"/>
            <w:vMerge w:val="continue"/>
            <w:vAlign w:val="center"/>
          </w:tcPr>
          <w:p w14:paraId="57FFFE06">
            <w:pPr>
              <w:pStyle w:val="146"/>
              <w:rPr>
                <w:rFonts w:hint="default" w:ascii="Times New Roman" w:hAnsi="Times New Roman" w:eastAsia="宋体" w:cs="Times New Roman"/>
                <w:color w:val="auto"/>
                <w:highlight w:val="none"/>
              </w:rPr>
            </w:pPr>
          </w:p>
        </w:tc>
        <w:tc>
          <w:tcPr>
            <w:tcW w:w="3260" w:type="dxa"/>
            <w:vAlign w:val="center"/>
          </w:tcPr>
          <w:p w14:paraId="2251B71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新建、改建、扩建的畜禽养殖场应采取干去清粪工艺，采取有效措施将粪及时、单独清出，不可与尿、污水混合排出,并将产生的粪渣及时运至贮存或处理场所，实现日产日清。采用水冲粪、水泡粪湿法清粪工艺的养殖场,要逐步改为干法清粪工艺。</w:t>
            </w:r>
          </w:p>
        </w:tc>
        <w:tc>
          <w:tcPr>
            <w:tcW w:w="2835" w:type="dxa"/>
            <w:vAlign w:val="center"/>
          </w:tcPr>
          <w:p w14:paraId="463EFBDE">
            <w:pPr>
              <w:pStyle w:val="146"/>
              <w:ind w:left="0" w:leftChars="0" w:firstLine="0" w:firstLineChars="0"/>
              <w:jc w:val="both"/>
              <w:rPr>
                <w:rFonts w:hint="default" w:ascii="Times New Roman" w:hAnsi="Times New Roman" w:eastAsia="宋体" w:cs="Times New Roman"/>
                <w:color w:val="auto"/>
                <w:highlight w:val="none"/>
              </w:rPr>
            </w:pPr>
            <w:r>
              <w:rPr>
                <w:rStyle w:val="145"/>
                <w:rFonts w:hint="default" w:ascii="Times New Roman" w:hAnsi="Times New Roman" w:eastAsia="宋体" w:cs="Times New Roman"/>
                <w:color w:val="auto"/>
                <w:highlight w:val="none"/>
              </w:rPr>
              <w:t>采取科学的饲养方式，</w:t>
            </w:r>
            <w:r>
              <w:rPr>
                <w:rFonts w:hint="default" w:ascii="Times New Roman" w:hAnsi="Times New Roman" w:eastAsia="宋体" w:cs="Times New Roman"/>
                <w:color w:val="auto"/>
                <w:highlight w:val="none"/>
              </w:rPr>
              <w:t>牛舍内的牛粪采用畜禽养殖生物发酵床技术，</w:t>
            </w:r>
            <w:r>
              <w:rPr>
                <w:rFonts w:hint="eastAsia" w:ascii="Times New Roman" w:hAnsi="Times New Roman" w:eastAsia="宋体" w:cs="Times New Roman"/>
                <w:color w:val="auto"/>
                <w:highlight w:val="none"/>
              </w:rPr>
              <w:t>生物发酵床技术是按一定比例将发酵菌种与秸秆、锯末、稻壳以及辅助材料等混合，通过发酵形成有机垫料，将有机垫料置于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eastAsia" w:eastAsia="宋体" w:cs="Times New Roman"/>
                <w:color w:val="auto"/>
                <w:highlight w:val="none"/>
                <w:lang w:eastAsia="zh-CN"/>
              </w:rPr>
              <w:t>。</w:t>
            </w:r>
            <w:r>
              <w:rPr>
                <w:rStyle w:val="145"/>
                <w:rFonts w:hint="default" w:ascii="Times New Roman" w:hAnsi="Times New Roman" w:eastAsia="宋体" w:cs="Times New Roman"/>
                <w:color w:val="auto"/>
                <w:highlight w:val="none"/>
              </w:rPr>
              <w:t>实现粪污资源化利用，保</w:t>
            </w:r>
            <w:r>
              <w:rPr>
                <w:rFonts w:hint="default" w:ascii="Times New Roman" w:hAnsi="Times New Roman" w:eastAsia="宋体" w:cs="Times New Roman"/>
                <w:color w:val="auto"/>
                <w:highlight w:val="none"/>
              </w:rPr>
              <w:t>证防止污染水环境。</w:t>
            </w:r>
          </w:p>
        </w:tc>
        <w:tc>
          <w:tcPr>
            <w:tcW w:w="657" w:type="dxa"/>
            <w:vAlign w:val="center"/>
          </w:tcPr>
          <w:p w14:paraId="728018E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2BE0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9" w:hRule="atLeast"/>
          <w:jc w:val="center"/>
        </w:trPr>
        <w:tc>
          <w:tcPr>
            <w:tcW w:w="709" w:type="dxa"/>
            <w:vMerge w:val="restart"/>
            <w:vAlign w:val="center"/>
          </w:tcPr>
          <w:p w14:paraId="519A0B1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51" w:type="dxa"/>
            <w:vMerge w:val="restart"/>
            <w:vAlign w:val="center"/>
          </w:tcPr>
          <w:p w14:paraId="6AB9BC2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畜禽粪便的贮存</w:t>
            </w:r>
          </w:p>
        </w:tc>
        <w:tc>
          <w:tcPr>
            <w:tcW w:w="3260" w:type="dxa"/>
            <w:vAlign w:val="center"/>
          </w:tcPr>
          <w:p w14:paraId="75DFB89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3.1畜禽养殖场产生的畜禽粪便应设置专门的贮存设施，其恶臭及污染物排放应符合《畜禽养殖业污染物排放标准》。</w:t>
            </w:r>
          </w:p>
        </w:tc>
        <w:tc>
          <w:tcPr>
            <w:tcW w:w="2835" w:type="dxa"/>
            <w:vAlign w:val="center"/>
          </w:tcPr>
          <w:p w14:paraId="1D25C4CE">
            <w:pPr>
              <w:pStyle w:val="146"/>
              <w:jc w:val="both"/>
              <w:rPr>
                <w:rStyle w:val="145"/>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牛舍采取及时</w:t>
            </w:r>
            <w:r>
              <w:rPr>
                <w:rFonts w:hint="eastAsia" w:eastAsia="宋体" w:cs="Times New Roman"/>
                <w:color w:val="auto"/>
                <w:highlight w:val="none"/>
                <w:lang w:val="en-US" w:eastAsia="zh-CN"/>
              </w:rPr>
              <w:t>更换垫料</w:t>
            </w:r>
            <w:r>
              <w:rPr>
                <w:rFonts w:hint="default" w:ascii="Times New Roman" w:hAnsi="Times New Roman" w:eastAsia="宋体" w:cs="Times New Roman"/>
                <w:color w:val="auto"/>
                <w:highlight w:val="none"/>
              </w:rPr>
              <w:t>、保持牛舍清洁、合理调配饲料、饲料中添加EM菌、定期喷洒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除臭剂，减少恶臭无组织逸散，厂界臭气浓度满足《畜禽养殖业污染物排放标准》（GB18596-2001）中表7标准要求。</w:t>
            </w:r>
          </w:p>
        </w:tc>
        <w:tc>
          <w:tcPr>
            <w:tcW w:w="657" w:type="dxa"/>
            <w:vAlign w:val="center"/>
          </w:tcPr>
          <w:p w14:paraId="29B27F4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98EF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4C3DDDF9">
            <w:pPr>
              <w:pStyle w:val="146"/>
              <w:rPr>
                <w:rFonts w:hint="default" w:ascii="Times New Roman" w:hAnsi="Times New Roman" w:eastAsia="宋体" w:cs="Times New Roman"/>
                <w:color w:val="auto"/>
                <w:highlight w:val="none"/>
              </w:rPr>
            </w:pPr>
          </w:p>
        </w:tc>
        <w:tc>
          <w:tcPr>
            <w:tcW w:w="851" w:type="dxa"/>
            <w:vMerge w:val="continue"/>
            <w:vAlign w:val="center"/>
          </w:tcPr>
          <w:p w14:paraId="33DDA134">
            <w:pPr>
              <w:pStyle w:val="146"/>
              <w:rPr>
                <w:rFonts w:hint="default" w:ascii="Times New Roman" w:hAnsi="Times New Roman" w:eastAsia="宋体" w:cs="Times New Roman"/>
                <w:color w:val="auto"/>
                <w:highlight w:val="none"/>
              </w:rPr>
            </w:pPr>
          </w:p>
        </w:tc>
        <w:tc>
          <w:tcPr>
            <w:tcW w:w="3260" w:type="dxa"/>
            <w:vAlign w:val="center"/>
          </w:tcPr>
          <w:p w14:paraId="05FE960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3.2贮存设施的位置必须远离各类功能地表水体（距离不得小于400m），并应设在养殖场生产及生活管理区的常年主导风向的下风向或侧风向处。</w:t>
            </w:r>
          </w:p>
        </w:tc>
        <w:tc>
          <w:tcPr>
            <w:tcW w:w="2835" w:type="dxa"/>
            <w:vAlign w:val="center"/>
          </w:tcPr>
          <w:p w14:paraId="62429EE4">
            <w:pPr>
              <w:pStyle w:val="146"/>
              <w:jc w:val="both"/>
              <w:rPr>
                <w:rStyle w:val="145"/>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本项目无养殖废水产生，化粪池</w:t>
            </w:r>
            <w:r>
              <w:rPr>
                <w:rFonts w:hint="default" w:ascii="Times New Roman" w:hAnsi="Times New Roman" w:eastAsia="宋体" w:cs="Times New Roman"/>
                <w:color w:val="auto"/>
                <w:highlight w:val="none"/>
              </w:rPr>
              <w:t>距离本项目最近地表水体为</w:t>
            </w:r>
            <w:r>
              <w:rPr>
                <w:rFonts w:hint="default" w:ascii="Times New Roman" w:hAnsi="Times New Roman" w:eastAsia="宋体" w:cs="Times New Roman"/>
                <w:color w:val="auto"/>
                <w:highlight w:val="none"/>
                <w:lang w:val="en-US" w:eastAsia="zh-CN"/>
              </w:rPr>
              <w:t>平关河</w:t>
            </w:r>
            <w:r>
              <w:rPr>
                <w:rFonts w:hint="default" w:ascii="Times New Roman" w:hAnsi="Times New Roman" w:eastAsia="宋体" w:cs="Times New Roman"/>
                <w:color w:val="auto"/>
                <w:highlight w:val="none"/>
              </w:rPr>
              <w:t>，位于本项目</w:t>
            </w:r>
            <w:r>
              <w:rPr>
                <w:rFonts w:hint="default" w:ascii="Times New Roman" w:hAnsi="Times New Roman" w:eastAsia="宋体" w:cs="Times New Roman"/>
                <w:color w:val="auto"/>
                <w:highlight w:val="none"/>
                <w:lang w:val="en-US" w:eastAsia="zh-CN"/>
              </w:rPr>
              <w:t>西南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3.53</w:t>
            </w:r>
            <w:r>
              <w:rPr>
                <w:rFonts w:hint="default" w:ascii="Times New Roman" w:hAnsi="Times New Roman" w:eastAsia="宋体" w:cs="Times New Roman"/>
                <w:color w:val="auto"/>
                <w:highlight w:val="none"/>
              </w:rPr>
              <w:t>km，大于400m，位于生产及生活管理区的常年主导风向的侧风向。</w:t>
            </w:r>
          </w:p>
        </w:tc>
        <w:tc>
          <w:tcPr>
            <w:tcW w:w="657" w:type="dxa"/>
            <w:vAlign w:val="center"/>
          </w:tcPr>
          <w:p w14:paraId="19C207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9879E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7067502C">
            <w:pPr>
              <w:pStyle w:val="146"/>
              <w:rPr>
                <w:rFonts w:hint="default" w:ascii="Times New Roman" w:hAnsi="Times New Roman" w:eastAsia="宋体" w:cs="Times New Roman"/>
                <w:color w:val="auto"/>
                <w:highlight w:val="none"/>
              </w:rPr>
            </w:pPr>
          </w:p>
        </w:tc>
        <w:tc>
          <w:tcPr>
            <w:tcW w:w="851" w:type="dxa"/>
            <w:vMerge w:val="continue"/>
            <w:vAlign w:val="center"/>
          </w:tcPr>
          <w:p w14:paraId="79D41650">
            <w:pPr>
              <w:pStyle w:val="146"/>
              <w:rPr>
                <w:rFonts w:hint="default" w:ascii="Times New Roman" w:hAnsi="Times New Roman" w:eastAsia="宋体" w:cs="Times New Roman"/>
                <w:color w:val="auto"/>
                <w:highlight w:val="none"/>
              </w:rPr>
            </w:pPr>
          </w:p>
        </w:tc>
        <w:tc>
          <w:tcPr>
            <w:tcW w:w="3260" w:type="dxa"/>
            <w:vAlign w:val="center"/>
          </w:tcPr>
          <w:p w14:paraId="3CB7CD1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3.3贮存设施应采取有效的防渗处理工艺，防止畜禽粪便污染地下水。</w:t>
            </w:r>
          </w:p>
        </w:tc>
        <w:tc>
          <w:tcPr>
            <w:tcW w:w="2835" w:type="dxa"/>
            <w:vAlign w:val="center"/>
          </w:tcPr>
          <w:p w14:paraId="4D5611BC">
            <w:pPr>
              <w:pStyle w:val="146"/>
              <w:jc w:val="both"/>
              <w:rPr>
                <w:rStyle w:val="145"/>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r>
              <w:rPr>
                <w:rFonts w:hint="eastAsia" w:eastAsia="宋体" w:cs="Times New Roman"/>
                <w:color w:val="auto"/>
                <w:highlight w:val="none"/>
                <w:lang w:eastAsia="zh-CN"/>
              </w:rPr>
              <w:t>、</w:t>
            </w:r>
            <w:r>
              <w:rPr>
                <w:rFonts w:hint="eastAsia" w:eastAsia="宋体" w:cs="Times New Roman"/>
                <w:color w:val="auto"/>
                <w:highlight w:val="none"/>
                <w:lang w:val="en-US" w:eastAsia="zh-CN"/>
              </w:rPr>
              <w:t>初期雨水池</w:t>
            </w:r>
            <w:r>
              <w:rPr>
                <w:rStyle w:val="145"/>
                <w:rFonts w:hint="default" w:ascii="Times New Roman" w:hAnsi="Times New Roman" w:eastAsia="宋体" w:cs="Times New Roman"/>
                <w:color w:val="auto"/>
                <w:highlight w:val="none"/>
              </w:rPr>
              <w:t>采取</w:t>
            </w:r>
            <w:r>
              <w:rPr>
                <w:rFonts w:hint="default" w:ascii="Times New Roman" w:hAnsi="Times New Roman" w:eastAsia="宋体" w:cs="Times New Roman"/>
                <w:color w:val="auto"/>
                <w:highlight w:val="none"/>
              </w:rPr>
              <w:t>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tc>
        <w:tc>
          <w:tcPr>
            <w:tcW w:w="657" w:type="dxa"/>
            <w:vAlign w:val="center"/>
          </w:tcPr>
          <w:p w14:paraId="7A072A9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3DDDA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4FFD8AAE">
            <w:pPr>
              <w:pStyle w:val="146"/>
              <w:rPr>
                <w:rFonts w:hint="default" w:ascii="Times New Roman" w:hAnsi="Times New Roman" w:eastAsia="宋体" w:cs="Times New Roman"/>
                <w:color w:val="auto"/>
                <w:highlight w:val="none"/>
              </w:rPr>
            </w:pPr>
          </w:p>
        </w:tc>
        <w:tc>
          <w:tcPr>
            <w:tcW w:w="851" w:type="dxa"/>
            <w:vMerge w:val="continue"/>
            <w:vAlign w:val="center"/>
          </w:tcPr>
          <w:p w14:paraId="712FA16B">
            <w:pPr>
              <w:pStyle w:val="146"/>
              <w:rPr>
                <w:rFonts w:hint="default" w:ascii="Times New Roman" w:hAnsi="Times New Roman" w:eastAsia="宋体" w:cs="Times New Roman"/>
                <w:color w:val="auto"/>
                <w:highlight w:val="none"/>
              </w:rPr>
            </w:pPr>
          </w:p>
        </w:tc>
        <w:tc>
          <w:tcPr>
            <w:tcW w:w="3260" w:type="dxa"/>
            <w:vAlign w:val="center"/>
          </w:tcPr>
          <w:p w14:paraId="64E1575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3.4存设施应采取设置顶盖等防止降雨（水）进入的措施。</w:t>
            </w:r>
          </w:p>
        </w:tc>
        <w:tc>
          <w:tcPr>
            <w:tcW w:w="2835" w:type="dxa"/>
            <w:vAlign w:val="center"/>
          </w:tcPr>
          <w:p w14:paraId="342B8B1A">
            <w:pPr>
              <w:pStyle w:val="146"/>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、发酵池、储粪间</w:t>
            </w:r>
            <w:r>
              <w:rPr>
                <w:rFonts w:hint="default" w:ascii="Times New Roman" w:hAnsi="Times New Roman" w:eastAsia="宋体" w:cs="Times New Roman"/>
                <w:color w:val="auto"/>
                <w:highlight w:val="none"/>
              </w:rPr>
              <w:t>顶部设置承重、防塌、防异味</w:t>
            </w:r>
            <w:r>
              <w:rPr>
                <w:rFonts w:hint="eastAsia"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rPr>
              <w:t>预制钢筋混凝土盖板，可以防止降雨（水）进入。</w:t>
            </w:r>
          </w:p>
        </w:tc>
        <w:tc>
          <w:tcPr>
            <w:tcW w:w="657" w:type="dxa"/>
            <w:vAlign w:val="center"/>
          </w:tcPr>
          <w:p w14:paraId="6C26DD3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0A29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3700493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851" w:type="dxa"/>
            <w:vMerge w:val="restart"/>
            <w:vAlign w:val="center"/>
          </w:tcPr>
          <w:p w14:paraId="0C92852F">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污水的处理</w:t>
            </w:r>
          </w:p>
        </w:tc>
        <w:tc>
          <w:tcPr>
            <w:tcW w:w="3260" w:type="dxa"/>
            <w:vAlign w:val="center"/>
          </w:tcPr>
          <w:p w14:paraId="5D1A6C7E">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Style w:val="145"/>
                <w:rFonts w:hint="default" w:ascii="Times New Roman" w:hAnsi="Times New Roman" w:eastAsia="宋体" w:cs="Times New Roman"/>
                <w:color w:val="auto"/>
                <w:highlight w:val="none"/>
              </w:rPr>
              <w:t>4.1畜禽养殖过程中产生的污水应坚持种养结合的原则，经无害化处理后尽量充分还田，实现污水资源化利用</w:t>
            </w:r>
            <w:r>
              <w:rPr>
                <w:rFonts w:hint="default" w:ascii="Times New Roman" w:hAnsi="Times New Roman" w:eastAsia="宋体" w:cs="Times New Roman"/>
                <w:color w:val="auto"/>
                <w:kern w:val="0"/>
                <w:sz w:val="21"/>
                <w:szCs w:val="21"/>
                <w:highlight w:val="none"/>
              </w:rPr>
              <w:t>。</w:t>
            </w:r>
          </w:p>
        </w:tc>
        <w:tc>
          <w:tcPr>
            <w:tcW w:w="2835" w:type="dxa"/>
            <w:vMerge w:val="restart"/>
            <w:vAlign w:val="center"/>
          </w:tcPr>
          <w:p w14:paraId="2058A9A2">
            <w:pPr>
              <w:pStyle w:val="146"/>
              <w:jc w:val="both"/>
              <w:rPr>
                <w:rStyle w:val="145"/>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生活污水排入化粪池，定期外运，不外排。</w:t>
            </w:r>
            <w:r>
              <w:rPr>
                <w:rFonts w:hint="eastAsia" w:eastAsia="宋体" w:cs="Times New Roman"/>
                <w:color w:val="auto"/>
                <w:highlight w:val="none"/>
                <w:lang w:val="en-US" w:eastAsia="zh-CN"/>
              </w:rPr>
              <w:t>无养殖</w:t>
            </w:r>
            <w:r>
              <w:rPr>
                <w:rFonts w:hint="default" w:ascii="Times New Roman" w:hAnsi="Times New Roman" w:eastAsia="宋体" w:cs="Times New Roman"/>
                <w:color w:val="auto"/>
                <w:highlight w:val="none"/>
                <w:lang w:val="en-US" w:eastAsia="zh-CN"/>
              </w:rPr>
              <w:t>废水</w:t>
            </w:r>
            <w:r>
              <w:rPr>
                <w:rFonts w:hint="eastAsia" w:eastAsia="宋体" w:cs="Times New Roman"/>
                <w:color w:val="auto"/>
                <w:highlight w:val="none"/>
                <w:lang w:val="en-US" w:eastAsia="zh-CN"/>
              </w:rPr>
              <w:t>产生</w:t>
            </w:r>
            <w:r>
              <w:rPr>
                <w:rFonts w:hint="default" w:ascii="Times New Roman" w:hAnsi="Times New Roman" w:eastAsia="宋体" w:cs="Times New Roman"/>
                <w:color w:val="auto"/>
                <w:highlight w:val="none"/>
                <w:lang w:val="en-US" w:eastAsia="zh-CN"/>
              </w:rPr>
              <w:t>。</w:t>
            </w:r>
          </w:p>
        </w:tc>
        <w:tc>
          <w:tcPr>
            <w:tcW w:w="657" w:type="dxa"/>
            <w:vMerge w:val="restart"/>
            <w:vAlign w:val="center"/>
          </w:tcPr>
          <w:p w14:paraId="661EFD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E4F6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680B36B2">
            <w:pPr>
              <w:pStyle w:val="146"/>
              <w:rPr>
                <w:rFonts w:hint="default" w:ascii="Times New Roman" w:hAnsi="Times New Roman" w:eastAsia="宋体" w:cs="Times New Roman"/>
                <w:color w:val="auto"/>
                <w:highlight w:val="none"/>
              </w:rPr>
            </w:pPr>
          </w:p>
        </w:tc>
        <w:tc>
          <w:tcPr>
            <w:tcW w:w="851" w:type="dxa"/>
            <w:vMerge w:val="continue"/>
            <w:vAlign w:val="center"/>
          </w:tcPr>
          <w:p w14:paraId="78737819">
            <w:pPr>
              <w:pStyle w:val="146"/>
              <w:rPr>
                <w:rFonts w:hint="default" w:ascii="Times New Roman" w:hAnsi="Times New Roman" w:eastAsia="宋体" w:cs="Times New Roman"/>
                <w:color w:val="auto"/>
                <w:highlight w:val="none"/>
              </w:rPr>
            </w:pPr>
          </w:p>
        </w:tc>
        <w:tc>
          <w:tcPr>
            <w:tcW w:w="3260" w:type="dxa"/>
            <w:vAlign w:val="center"/>
          </w:tcPr>
          <w:p w14:paraId="35CB0EA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4.2污水的净化处理应根据养殖种类、养殖规模、清粪方式和当地的自然地理条件，选择合理、适用的污水净化处理工艺和技术路线，尽可能采用自然生物处理的方法，达到回用标准或排放标准。</w:t>
            </w:r>
          </w:p>
        </w:tc>
        <w:tc>
          <w:tcPr>
            <w:tcW w:w="2835" w:type="dxa"/>
            <w:vMerge w:val="continue"/>
            <w:vAlign w:val="center"/>
          </w:tcPr>
          <w:p w14:paraId="2C8517B2">
            <w:pPr>
              <w:pStyle w:val="146"/>
              <w:jc w:val="both"/>
              <w:rPr>
                <w:rStyle w:val="145"/>
                <w:rFonts w:hint="default" w:ascii="Times New Roman" w:hAnsi="Times New Roman" w:eastAsia="宋体" w:cs="Times New Roman"/>
                <w:color w:val="auto"/>
                <w:highlight w:val="none"/>
              </w:rPr>
            </w:pPr>
          </w:p>
        </w:tc>
        <w:tc>
          <w:tcPr>
            <w:tcW w:w="657" w:type="dxa"/>
            <w:vMerge w:val="continue"/>
            <w:vAlign w:val="center"/>
          </w:tcPr>
          <w:p w14:paraId="37DF58C7">
            <w:pPr>
              <w:pStyle w:val="146"/>
              <w:rPr>
                <w:rFonts w:hint="default" w:ascii="Times New Roman" w:hAnsi="Times New Roman" w:eastAsia="宋体" w:cs="Times New Roman"/>
                <w:color w:val="auto"/>
                <w:highlight w:val="none"/>
              </w:rPr>
            </w:pPr>
          </w:p>
        </w:tc>
      </w:tr>
      <w:tr w14:paraId="13DA0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09" w:type="dxa"/>
            <w:vAlign w:val="center"/>
          </w:tcPr>
          <w:p w14:paraId="0A2E78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851" w:type="dxa"/>
            <w:vAlign w:val="center"/>
          </w:tcPr>
          <w:p w14:paraId="3C042A4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固体粪肥的处理利用</w:t>
            </w:r>
          </w:p>
        </w:tc>
        <w:tc>
          <w:tcPr>
            <w:tcW w:w="3260" w:type="dxa"/>
            <w:vAlign w:val="center"/>
          </w:tcPr>
          <w:p w14:paraId="797AF5D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5.1畜禽粪便必须经过无害化处理，并须符合《粪便无害化卫生标准》后，才能进行土地利用。禁止未经处理的畜禽粪便直接施入农田。</w:t>
            </w:r>
          </w:p>
        </w:tc>
        <w:tc>
          <w:tcPr>
            <w:tcW w:w="2835" w:type="dxa"/>
            <w:vAlign w:val="center"/>
          </w:tcPr>
          <w:p w14:paraId="6DAAE42C">
            <w:pPr>
              <w:pStyle w:val="146"/>
              <w:ind w:left="0" w:leftChars="0" w:firstLine="0" w:firstLineChars="0"/>
              <w:jc w:val="both"/>
              <w:rPr>
                <w:rStyle w:val="145"/>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产生的废垫料</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p>
        </w:tc>
        <w:tc>
          <w:tcPr>
            <w:tcW w:w="657" w:type="dxa"/>
            <w:vAlign w:val="center"/>
          </w:tcPr>
          <w:p w14:paraId="054002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188E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5482E4C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851" w:type="dxa"/>
            <w:vMerge w:val="restart"/>
            <w:vAlign w:val="center"/>
          </w:tcPr>
          <w:p w14:paraId="589433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饲料和饲养管理</w:t>
            </w:r>
          </w:p>
        </w:tc>
        <w:tc>
          <w:tcPr>
            <w:tcW w:w="3260" w:type="dxa"/>
            <w:vAlign w:val="center"/>
          </w:tcPr>
          <w:p w14:paraId="5A46808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5.2畜禽养殖饲料应采用合理配方如理想蛋白质体系配方等，提高蛋白质及其它营养的吸收效率，减少氮的排放量和粪的产生量。</w:t>
            </w:r>
          </w:p>
        </w:tc>
        <w:tc>
          <w:tcPr>
            <w:tcW w:w="2835" w:type="dxa"/>
            <w:vAlign w:val="center"/>
          </w:tcPr>
          <w:p w14:paraId="3F1110E9">
            <w:pPr>
              <w:pStyle w:val="146"/>
              <w:jc w:val="both"/>
              <w:rPr>
                <w:rStyle w:val="145"/>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合理配合日粮和使用添加剂以减少有害气体的排放量。降低粪尿中有害气体的产生量。</w:t>
            </w:r>
          </w:p>
        </w:tc>
        <w:tc>
          <w:tcPr>
            <w:tcW w:w="657" w:type="dxa"/>
            <w:vAlign w:val="center"/>
          </w:tcPr>
          <w:p w14:paraId="11AA86A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9E92E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341BAE03">
            <w:pPr>
              <w:pStyle w:val="146"/>
              <w:rPr>
                <w:rFonts w:hint="default" w:ascii="Times New Roman" w:hAnsi="Times New Roman" w:eastAsia="宋体" w:cs="Times New Roman"/>
                <w:color w:val="auto"/>
                <w:highlight w:val="none"/>
              </w:rPr>
            </w:pPr>
          </w:p>
        </w:tc>
        <w:tc>
          <w:tcPr>
            <w:tcW w:w="851" w:type="dxa"/>
            <w:vMerge w:val="continue"/>
            <w:vAlign w:val="center"/>
          </w:tcPr>
          <w:p w14:paraId="45C3D9C5">
            <w:pPr>
              <w:pStyle w:val="146"/>
              <w:rPr>
                <w:rFonts w:hint="default" w:ascii="Times New Roman" w:hAnsi="Times New Roman" w:eastAsia="宋体" w:cs="Times New Roman"/>
                <w:color w:val="auto"/>
                <w:highlight w:val="none"/>
              </w:rPr>
            </w:pPr>
          </w:p>
        </w:tc>
        <w:tc>
          <w:tcPr>
            <w:tcW w:w="3260" w:type="dxa"/>
            <w:vAlign w:val="center"/>
          </w:tcPr>
          <w:p w14:paraId="77677DF7">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5.3提倡使用微生物制剂、酶制剂和植物是取液等活性物质，减少污染物排放和恶臭气体的产生。</w:t>
            </w:r>
          </w:p>
        </w:tc>
        <w:tc>
          <w:tcPr>
            <w:tcW w:w="2835" w:type="dxa"/>
            <w:vAlign w:val="center"/>
          </w:tcPr>
          <w:p w14:paraId="4DF98345">
            <w:pPr>
              <w:pStyle w:val="146"/>
              <w:jc w:val="both"/>
              <w:rPr>
                <w:rStyle w:val="145"/>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饲料中添加EM菌剂，能有效地降解NH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S等有害气体。</w:t>
            </w:r>
          </w:p>
        </w:tc>
        <w:tc>
          <w:tcPr>
            <w:tcW w:w="657" w:type="dxa"/>
            <w:vAlign w:val="center"/>
          </w:tcPr>
          <w:p w14:paraId="404F4B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ECAC1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119686F0">
            <w:pPr>
              <w:pStyle w:val="146"/>
              <w:rPr>
                <w:rFonts w:hint="default" w:ascii="Times New Roman" w:hAnsi="Times New Roman" w:eastAsia="宋体" w:cs="Times New Roman"/>
                <w:color w:val="auto"/>
                <w:highlight w:val="none"/>
              </w:rPr>
            </w:pPr>
          </w:p>
        </w:tc>
        <w:tc>
          <w:tcPr>
            <w:tcW w:w="851" w:type="dxa"/>
            <w:vMerge w:val="continue"/>
            <w:vAlign w:val="center"/>
          </w:tcPr>
          <w:p w14:paraId="7F19C33E">
            <w:pPr>
              <w:pStyle w:val="146"/>
              <w:rPr>
                <w:rFonts w:hint="default" w:ascii="Times New Roman" w:hAnsi="Times New Roman" w:eastAsia="宋体" w:cs="Times New Roman"/>
                <w:color w:val="auto"/>
                <w:highlight w:val="none"/>
              </w:rPr>
            </w:pPr>
          </w:p>
        </w:tc>
        <w:tc>
          <w:tcPr>
            <w:tcW w:w="3260" w:type="dxa"/>
            <w:vAlign w:val="center"/>
          </w:tcPr>
          <w:p w14:paraId="4EE1A397">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5.4养殖场场区、畜禽舍、器械等消毒应采用环境友好的消毒剂和消毒措施（包括紫外、臭氧、双氧水等方法），防止产生氯代有机物及其它的二次污染物。</w:t>
            </w:r>
          </w:p>
        </w:tc>
        <w:tc>
          <w:tcPr>
            <w:tcW w:w="2835" w:type="dxa"/>
            <w:vAlign w:val="center"/>
          </w:tcPr>
          <w:p w14:paraId="4E79E009">
            <w:pPr>
              <w:pStyle w:val="146"/>
              <w:jc w:val="both"/>
              <w:rPr>
                <w:rStyle w:val="145"/>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采用环境友好的消毒剂对厂区进行消毒，防止产生氯代有机物及其它的二次污染物。</w:t>
            </w:r>
          </w:p>
        </w:tc>
        <w:tc>
          <w:tcPr>
            <w:tcW w:w="657" w:type="dxa"/>
            <w:vAlign w:val="center"/>
          </w:tcPr>
          <w:p w14:paraId="4F6BB7A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B678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6C5823B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851" w:type="dxa"/>
            <w:vMerge w:val="restart"/>
            <w:vAlign w:val="center"/>
          </w:tcPr>
          <w:p w14:paraId="19E1601B">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r>
              <w:rPr>
                <w:rStyle w:val="145"/>
                <w:rFonts w:hint="default" w:ascii="Times New Roman" w:hAnsi="Times New Roman" w:eastAsia="宋体" w:cs="Times New Roman"/>
                <w:color w:val="auto"/>
                <w:highlight w:val="none"/>
              </w:rPr>
              <w:t>病死畜禽尸体的处理与处</w:t>
            </w:r>
            <w:r>
              <w:rPr>
                <w:rFonts w:hint="default" w:ascii="Times New Roman" w:hAnsi="Times New Roman" w:eastAsia="宋体" w:cs="Times New Roman"/>
                <w:color w:val="auto"/>
                <w:kern w:val="0"/>
                <w:sz w:val="21"/>
                <w:szCs w:val="21"/>
                <w:highlight w:val="none"/>
              </w:rPr>
              <w:t>置</w:t>
            </w:r>
          </w:p>
        </w:tc>
        <w:tc>
          <w:tcPr>
            <w:tcW w:w="3260" w:type="dxa"/>
            <w:vAlign w:val="center"/>
          </w:tcPr>
          <w:p w14:paraId="7124EF0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6.1病死禽畜尸体要及时处理，严禁随意丢弃，严禁出售或作为饲料再利用。</w:t>
            </w:r>
          </w:p>
        </w:tc>
        <w:tc>
          <w:tcPr>
            <w:tcW w:w="2835" w:type="dxa"/>
            <w:vMerge w:val="restart"/>
            <w:vAlign w:val="center"/>
          </w:tcPr>
          <w:p w14:paraId="53F30823">
            <w:pPr>
              <w:pStyle w:val="146"/>
              <w:jc w:val="both"/>
              <w:rPr>
                <w:rStyle w:val="145"/>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w:t>
            </w:r>
            <w:r>
              <w:rPr>
                <w:rFonts w:hint="default" w:ascii="Times New Roman" w:hAnsi="Times New Roman" w:eastAsia="宋体" w:cs="Times New Roman"/>
                <w:color w:val="auto"/>
                <w:highlight w:val="none"/>
                <w:lang w:val="en-US" w:eastAsia="zh-CN"/>
              </w:rPr>
              <w:t>目</w:t>
            </w:r>
            <w:r>
              <w:rPr>
                <w:rFonts w:hint="eastAsia" w:ascii="Times New Roman" w:hAnsi="Times New Roman" w:eastAsia="宋体" w:cs="Times New Roman"/>
                <w:color w:val="auto"/>
                <w:highlight w:val="none"/>
                <w:lang w:val="en-US" w:eastAsia="zh-CN"/>
              </w:rPr>
              <w:t>产生的病死牛尸体由</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进行无害化处理。</w:t>
            </w:r>
            <w:r>
              <w:rPr>
                <w:rFonts w:hint="eastAsia" w:eastAsia="宋体" w:cs="Times New Roman"/>
                <w:color w:val="auto"/>
                <w:highlight w:val="none"/>
                <w:lang w:val="en-US" w:eastAsia="zh-CN"/>
              </w:rPr>
              <w:t>详见附件7。</w:t>
            </w:r>
          </w:p>
        </w:tc>
        <w:tc>
          <w:tcPr>
            <w:tcW w:w="657" w:type="dxa"/>
            <w:vMerge w:val="restart"/>
            <w:vAlign w:val="center"/>
          </w:tcPr>
          <w:p w14:paraId="5EC8AD7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9529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5C28522D">
            <w:pPr>
              <w:pStyle w:val="146"/>
              <w:rPr>
                <w:rFonts w:hint="default" w:ascii="Times New Roman" w:hAnsi="Times New Roman" w:eastAsia="宋体" w:cs="Times New Roman"/>
                <w:color w:val="auto"/>
                <w:highlight w:val="none"/>
              </w:rPr>
            </w:pPr>
          </w:p>
        </w:tc>
        <w:tc>
          <w:tcPr>
            <w:tcW w:w="851" w:type="dxa"/>
            <w:vMerge w:val="continue"/>
            <w:vAlign w:val="center"/>
          </w:tcPr>
          <w:p w14:paraId="2418E24F">
            <w:pPr>
              <w:pStyle w:val="146"/>
              <w:rPr>
                <w:rFonts w:hint="default" w:ascii="Times New Roman" w:hAnsi="Times New Roman" w:eastAsia="宋体" w:cs="Times New Roman"/>
                <w:color w:val="auto"/>
                <w:highlight w:val="none"/>
              </w:rPr>
            </w:pPr>
          </w:p>
        </w:tc>
        <w:tc>
          <w:tcPr>
            <w:tcW w:w="3260" w:type="dxa"/>
            <w:vAlign w:val="center"/>
          </w:tcPr>
          <w:p w14:paraId="1F45589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6.2不具备焚烧条件的养殖场应设置两个以上安全填埋井填埋井应为混凝土结构，深度大于2m，直径1m，井口加盖密封。进行填埋时，在每次入畜禽尸体后，应覆盖一层厚度大于10cm的熟石灰，井填满后，须用粘土填埋压实并封口。</w:t>
            </w:r>
          </w:p>
        </w:tc>
        <w:tc>
          <w:tcPr>
            <w:tcW w:w="2835" w:type="dxa"/>
            <w:vMerge w:val="continue"/>
            <w:vAlign w:val="center"/>
          </w:tcPr>
          <w:p w14:paraId="2FAD9D51">
            <w:pPr>
              <w:autoSpaceDE w:val="0"/>
              <w:autoSpaceDN w:val="0"/>
              <w:spacing w:line="240" w:lineRule="auto"/>
              <w:ind w:firstLine="0" w:firstLineChars="0"/>
              <w:rPr>
                <w:rStyle w:val="145"/>
                <w:rFonts w:hint="default" w:ascii="Times New Roman" w:hAnsi="Times New Roman" w:eastAsia="宋体" w:cs="Times New Roman"/>
                <w:color w:val="auto"/>
                <w:highlight w:val="none"/>
              </w:rPr>
            </w:pPr>
          </w:p>
        </w:tc>
        <w:tc>
          <w:tcPr>
            <w:tcW w:w="657" w:type="dxa"/>
            <w:vMerge w:val="continue"/>
            <w:vAlign w:val="center"/>
          </w:tcPr>
          <w:p w14:paraId="5D2F1B6C">
            <w:pPr>
              <w:pStyle w:val="146"/>
              <w:rPr>
                <w:rFonts w:hint="default" w:ascii="Times New Roman" w:hAnsi="Times New Roman" w:eastAsia="宋体" w:cs="Times New Roman"/>
                <w:color w:val="auto"/>
                <w:highlight w:val="none"/>
              </w:rPr>
            </w:pPr>
          </w:p>
        </w:tc>
      </w:tr>
    </w:tbl>
    <w:p w14:paraId="5CFA2817">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根据上表，本项目与《畜禽养殖业污染防治技术规范》（HJ/T81-2001）相符合。</w:t>
      </w:r>
    </w:p>
    <w:p w14:paraId="6CCB0CB8">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2</w:t>
      </w:r>
      <w:r>
        <w:rPr>
          <w:rFonts w:hint="default" w:ascii="Times New Roman" w:hAnsi="Times New Roman" w:cs="Times New Roman"/>
          <w:color w:val="auto"/>
          <w:highlight w:val="none"/>
        </w:rPr>
        <w:t>与《畜禽养殖业污染治理工程技术规范》（HJ497-2009）符合性分析</w:t>
      </w:r>
    </w:p>
    <w:p w14:paraId="43A14976">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本项目与《畜禽养殖业污染治理工程技术规范》（HJ497-2009）符合性分析见下表。</w:t>
      </w:r>
    </w:p>
    <w:p w14:paraId="7137CF7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表1-4-2与《畜禽养殖业污染治理工程技术规范》（HJ497-2009）符合性</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709"/>
        <w:gridCol w:w="3541"/>
        <w:gridCol w:w="2549"/>
        <w:gridCol w:w="799"/>
      </w:tblGrid>
      <w:tr w14:paraId="5EFD20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79539F7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253" w:type="dxa"/>
            <w:gridSpan w:val="2"/>
            <w:vAlign w:val="center"/>
          </w:tcPr>
          <w:p w14:paraId="06EB61C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《畜禽养殖业污染治理工程技术规范》（HJ497-2009）要求</w:t>
            </w:r>
          </w:p>
        </w:tc>
        <w:tc>
          <w:tcPr>
            <w:tcW w:w="2551" w:type="dxa"/>
            <w:vAlign w:val="center"/>
          </w:tcPr>
          <w:p w14:paraId="60EB6BD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73D880A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53423D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2738996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09" w:type="dxa"/>
            <w:vMerge w:val="restart"/>
            <w:vAlign w:val="center"/>
          </w:tcPr>
          <w:p w14:paraId="7B06438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总体设计</w:t>
            </w:r>
          </w:p>
        </w:tc>
        <w:tc>
          <w:tcPr>
            <w:tcW w:w="3544" w:type="dxa"/>
            <w:vAlign w:val="center"/>
          </w:tcPr>
          <w:p w14:paraId="7A656AD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1.1畜禽养殖业污染治理应从源头控制，严格执行雨污分离，通过优化饲料配方、提高饲养技术、管理水平、改善畜舍结构和通风供暖工艺、改进清粪工艺等措施减少养殖场环境污染。</w:t>
            </w:r>
          </w:p>
        </w:tc>
        <w:tc>
          <w:tcPr>
            <w:tcW w:w="2551" w:type="dxa"/>
            <w:vAlign w:val="center"/>
          </w:tcPr>
          <w:p w14:paraId="4B10B31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采取雨污分流，科学饲养，优化饲料配方，对牛舍定期通风，</w:t>
            </w:r>
            <w:r>
              <w:rPr>
                <w:rFonts w:hint="eastAsia" w:ascii="Times New Roman" w:hAnsi="Times New Roman" w:eastAsia="宋体" w:cs="Times New Roman"/>
                <w:color w:val="auto"/>
                <w:highlight w:val="none"/>
                <w:lang w:val="en-US" w:eastAsia="zh-CN"/>
              </w:rPr>
              <w:t>对牛产生的粪污</w:t>
            </w:r>
            <w:r>
              <w:rPr>
                <w:rFonts w:hint="default" w:ascii="Times New Roman" w:hAnsi="Times New Roman" w:eastAsia="宋体" w:cs="Times New Roman"/>
                <w:color w:val="auto"/>
                <w:highlight w:val="none"/>
              </w:rPr>
              <w:t>采取生物发酵床技术，</w:t>
            </w:r>
            <w:r>
              <w:rPr>
                <w:rFonts w:hint="eastAsia" w:eastAsia="宋体" w:cs="Times New Roman"/>
                <w:color w:val="auto"/>
                <w:highlight w:val="none"/>
                <w:lang w:val="en-US" w:eastAsia="zh-CN"/>
              </w:rPr>
              <w:t>定期更换粪污垫料</w:t>
            </w:r>
            <w:r>
              <w:rPr>
                <w:rFonts w:hint="default" w:ascii="Times New Roman" w:hAnsi="Times New Roman" w:eastAsia="宋体" w:cs="Times New Roman"/>
                <w:color w:val="auto"/>
                <w:highlight w:val="none"/>
              </w:rPr>
              <w:t>，减少养殖场环境污染。</w:t>
            </w:r>
          </w:p>
        </w:tc>
        <w:tc>
          <w:tcPr>
            <w:tcW w:w="799" w:type="dxa"/>
            <w:vAlign w:val="center"/>
          </w:tcPr>
          <w:p w14:paraId="0BE607A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6418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2A0452E5">
            <w:pPr>
              <w:pStyle w:val="146"/>
              <w:jc w:val="both"/>
              <w:rPr>
                <w:rFonts w:hint="default" w:ascii="Times New Roman" w:hAnsi="Times New Roman" w:eastAsia="宋体" w:cs="Times New Roman"/>
                <w:color w:val="auto"/>
                <w:highlight w:val="none"/>
              </w:rPr>
            </w:pPr>
          </w:p>
        </w:tc>
        <w:tc>
          <w:tcPr>
            <w:tcW w:w="709" w:type="dxa"/>
            <w:vMerge w:val="continue"/>
            <w:vAlign w:val="center"/>
          </w:tcPr>
          <w:p w14:paraId="14E486B2">
            <w:pPr>
              <w:pStyle w:val="146"/>
              <w:jc w:val="both"/>
              <w:rPr>
                <w:rFonts w:hint="default" w:ascii="Times New Roman" w:hAnsi="Times New Roman" w:eastAsia="宋体" w:cs="Times New Roman"/>
                <w:color w:val="auto"/>
                <w:highlight w:val="none"/>
              </w:rPr>
            </w:pPr>
          </w:p>
        </w:tc>
        <w:tc>
          <w:tcPr>
            <w:tcW w:w="3544" w:type="dxa"/>
            <w:vAlign w:val="center"/>
          </w:tcPr>
          <w:p w14:paraId="3FB7949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1.2畜禽养殖业污染治理应按照资源化、减量化、无害化的原则，以综合利用为出发点，提高资源化利用率。</w:t>
            </w:r>
          </w:p>
        </w:tc>
        <w:tc>
          <w:tcPr>
            <w:tcW w:w="2551" w:type="dxa"/>
            <w:vMerge w:val="restart"/>
            <w:vAlign w:val="center"/>
          </w:tcPr>
          <w:p w14:paraId="08B16D7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zh-CN"/>
              </w:rPr>
              <w:t>生活污水排入化粪池，定期外运，不外排。</w:t>
            </w:r>
            <w:r>
              <w:rPr>
                <w:rFonts w:hint="eastAsia" w:eastAsia="宋体" w:cs="Times New Roman"/>
                <w:color w:val="auto"/>
                <w:highlight w:val="none"/>
                <w:lang w:val="en-US" w:eastAsia="zh-CN"/>
              </w:rPr>
              <w:t>无养殖</w:t>
            </w:r>
            <w:r>
              <w:rPr>
                <w:rFonts w:hint="default" w:ascii="Times New Roman" w:hAnsi="Times New Roman" w:eastAsia="宋体" w:cs="Times New Roman"/>
                <w:color w:val="auto"/>
                <w:highlight w:val="none"/>
                <w:lang w:val="en-US" w:eastAsia="zh-CN"/>
              </w:rPr>
              <w:t>废水</w:t>
            </w:r>
            <w:r>
              <w:rPr>
                <w:rFonts w:hint="eastAsia" w:eastAsia="宋体" w:cs="Times New Roman"/>
                <w:color w:val="auto"/>
                <w:highlight w:val="none"/>
                <w:lang w:val="en-US" w:eastAsia="zh-CN"/>
              </w:rPr>
              <w:t>产生</w:t>
            </w:r>
            <w:r>
              <w:rPr>
                <w:rFonts w:hint="default" w:ascii="Times New Roman" w:hAnsi="Times New Roman" w:eastAsia="宋体" w:cs="Times New Roman"/>
                <w:color w:val="auto"/>
                <w:highlight w:val="none"/>
                <w:lang w:val="en-US" w:eastAsia="zh-CN"/>
              </w:rPr>
              <w:t>。</w:t>
            </w:r>
          </w:p>
        </w:tc>
        <w:tc>
          <w:tcPr>
            <w:tcW w:w="799" w:type="dxa"/>
            <w:vMerge w:val="restart"/>
            <w:vAlign w:val="center"/>
          </w:tcPr>
          <w:p w14:paraId="1205AAC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2372D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58282AE4">
            <w:pPr>
              <w:pStyle w:val="146"/>
              <w:jc w:val="both"/>
              <w:rPr>
                <w:rFonts w:hint="default" w:ascii="Times New Roman" w:hAnsi="Times New Roman" w:eastAsia="宋体" w:cs="Times New Roman"/>
                <w:color w:val="auto"/>
                <w:highlight w:val="none"/>
              </w:rPr>
            </w:pPr>
          </w:p>
        </w:tc>
        <w:tc>
          <w:tcPr>
            <w:tcW w:w="709" w:type="dxa"/>
            <w:vMerge w:val="continue"/>
            <w:vAlign w:val="center"/>
          </w:tcPr>
          <w:p w14:paraId="2CCD47C1">
            <w:pPr>
              <w:pStyle w:val="146"/>
              <w:jc w:val="both"/>
              <w:rPr>
                <w:rFonts w:hint="default" w:ascii="Times New Roman" w:hAnsi="Times New Roman" w:eastAsia="宋体" w:cs="Times New Roman"/>
                <w:color w:val="auto"/>
                <w:highlight w:val="none"/>
              </w:rPr>
            </w:pPr>
          </w:p>
        </w:tc>
        <w:tc>
          <w:tcPr>
            <w:tcW w:w="3544" w:type="dxa"/>
            <w:vAlign w:val="center"/>
          </w:tcPr>
          <w:p w14:paraId="1D51E83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1.3畜禽养殖业污染治理应按照资源化、减量化、无害化的原则，以综合利用为出发点，提高资源化利用率。</w:t>
            </w:r>
          </w:p>
        </w:tc>
        <w:tc>
          <w:tcPr>
            <w:tcW w:w="2551" w:type="dxa"/>
            <w:vMerge w:val="continue"/>
            <w:vAlign w:val="center"/>
          </w:tcPr>
          <w:p w14:paraId="6E1A4432">
            <w:pPr>
              <w:pStyle w:val="146"/>
              <w:jc w:val="both"/>
              <w:rPr>
                <w:rFonts w:hint="default" w:ascii="Times New Roman" w:hAnsi="Times New Roman" w:eastAsia="宋体" w:cs="Times New Roman"/>
                <w:color w:val="auto"/>
                <w:highlight w:val="none"/>
              </w:rPr>
            </w:pPr>
          </w:p>
        </w:tc>
        <w:tc>
          <w:tcPr>
            <w:tcW w:w="799" w:type="dxa"/>
            <w:vMerge w:val="continue"/>
            <w:vAlign w:val="center"/>
          </w:tcPr>
          <w:p w14:paraId="7D9DC9C1">
            <w:pPr>
              <w:pStyle w:val="146"/>
              <w:jc w:val="both"/>
              <w:rPr>
                <w:rFonts w:hint="default" w:ascii="Times New Roman" w:hAnsi="Times New Roman" w:eastAsia="宋体" w:cs="Times New Roman"/>
                <w:color w:val="auto"/>
                <w:highlight w:val="none"/>
              </w:rPr>
            </w:pPr>
          </w:p>
        </w:tc>
      </w:tr>
      <w:tr w14:paraId="447939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162C3BAE">
            <w:pPr>
              <w:pStyle w:val="146"/>
              <w:jc w:val="both"/>
              <w:rPr>
                <w:rFonts w:hint="default" w:ascii="Times New Roman" w:hAnsi="Times New Roman" w:eastAsia="宋体" w:cs="Times New Roman"/>
                <w:color w:val="auto"/>
                <w:highlight w:val="none"/>
              </w:rPr>
            </w:pPr>
          </w:p>
        </w:tc>
        <w:tc>
          <w:tcPr>
            <w:tcW w:w="709" w:type="dxa"/>
            <w:vMerge w:val="continue"/>
            <w:vAlign w:val="center"/>
          </w:tcPr>
          <w:p w14:paraId="5F14A1D7">
            <w:pPr>
              <w:pStyle w:val="146"/>
              <w:jc w:val="both"/>
              <w:rPr>
                <w:rFonts w:hint="default" w:ascii="Times New Roman" w:hAnsi="Times New Roman" w:eastAsia="宋体" w:cs="Times New Roman"/>
                <w:color w:val="auto"/>
                <w:highlight w:val="none"/>
              </w:rPr>
            </w:pPr>
          </w:p>
        </w:tc>
        <w:tc>
          <w:tcPr>
            <w:tcW w:w="3544" w:type="dxa"/>
            <w:vAlign w:val="center"/>
          </w:tcPr>
          <w:p w14:paraId="66BA29D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1.4畜禽粪污资源化时应经无害化处理后方可还田利用，无害化处理应满足下列要求：</w:t>
            </w:r>
          </w:p>
          <w:p w14:paraId="32852FE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a）液态畜禽粪污宜采用厌氧工艺进行无害化处理；沼液、沼渣不得作为同等动物的饲料，不得在动物之间进行循环。</w:t>
            </w:r>
          </w:p>
          <w:p w14:paraId="5C664E1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b）固体畜禽粪便宜采用好氧堆肥技术进行无害化处理。</w:t>
            </w:r>
          </w:p>
          <w:p w14:paraId="4E3C3DD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c）无害化处理后的卫生学指标应符合GB7959的有关规定。</w:t>
            </w:r>
          </w:p>
        </w:tc>
        <w:tc>
          <w:tcPr>
            <w:tcW w:w="2551" w:type="dxa"/>
            <w:vMerge w:val="continue"/>
            <w:vAlign w:val="center"/>
          </w:tcPr>
          <w:p w14:paraId="3FDE58B5">
            <w:pPr>
              <w:pStyle w:val="146"/>
              <w:jc w:val="both"/>
              <w:rPr>
                <w:rFonts w:hint="default" w:ascii="Times New Roman" w:hAnsi="Times New Roman" w:eastAsia="宋体" w:cs="Times New Roman"/>
                <w:color w:val="auto"/>
                <w:highlight w:val="none"/>
              </w:rPr>
            </w:pPr>
          </w:p>
        </w:tc>
        <w:tc>
          <w:tcPr>
            <w:tcW w:w="799" w:type="dxa"/>
            <w:vMerge w:val="continue"/>
            <w:vAlign w:val="center"/>
          </w:tcPr>
          <w:p w14:paraId="51EA353E">
            <w:pPr>
              <w:pStyle w:val="146"/>
              <w:jc w:val="both"/>
              <w:rPr>
                <w:rFonts w:hint="default" w:ascii="Times New Roman" w:hAnsi="Times New Roman" w:eastAsia="宋体" w:cs="Times New Roman"/>
                <w:color w:val="auto"/>
                <w:highlight w:val="none"/>
              </w:rPr>
            </w:pPr>
          </w:p>
        </w:tc>
      </w:tr>
      <w:tr w14:paraId="207F2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6B8154E9">
            <w:pPr>
              <w:pStyle w:val="146"/>
              <w:jc w:val="both"/>
              <w:rPr>
                <w:rFonts w:hint="default" w:ascii="Times New Roman" w:hAnsi="Times New Roman" w:eastAsia="宋体" w:cs="Times New Roman"/>
                <w:color w:val="auto"/>
                <w:highlight w:val="none"/>
              </w:rPr>
            </w:pPr>
          </w:p>
        </w:tc>
        <w:tc>
          <w:tcPr>
            <w:tcW w:w="709" w:type="dxa"/>
            <w:vMerge w:val="continue"/>
            <w:vAlign w:val="center"/>
          </w:tcPr>
          <w:p w14:paraId="1DA1EDC1">
            <w:pPr>
              <w:pStyle w:val="146"/>
              <w:jc w:val="both"/>
              <w:rPr>
                <w:rFonts w:hint="default" w:ascii="Times New Roman" w:hAnsi="Times New Roman" w:eastAsia="宋体" w:cs="Times New Roman"/>
                <w:color w:val="auto"/>
                <w:highlight w:val="none"/>
              </w:rPr>
            </w:pPr>
          </w:p>
        </w:tc>
        <w:tc>
          <w:tcPr>
            <w:tcW w:w="3544" w:type="dxa"/>
            <w:vAlign w:val="center"/>
          </w:tcPr>
          <w:p w14:paraId="6643DBF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畜禽养殖废水不得排入敏感水域和有特殊功能的水域，排放去向应符合国家和地方的有关规定。排放水质应满足GB18596-2001或有关地方污染物排放标准的规定；处理后用于农田灌溉的，出水水质应满足GB5084的规定。</w:t>
            </w:r>
          </w:p>
        </w:tc>
        <w:tc>
          <w:tcPr>
            <w:tcW w:w="2551" w:type="dxa"/>
            <w:vMerge w:val="continue"/>
            <w:vAlign w:val="center"/>
          </w:tcPr>
          <w:p w14:paraId="73BB0D5E">
            <w:pPr>
              <w:pStyle w:val="146"/>
              <w:jc w:val="both"/>
              <w:rPr>
                <w:rFonts w:hint="default" w:ascii="Times New Roman" w:hAnsi="Times New Roman" w:eastAsia="宋体" w:cs="Times New Roman"/>
                <w:color w:val="auto"/>
                <w:highlight w:val="none"/>
              </w:rPr>
            </w:pPr>
          </w:p>
        </w:tc>
        <w:tc>
          <w:tcPr>
            <w:tcW w:w="799" w:type="dxa"/>
            <w:vMerge w:val="continue"/>
            <w:vAlign w:val="center"/>
          </w:tcPr>
          <w:p w14:paraId="7D4D5CA6">
            <w:pPr>
              <w:pStyle w:val="146"/>
              <w:jc w:val="both"/>
              <w:rPr>
                <w:rFonts w:hint="default" w:ascii="Times New Roman" w:hAnsi="Times New Roman" w:eastAsia="宋体" w:cs="Times New Roman"/>
                <w:color w:val="auto"/>
                <w:highlight w:val="none"/>
              </w:rPr>
            </w:pPr>
          </w:p>
        </w:tc>
      </w:tr>
      <w:tr w14:paraId="677CE1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0" w:hRule="atLeast"/>
          <w:jc w:val="center"/>
        </w:trPr>
        <w:tc>
          <w:tcPr>
            <w:tcW w:w="709" w:type="dxa"/>
            <w:vAlign w:val="center"/>
          </w:tcPr>
          <w:p w14:paraId="136CECA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709" w:type="dxa"/>
            <w:vAlign w:val="center"/>
          </w:tcPr>
          <w:p w14:paraId="52BA0FB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工艺选择</w:t>
            </w:r>
          </w:p>
        </w:tc>
        <w:tc>
          <w:tcPr>
            <w:tcW w:w="3544" w:type="dxa"/>
            <w:vAlign w:val="center"/>
          </w:tcPr>
          <w:p w14:paraId="06D1AE0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2.1新建、改建、扩建的畜禽养殖场宜采用干清粪工艺。现有采用水冲粪、水泡粪清粪工艺的养殖场，应逐步改为干清粪工艺。</w:t>
            </w:r>
          </w:p>
          <w:p w14:paraId="1B90BA9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2.2畜禽粪污应日产日清。</w:t>
            </w:r>
          </w:p>
          <w:p w14:paraId="34A982F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2.3畜禽养殖场应建立排水系统，并实行雨污分流。</w:t>
            </w:r>
          </w:p>
        </w:tc>
        <w:tc>
          <w:tcPr>
            <w:tcW w:w="2551" w:type="dxa"/>
            <w:vAlign w:val="center"/>
          </w:tcPr>
          <w:p w14:paraId="21409C2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采取雨污分流，科学饲养，优化饲料配方，对牛舍定期通风，</w:t>
            </w:r>
            <w:r>
              <w:rPr>
                <w:rFonts w:hint="eastAsia" w:ascii="Times New Roman" w:hAnsi="Times New Roman" w:eastAsia="宋体" w:cs="Times New Roman"/>
                <w:color w:val="auto"/>
                <w:highlight w:val="none"/>
                <w:lang w:val="en-US" w:eastAsia="zh-CN"/>
              </w:rPr>
              <w:t>对牛产生的粪污</w:t>
            </w:r>
            <w:r>
              <w:rPr>
                <w:rFonts w:hint="default" w:ascii="Times New Roman" w:hAnsi="Times New Roman" w:eastAsia="宋体" w:cs="Times New Roman"/>
                <w:color w:val="auto"/>
                <w:highlight w:val="none"/>
              </w:rPr>
              <w:t>采取生物发酵床技术，</w:t>
            </w:r>
            <w:r>
              <w:rPr>
                <w:rFonts w:hint="eastAsia" w:eastAsia="宋体" w:cs="Times New Roman"/>
                <w:color w:val="auto"/>
                <w:highlight w:val="none"/>
                <w:lang w:val="en-US" w:eastAsia="zh-CN"/>
              </w:rPr>
              <w:t>定期更换粪污垫料</w:t>
            </w:r>
            <w:r>
              <w:rPr>
                <w:rFonts w:hint="default" w:ascii="Times New Roman" w:hAnsi="Times New Roman" w:eastAsia="宋体" w:cs="Times New Roman"/>
                <w:color w:val="auto"/>
                <w:highlight w:val="none"/>
              </w:rPr>
              <w:t>，减少养殖场环境污染。</w:t>
            </w:r>
          </w:p>
        </w:tc>
        <w:tc>
          <w:tcPr>
            <w:tcW w:w="799" w:type="dxa"/>
            <w:vAlign w:val="center"/>
          </w:tcPr>
          <w:p w14:paraId="7256716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FC398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54245A0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709" w:type="dxa"/>
            <w:vMerge w:val="restart"/>
            <w:vAlign w:val="center"/>
          </w:tcPr>
          <w:p w14:paraId="59E3922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固体粪便处理</w:t>
            </w:r>
          </w:p>
        </w:tc>
        <w:tc>
          <w:tcPr>
            <w:tcW w:w="3544" w:type="dxa"/>
            <w:vAlign w:val="center"/>
          </w:tcPr>
          <w:p w14:paraId="115729A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3.1畜禽固体粪便宜采用好氧堆肥技术进行无害化处理。</w:t>
            </w:r>
          </w:p>
        </w:tc>
        <w:tc>
          <w:tcPr>
            <w:tcW w:w="2551" w:type="dxa"/>
            <w:vMerge w:val="restart"/>
            <w:vAlign w:val="center"/>
          </w:tcPr>
          <w:p w14:paraId="5ABE2C42">
            <w:pPr>
              <w:pStyle w:val="146"/>
              <w:jc w:val="both"/>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产生的废垫料</w:t>
            </w:r>
            <w:r>
              <w:rPr>
                <w:rFonts w:hint="default" w:ascii="Times New Roman" w:hAnsi="Times New Roman" w:eastAsia="宋体" w:cs="Times New Roman"/>
                <w:color w:val="auto"/>
                <w:highlight w:val="none"/>
              </w:rPr>
              <w:t>运至堆肥间后采取好氧发酵工艺进行堆肥生产</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，实现粪污资源化利用，保证防止污染水环境。</w:t>
            </w:r>
          </w:p>
        </w:tc>
        <w:tc>
          <w:tcPr>
            <w:tcW w:w="799" w:type="dxa"/>
            <w:vMerge w:val="restart"/>
            <w:vAlign w:val="center"/>
          </w:tcPr>
          <w:p w14:paraId="6478153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D7D7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4F8A0E7A">
            <w:pPr>
              <w:pStyle w:val="146"/>
              <w:jc w:val="both"/>
              <w:rPr>
                <w:rFonts w:hint="default" w:ascii="Times New Roman" w:hAnsi="Times New Roman" w:eastAsia="宋体" w:cs="Times New Roman"/>
                <w:color w:val="auto"/>
                <w:highlight w:val="none"/>
              </w:rPr>
            </w:pPr>
          </w:p>
        </w:tc>
        <w:tc>
          <w:tcPr>
            <w:tcW w:w="709" w:type="dxa"/>
            <w:vMerge w:val="continue"/>
            <w:vAlign w:val="center"/>
          </w:tcPr>
          <w:p w14:paraId="147971F7">
            <w:pPr>
              <w:pStyle w:val="146"/>
              <w:jc w:val="both"/>
              <w:rPr>
                <w:rFonts w:hint="default" w:ascii="Times New Roman" w:hAnsi="Times New Roman" w:eastAsia="宋体" w:cs="Times New Roman"/>
                <w:color w:val="auto"/>
                <w:highlight w:val="none"/>
              </w:rPr>
            </w:pPr>
          </w:p>
        </w:tc>
        <w:tc>
          <w:tcPr>
            <w:tcW w:w="3544" w:type="dxa"/>
            <w:vAlign w:val="center"/>
          </w:tcPr>
          <w:p w14:paraId="639A153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3.2不具备堆肥条件的养殖场，可根据畜禽养殖场地理位置、养殖种类、养殖规模及经济情况，选用其他方法对固体粪便进行资源回收利用，但不得对环境造成二次污染。</w:t>
            </w:r>
          </w:p>
        </w:tc>
        <w:tc>
          <w:tcPr>
            <w:tcW w:w="2551" w:type="dxa"/>
            <w:vMerge w:val="continue"/>
            <w:vAlign w:val="center"/>
          </w:tcPr>
          <w:p w14:paraId="0DC07AE3">
            <w:pPr>
              <w:pStyle w:val="146"/>
              <w:jc w:val="both"/>
              <w:rPr>
                <w:rFonts w:hint="default" w:ascii="Times New Roman" w:hAnsi="Times New Roman" w:eastAsia="宋体" w:cs="Times New Roman"/>
                <w:color w:val="auto"/>
                <w:highlight w:val="none"/>
              </w:rPr>
            </w:pPr>
          </w:p>
        </w:tc>
        <w:tc>
          <w:tcPr>
            <w:tcW w:w="799" w:type="dxa"/>
            <w:vMerge w:val="continue"/>
            <w:vAlign w:val="center"/>
          </w:tcPr>
          <w:p w14:paraId="1359C6CD">
            <w:pPr>
              <w:pStyle w:val="146"/>
              <w:jc w:val="both"/>
              <w:rPr>
                <w:rFonts w:hint="default" w:ascii="Times New Roman" w:hAnsi="Times New Roman" w:eastAsia="宋体" w:cs="Times New Roman"/>
                <w:color w:val="auto"/>
                <w:highlight w:val="none"/>
              </w:rPr>
            </w:pPr>
          </w:p>
        </w:tc>
      </w:tr>
    </w:tbl>
    <w:p w14:paraId="565AE06C">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根据上表，本项目与《畜禽养殖业污染治理工程技术规范》（HJ497-2009）相符合。</w:t>
      </w:r>
    </w:p>
    <w:p w14:paraId="0EC51546">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3</w:t>
      </w:r>
      <w:r>
        <w:rPr>
          <w:rFonts w:hint="default" w:ascii="Times New Roman" w:hAnsi="Times New Roman" w:cs="Times New Roman"/>
          <w:color w:val="auto"/>
          <w:highlight w:val="none"/>
        </w:rPr>
        <w:t>与《畜禽粪便无害化处理技术规范》（GB/T36195-2018）符合性分析</w:t>
      </w:r>
    </w:p>
    <w:p w14:paraId="0F05CD7F">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本项目与《畜禽粪便无害化处理技术规范》（GB/T36195-2018）符合性分析见下表。</w:t>
      </w:r>
    </w:p>
    <w:p w14:paraId="44FF2A8F">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表1-4-3与《畜禽粪便无害化处理技术规范》（GB/T36195-2018）符合性分析</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851"/>
        <w:gridCol w:w="2833"/>
        <w:gridCol w:w="3116"/>
        <w:gridCol w:w="798"/>
      </w:tblGrid>
      <w:tr w14:paraId="765253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354CCCC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686" w:type="dxa"/>
            <w:gridSpan w:val="2"/>
            <w:vAlign w:val="center"/>
          </w:tcPr>
          <w:p w14:paraId="223E35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《畜禽粪便无害化处理技术规范》（GB/T36195-2018）要求</w:t>
            </w:r>
          </w:p>
        </w:tc>
        <w:tc>
          <w:tcPr>
            <w:tcW w:w="3118" w:type="dxa"/>
            <w:vAlign w:val="center"/>
          </w:tcPr>
          <w:p w14:paraId="4130503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02EE31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4D78DA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36AC9F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51" w:type="dxa"/>
            <w:vAlign w:val="center"/>
          </w:tcPr>
          <w:p w14:paraId="27AF1A1A">
            <w:pPr>
              <w:autoSpaceDE w:val="0"/>
              <w:autoSpaceDN w:val="0"/>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基本</w:t>
            </w:r>
          </w:p>
          <w:p w14:paraId="19AC6D05">
            <w:pPr>
              <w:autoSpaceDE w:val="0"/>
              <w:autoSpaceDN w:val="0"/>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要求</w:t>
            </w:r>
          </w:p>
        </w:tc>
        <w:tc>
          <w:tcPr>
            <w:tcW w:w="2835" w:type="dxa"/>
            <w:vAlign w:val="center"/>
          </w:tcPr>
          <w:p w14:paraId="3A05658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1.1新建、扩建和改建畜禽养殖场和养殖小区应设置粪污处理区，建设畜禽粪便处理设施；畜禽粪便处理应坚持减量化、资源化和无害化的原则。畜禽粪便处理过程应满足安全和卫生要求，避免二次污染发生。</w:t>
            </w:r>
          </w:p>
        </w:tc>
        <w:tc>
          <w:tcPr>
            <w:tcW w:w="3118" w:type="dxa"/>
            <w:vAlign w:val="center"/>
          </w:tcPr>
          <w:p w14:paraId="180045F1">
            <w:pPr>
              <w:pStyle w:val="146"/>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产生的废垫料</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p>
        </w:tc>
        <w:tc>
          <w:tcPr>
            <w:tcW w:w="799" w:type="dxa"/>
            <w:vAlign w:val="center"/>
          </w:tcPr>
          <w:p w14:paraId="11C5D3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98E70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6404F5B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51" w:type="dxa"/>
            <w:vMerge w:val="restart"/>
            <w:vAlign w:val="center"/>
          </w:tcPr>
          <w:p w14:paraId="2E9B6CA6">
            <w:pPr>
              <w:autoSpaceDE w:val="0"/>
              <w:autoSpaceDN w:val="0"/>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粪便处理场选址及布局</w:t>
            </w:r>
          </w:p>
        </w:tc>
        <w:tc>
          <w:tcPr>
            <w:tcW w:w="2835" w:type="dxa"/>
            <w:vAlign w:val="center"/>
          </w:tcPr>
          <w:p w14:paraId="112D2F6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2.1不应在下列区域内建设畜禽粪便处理场：</w:t>
            </w:r>
          </w:p>
          <w:p w14:paraId="4A9A039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生活饮用水水源保护区、风景名胜区、自然保护区的核心区及缓冲区；b）城市和城镇居民区，包括文教科研、医疗、商业和工业等人口集中地区；c）县级及县级以上人民政府依法划定的禁养区域；d）国家或地方法律、法规规定需特殊保护的其他区域。</w:t>
            </w:r>
          </w:p>
        </w:tc>
        <w:tc>
          <w:tcPr>
            <w:tcW w:w="3118" w:type="dxa"/>
            <w:vAlign w:val="center"/>
          </w:tcPr>
          <w:p w14:paraId="27F3A4E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选址不在生活饮用水水源保护区、风景名胜区、自然保护区的核心区及缓冲区、城市和城镇居民区、包括文教科研、医疗、商业和工业等人口集中地区、县级及县级以上人民政府依法划定的禁养区域、国家或地方法律、法规规定需特殊保护的其他区域。</w:t>
            </w:r>
          </w:p>
        </w:tc>
        <w:tc>
          <w:tcPr>
            <w:tcW w:w="799" w:type="dxa"/>
            <w:vAlign w:val="center"/>
          </w:tcPr>
          <w:p w14:paraId="551FA27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BCFFF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623EC0D0">
            <w:pPr>
              <w:pStyle w:val="146"/>
              <w:rPr>
                <w:rFonts w:hint="default" w:ascii="Times New Roman" w:hAnsi="Times New Roman" w:eastAsia="宋体" w:cs="Times New Roman"/>
                <w:color w:val="auto"/>
                <w:highlight w:val="none"/>
              </w:rPr>
            </w:pPr>
          </w:p>
        </w:tc>
        <w:tc>
          <w:tcPr>
            <w:tcW w:w="851" w:type="dxa"/>
            <w:vMerge w:val="continue"/>
            <w:vAlign w:val="center"/>
          </w:tcPr>
          <w:p w14:paraId="3B1355BC">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2835" w:type="dxa"/>
            <w:vAlign w:val="center"/>
          </w:tcPr>
          <w:p w14:paraId="19A032A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2.2畜禽粪便处理场地应距离功能地表水体400m以上。</w:t>
            </w:r>
          </w:p>
        </w:tc>
        <w:tc>
          <w:tcPr>
            <w:tcW w:w="3118" w:type="dxa"/>
            <w:vAlign w:val="center"/>
          </w:tcPr>
          <w:p w14:paraId="376CF77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地表水体为</w:t>
            </w:r>
            <w:r>
              <w:rPr>
                <w:rFonts w:hint="default" w:ascii="Times New Roman" w:hAnsi="Times New Roman" w:eastAsia="宋体" w:cs="Times New Roman"/>
                <w:color w:val="auto"/>
                <w:highlight w:val="none"/>
                <w:lang w:val="en-US" w:eastAsia="zh-CN"/>
              </w:rPr>
              <w:t>平关河</w:t>
            </w:r>
            <w:r>
              <w:rPr>
                <w:rFonts w:hint="default" w:ascii="Times New Roman" w:hAnsi="Times New Roman" w:eastAsia="宋体" w:cs="Times New Roman"/>
                <w:color w:val="auto"/>
                <w:highlight w:val="none"/>
              </w:rPr>
              <w:t>，位于本项目</w:t>
            </w:r>
            <w:r>
              <w:rPr>
                <w:rFonts w:hint="default" w:ascii="Times New Roman" w:hAnsi="Times New Roman" w:eastAsia="宋体" w:cs="Times New Roman"/>
                <w:color w:val="auto"/>
                <w:highlight w:val="none"/>
                <w:lang w:val="en-US" w:eastAsia="zh-CN"/>
              </w:rPr>
              <w:t>西</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3.53</w:t>
            </w:r>
            <w:r>
              <w:rPr>
                <w:rFonts w:hint="default" w:ascii="Times New Roman" w:hAnsi="Times New Roman" w:eastAsia="宋体" w:cs="Times New Roman"/>
                <w:color w:val="auto"/>
                <w:highlight w:val="none"/>
              </w:rPr>
              <w:t>km，大于400m。</w:t>
            </w:r>
          </w:p>
        </w:tc>
        <w:tc>
          <w:tcPr>
            <w:tcW w:w="799" w:type="dxa"/>
            <w:vAlign w:val="center"/>
          </w:tcPr>
          <w:p w14:paraId="464C4A2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ED7EE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5BE075F5">
            <w:pPr>
              <w:pStyle w:val="146"/>
              <w:rPr>
                <w:rFonts w:hint="default" w:ascii="Times New Roman" w:hAnsi="Times New Roman" w:eastAsia="宋体" w:cs="Times New Roman"/>
                <w:color w:val="auto"/>
                <w:highlight w:val="none"/>
              </w:rPr>
            </w:pPr>
          </w:p>
        </w:tc>
        <w:tc>
          <w:tcPr>
            <w:tcW w:w="851" w:type="dxa"/>
            <w:vMerge w:val="continue"/>
            <w:vAlign w:val="center"/>
          </w:tcPr>
          <w:p w14:paraId="4AD331D7">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2835" w:type="dxa"/>
            <w:vAlign w:val="center"/>
          </w:tcPr>
          <w:p w14:paraId="35E7983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2.3畜禽粪便处理场区应采取地面硬化、防渗漏、防径流和雨污分流等措施。</w:t>
            </w:r>
          </w:p>
        </w:tc>
        <w:tc>
          <w:tcPr>
            <w:tcW w:w="3118" w:type="dxa"/>
            <w:vAlign w:val="center"/>
          </w:tcPr>
          <w:p w14:paraId="6F4C5F3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r>
              <w:rPr>
                <w:rFonts w:hint="eastAsia" w:eastAsia="宋体" w:cs="Times New Roman"/>
                <w:color w:val="auto"/>
                <w:highlight w:val="none"/>
                <w:lang w:eastAsia="zh-CN"/>
              </w:rPr>
              <w:t>、</w:t>
            </w:r>
            <w:r>
              <w:rPr>
                <w:rFonts w:hint="eastAsia" w:eastAsia="宋体" w:cs="Times New Roman"/>
                <w:color w:val="auto"/>
                <w:highlight w:val="none"/>
                <w:lang w:val="en-US" w:eastAsia="zh-CN"/>
              </w:rPr>
              <w:t>初期雨水池</w:t>
            </w:r>
            <w:r>
              <w:rPr>
                <w:rStyle w:val="145"/>
                <w:rFonts w:hint="default" w:ascii="Times New Roman" w:hAnsi="Times New Roman" w:eastAsia="宋体" w:cs="Times New Roman"/>
                <w:color w:val="auto"/>
                <w:highlight w:val="none"/>
              </w:rPr>
              <w:t>采取</w:t>
            </w:r>
            <w:r>
              <w:rPr>
                <w:rFonts w:hint="default" w:ascii="Times New Roman" w:hAnsi="Times New Roman" w:eastAsia="宋体" w:cs="Times New Roman"/>
                <w:color w:val="auto"/>
                <w:highlight w:val="none"/>
              </w:rPr>
              <w:t>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tc>
        <w:tc>
          <w:tcPr>
            <w:tcW w:w="799" w:type="dxa"/>
            <w:vAlign w:val="center"/>
          </w:tcPr>
          <w:p w14:paraId="16D543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5C3CC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vAlign w:val="center"/>
          </w:tcPr>
          <w:p w14:paraId="0AD873A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51" w:type="dxa"/>
            <w:vMerge w:val="restart"/>
            <w:vAlign w:val="center"/>
          </w:tcPr>
          <w:p w14:paraId="3E67551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粪便收集、贮存和运输</w:t>
            </w:r>
          </w:p>
        </w:tc>
        <w:tc>
          <w:tcPr>
            <w:tcW w:w="2835" w:type="dxa"/>
            <w:vAlign w:val="center"/>
          </w:tcPr>
          <w:p w14:paraId="79E22021">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畜禽生产过程宜采用干清粪工艺，实施雨污分流，减少污染物排放量。</w:t>
            </w:r>
          </w:p>
        </w:tc>
        <w:tc>
          <w:tcPr>
            <w:tcW w:w="3118" w:type="dxa"/>
            <w:vMerge w:val="restart"/>
            <w:vAlign w:val="center"/>
          </w:tcPr>
          <w:p w14:paraId="28101058">
            <w:pPr>
              <w:pStyle w:val="146"/>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堆肥间满足《畜禽粪便贮存设施设计要求》（GB/T27622-2011），畜禽粪便收集、运输过程中，采取防遗洒、防渗漏措施。</w:t>
            </w:r>
          </w:p>
        </w:tc>
        <w:tc>
          <w:tcPr>
            <w:tcW w:w="799" w:type="dxa"/>
            <w:vMerge w:val="restart"/>
            <w:vAlign w:val="center"/>
          </w:tcPr>
          <w:p w14:paraId="119BED8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9FCCF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7DDD652C">
            <w:pPr>
              <w:pStyle w:val="146"/>
              <w:rPr>
                <w:rFonts w:hint="default" w:ascii="Times New Roman" w:hAnsi="Times New Roman" w:eastAsia="宋体" w:cs="Times New Roman"/>
                <w:color w:val="auto"/>
                <w:highlight w:val="none"/>
              </w:rPr>
            </w:pPr>
          </w:p>
        </w:tc>
        <w:tc>
          <w:tcPr>
            <w:tcW w:w="851" w:type="dxa"/>
            <w:vMerge w:val="continue"/>
            <w:vAlign w:val="center"/>
          </w:tcPr>
          <w:p w14:paraId="197B3223">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2835" w:type="dxa"/>
            <w:vAlign w:val="center"/>
          </w:tcPr>
          <w:p w14:paraId="112E9FF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畜禽粪便贮存设施应符合GB/T27622的规定。</w:t>
            </w:r>
          </w:p>
        </w:tc>
        <w:tc>
          <w:tcPr>
            <w:tcW w:w="3118" w:type="dxa"/>
            <w:vMerge w:val="continue"/>
            <w:vAlign w:val="center"/>
          </w:tcPr>
          <w:p w14:paraId="210436B0">
            <w:pPr>
              <w:pStyle w:val="146"/>
              <w:rPr>
                <w:rFonts w:hint="default" w:ascii="Times New Roman" w:hAnsi="Times New Roman" w:eastAsia="宋体" w:cs="Times New Roman"/>
                <w:color w:val="auto"/>
                <w:highlight w:val="none"/>
              </w:rPr>
            </w:pPr>
          </w:p>
        </w:tc>
        <w:tc>
          <w:tcPr>
            <w:tcW w:w="799" w:type="dxa"/>
            <w:vMerge w:val="continue"/>
            <w:vAlign w:val="center"/>
          </w:tcPr>
          <w:p w14:paraId="7FF1DD39">
            <w:pPr>
              <w:pStyle w:val="146"/>
              <w:rPr>
                <w:rFonts w:hint="default" w:ascii="Times New Roman" w:hAnsi="Times New Roman" w:eastAsia="宋体" w:cs="Times New Roman"/>
                <w:color w:val="auto"/>
                <w:highlight w:val="none"/>
              </w:rPr>
            </w:pPr>
          </w:p>
        </w:tc>
      </w:tr>
      <w:tr w14:paraId="730661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09" w:type="dxa"/>
            <w:vMerge w:val="continue"/>
            <w:vAlign w:val="center"/>
          </w:tcPr>
          <w:p w14:paraId="08A35513">
            <w:pPr>
              <w:pStyle w:val="146"/>
              <w:rPr>
                <w:rFonts w:hint="default" w:ascii="Times New Roman" w:hAnsi="Times New Roman" w:eastAsia="宋体" w:cs="Times New Roman"/>
                <w:color w:val="auto"/>
                <w:highlight w:val="none"/>
              </w:rPr>
            </w:pPr>
          </w:p>
        </w:tc>
        <w:tc>
          <w:tcPr>
            <w:tcW w:w="851" w:type="dxa"/>
            <w:vMerge w:val="continue"/>
            <w:vAlign w:val="center"/>
          </w:tcPr>
          <w:p w14:paraId="5B18AB0C">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2835" w:type="dxa"/>
            <w:vAlign w:val="center"/>
          </w:tcPr>
          <w:p w14:paraId="4C0DE83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畜禽养殖污水贮存设施应符合GB/T26624的规定。</w:t>
            </w:r>
          </w:p>
        </w:tc>
        <w:tc>
          <w:tcPr>
            <w:tcW w:w="3118" w:type="dxa"/>
            <w:vMerge w:val="continue"/>
            <w:vAlign w:val="center"/>
          </w:tcPr>
          <w:p w14:paraId="6CE959A7">
            <w:pPr>
              <w:pStyle w:val="146"/>
              <w:rPr>
                <w:rFonts w:hint="default" w:ascii="Times New Roman" w:hAnsi="Times New Roman" w:eastAsia="宋体" w:cs="Times New Roman"/>
                <w:color w:val="auto"/>
                <w:highlight w:val="none"/>
              </w:rPr>
            </w:pPr>
          </w:p>
        </w:tc>
        <w:tc>
          <w:tcPr>
            <w:tcW w:w="799" w:type="dxa"/>
            <w:vMerge w:val="continue"/>
            <w:vAlign w:val="center"/>
          </w:tcPr>
          <w:p w14:paraId="460C55B6">
            <w:pPr>
              <w:pStyle w:val="146"/>
              <w:rPr>
                <w:rFonts w:hint="default" w:ascii="Times New Roman" w:hAnsi="Times New Roman" w:eastAsia="宋体" w:cs="Times New Roman"/>
                <w:color w:val="auto"/>
                <w:highlight w:val="none"/>
              </w:rPr>
            </w:pPr>
          </w:p>
        </w:tc>
      </w:tr>
      <w:tr w14:paraId="421203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vAlign w:val="center"/>
          </w:tcPr>
          <w:p w14:paraId="4EA1A789">
            <w:pPr>
              <w:pStyle w:val="146"/>
              <w:rPr>
                <w:rFonts w:hint="default" w:ascii="Times New Roman" w:hAnsi="Times New Roman" w:eastAsia="宋体" w:cs="Times New Roman"/>
                <w:color w:val="auto"/>
                <w:highlight w:val="none"/>
              </w:rPr>
            </w:pPr>
          </w:p>
        </w:tc>
        <w:tc>
          <w:tcPr>
            <w:tcW w:w="851" w:type="dxa"/>
            <w:vMerge w:val="continue"/>
            <w:vAlign w:val="center"/>
          </w:tcPr>
          <w:p w14:paraId="717D39D6">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2835" w:type="dxa"/>
            <w:vAlign w:val="center"/>
          </w:tcPr>
          <w:p w14:paraId="295A096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畜禽粪便收集、运输过程中，应采取防遗洒、防渗漏等措施。</w:t>
            </w:r>
          </w:p>
        </w:tc>
        <w:tc>
          <w:tcPr>
            <w:tcW w:w="3118" w:type="dxa"/>
            <w:vMerge w:val="continue"/>
            <w:vAlign w:val="center"/>
          </w:tcPr>
          <w:p w14:paraId="70ECE68E">
            <w:pPr>
              <w:pStyle w:val="146"/>
              <w:rPr>
                <w:rFonts w:hint="default" w:ascii="Times New Roman" w:hAnsi="Times New Roman" w:eastAsia="宋体" w:cs="Times New Roman"/>
                <w:color w:val="auto"/>
                <w:highlight w:val="none"/>
              </w:rPr>
            </w:pPr>
          </w:p>
        </w:tc>
        <w:tc>
          <w:tcPr>
            <w:tcW w:w="799" w:type="dxa"/>
            <w:vMerge w:val="continue"/>
            <w:vAlign w:val="center"/>
          </w:tcPr>
          <w:p w14:paraId="2EAE450A">
            <w:pPr>
              <w:pStyle w:val="146"/>
              <w:rPr>
                <w:rFonts w:hint="default" w:ascii="Times New Roman" w:hAnsi="Times New Roman" w:eastAsia="宋体" w:cs="Times New Roman"/>
                <w:color w:val="auto"/>
                <w:highlight w:val="none"/>
              </w:rPr>
            </w:pPr>
          </w:p>
        </w:tc>
      </w:tr>
    </w:tbl>
    <w:p w14:paraId="11619117">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根据上表，本项目与《畜禽粪便无害化处理技术规范》（GB/T36195-2018）相符合。</w:t>
      </w:r>
    </w:p>
    <w:p w14:paraId="1B1864D5">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4</w:t>
      </w:r>
      <w:r>
        <w:rPr>
          <w:rFonts w:hint="default" w:ascii="Times New Roman" w:hAnsi="Times New Roman" w:cs="Times New Roman"/>
          <w:color w:val="auto"/>
          <w:highlight w:val="none"/>
        </w:rPr>
        <w:t>与《畜禽规模养殖污染防治条例》符合性分析</w:t>
      </w:r>
    </w:p>
    <w:p w14:paraId="0C912172">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畜禽规模养殖污染防治条例》中“鼓励和支持畜禽养殖污染防治以及畜禽养殖废弃物综合利用。国家鼓励和支持采取粪肥还田、制取沼气、制造肥料等方法，对畜禽养殖废物进行综合利用”。“染疫畜禽以及染疫畜禽排泄物、染疫畜禽产品、病死或者死因不明的畜禽尸体等病害畜禽养殖废弃物，应当按照有关法律、法规和国务院农牧主管部门的规定，进行深埋、化制、焚烧等无害化处理，不</w:t>
      </w:r>
      <w:r>
        <w:rPr>
          <w:rFonts w:hint="default" w:ascii="Times New Roman" w:hAnsi="Times New Roman" w:eastAsia="宋体" w:cs="Times New Roman"/>
          <w:color w:val="auto"/>
          <w:highlight w:val="none"/>
          <w:lang w:val="en-US" w:eastAsia="zh-CN"/>
        </w:rPr>
        <w:t>得随意处置。”</w:t>
      </w:r>
    </w:p>
    <w:p w14:paraId="3FAF7EF0">
      <w:pPr>
        <w:pStyle w:val="67"/>
        <w:ind w:firstLine="48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本项目含有牛粪尿的垫料在牛舍发酵后，运至</w:t>
      </w:r>
      <w:r>
        <w:rPr>
          <w:rFonts w:hint="eastAsia" w:ascii="Times New Roman" w:hAnsi="Times New Roman" w:eastAsia="宋体" w:cs="Times New Roman"/>
          <w:color w:val="auto"/>
          <w:highlight w:val="none"/>
          <w:lang w:val="en-US" w:eastAsia="zh-CN"/>
        </w:rPr>
        <w:t>发酵棚</w:t>
      </w:r>
      <w:r>
        <w:rPr>
          <w:rFonts w:hint="default" w:ascii="Times New Roman" w:hAnsi="Times New Roman" w:eastAsia="宋体" w:cs="Times New Roman"/>
          <w:color w:val="auto"/>
          <w:highlight w:val="none"/>
          <w:lang w:val="en-US" w:eastAsia="zh-CN"/>
        </w:rPr>
        <w:t>进一步发酵制成有机肥，粪床每月清理一次，固体粪肥使用喷粪车作为肥料施用于配套消纳地进行施肥，非施肥季节储存于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eastAsia" w:eastAsia="宋体" w:cs="Times New Roman"/>
          <w:color w:val="auto"/>
          <w:highlight w:val="none"/>
          <w:lang w:val="en-US" w:eastAsia="zh-CN"/>
        </w:rPr>
        <w:t>废活性炭收集后由厂家回收。</w:t>
      </w:r>
      <w:r>
        <w:rPr>
          <w:rFonts w:hint="eastAsia" w:ascii="Times New Roman" w:hAnsi="Times New Roman" w:eastAsia="宋体" w:cs="Times New Roman"/>
          <w:color w:val="auto"/>
          <w:highlight w:val="none"/>
          <w:lang w:val="en-US" w:eastAsia="zh-CN"/>
        </w:rPr>
        <w:t>医疗废物</w:t>
      </w:r>
      <w:r>
        <w:rPr>
          <w:rFonts w:hint="default" w:ascii="Times New Roman" w:hAnsi="Times New Roman" w:eastAsia="宋体" w:cs="Times New Roman"/>
          <w:color w:val="auto"/>
          <w:highlight w:val="none"/>
        </w:rPr>
        <w:t>暂存</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，委托有资质的单位处理。</w:t>
      </w:r>
      <w:r>
        <w:rPr>
          <w:rFonts w:hint="eastAsia" w:ascii="Times New Roman" w:hAnsi="Times New Roman" w:eastAsia="宋体" w:cs="Times New Roman"/>
          <w:color w:val="auto"/>
          <w:highlight w:val="none"/>
          <w:lang w:val="en-US" w:eastAsia="zh-CN"/>
        </w:rPr>
        <w:t>病死牛尸体</w:t>
      </w: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val="en-US" w:eastAsia="zh-CN"/>
        </w:rPr>
        <w:t>哈尔滨银山无害化处理有限公司</w:t>
      </w:r>
      <w:r>
        <w:rPr>
          <w:rFonts w:hint="eastAsia" w:ascii="Times New Roman" w:hAnsi="Times New Roman" w:eastAsia="宋体" w:cs="Times New Roman"/>
          <w:color w:val="auto"/>
          <w:highlight w:val="none"/>
          <w:lang w:val="en-US" w:eastAsia="zh-CN"/>
        </w:rPr>
        <w:t>进行</w:t>
      </w:r>
      <w:r>
        <w:rPr>
          <w:rFonts w:hint="default" w:ascii="Times New Roman" w:hAnsi="Times New Roman" w:eastAsia="宋体" w:cs="Times New Roman"/>
          <w:color w:val="auto"/>
          <w:highlight w:val="none"/>
        </w:rPr>
        <w:t>无害化处理。</w:t>
      </w:r>
      <w:r>
        <w:rPr>
          <w:rFonts w:hint="eastAsia" w:ascii="Times New Roman" w:hAnsi="Times New Roman" w:eastAsia="宋体" w:cs="Times New Roman"/>
          <w:color w:val="auto"/>
          <w:highlight w:val="none"/>
          <w:lang w:val="en-US" w:eastAsia="zh-CN"/>
        </w:rPr>
        <w:t>生活垃圾</w:t>
      </w:r>
      <w:r>
        <w:rPr>
          <w:rFonts w:hint="default" w:ascii="Times New Roman" w:hAnsi="Times New Roman" w:eastAsia="宋体" w:cs="Times New Roman"/>
          <w:color w:val="auto"/>
          <w:highlight w:val="none"/>
        </w:rPr>
        <w:t>及时清运，由市政部门统一清运处理</w:t>
      </w:r>
      <w:r>
        <w:rPr>
          <w:rFonts w:hint="default" w:ascii="Times New Roman" w:hAnsi="Times New Roman" w:eastAsia="宋体" w:cs="Times New Roman"/>
          <w:color w:val="auto"/>
          <w:highlight w:val="none"/>
          <w:lang w:val="en-US" w:eastAsia="zh-CN"/>
        </w:rPr>
        <w:t>。因此本项目的建设符合《畜禽规模养殖污染防治条例》要求。</w:t>
      </w:r>
    </w:p>
    <w:p w14:paraId="251CA5B1">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5</w:t>
      </w:r>
      <w:r>
        <w:rPr>
          <w:rFonts w:hint="default" w:ascii="Times New Roman" w:hAnsi="Times New Roman" w:cs="Times New Roman"/>
          <w:color w:val="auto"/>
          <w:highlight w:val="none"/>
        </w:rPr>
        <w:t>与《国务院办公厅关于加快推进畜禽养殖废弃物资源化利用的意见》（国办发[2017]48号）符合性分析</w:t>
      </w:r>
    </w:p>
    <w:p w14:paraId="26AE8404">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本项目与《国务院办公厅关于加快推进畜禽养殖废弃物资源化利用的意见》（国办发[2017]48号）符合性分析见下表。</w:t>
      </w:r>
    </w:p>
    <w:p w14:paraId="2D98EE2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表1-4-4与《国务院办公厅关于加快推进畜禽养殖废弃物资源化利用的意见》（国办发[2017]48号）符合性分析</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850"/>
        <w:gridCol w:w="2974"/>
        <w:gridCol w:w="3258"/>
        <w:gridCol w:w="657"/>
      </w:tblGrid>
      <w:tr w14:paraId="295823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02229AD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828" w:type="dxa"/>
            <w:gridSpan w:val="2"/>
            <w:vAlign w:val="center"/>
          </w:tcPr>
          <w:p w14:paraId="208E75D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《国务院办公厅关于加快推进畜禽养殖废弃物资源化利用的意见》（国办发[2017]48号）</w:t>
            </w:r>
          </w:p>
        </w:tc>
        <w:tc>
          <w:tcPr>
            <w:tcW w:w="3260" w:type="dxa"/>
            <w:vAlign w:val="center"/>
          </w:tcPr>
          <w:p w14:paraId="64B76BC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657" w:type="dxa"/>
            <w:vAlign w:val="center"/>
          </w:tcPr>
          <w:p w14:paraId="3A65FA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15951D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545BDF3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51" w:type="dxa"/>
            <w:vAlign w:val="center"/>
          </w:tcPr>
          <w:p w14:paraId="77C75F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严格落实畜禽规模养殖环评制度</w:t>
            </w:r>
          </w:p>
        </w:tc>
        <w:tc>
          <w:tcPr>
            <w:tcW w:w="2977" w:type="dxa"/>
            <w:vAlign w:val="center"/>
          </w:tcPr>
          <w:p w14:paraId="4005102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范环评内容和要求。对畜禽规模养殖相关规划依法依规开展环境影响评价，调整优化畜牧业生产布局，协调畜禽规模养殖和环境保护的关系。新建或改扩建畜禽规模养殖场，应突出养分综合利用，配套与养殖规模和处理工艺相适应的粪污消纳用地，配备必要的粪污收集、贮存、处理、利用设施，依法进行环境影响评价。加强畜禽规模养殖场建设项目环评分类管理和相关技术标准研究，合理确定编制环境影响报告书和登记表的畜禽规模养殖场规模标准。对未依法进行环境影响评价的畜禽规模养殖场，环保部门予以处罚。</w:t>
            </w:r>
          </w:p>
        </w:tc>
        <w:tc>
          <w:tcPr>
            <w:tcW w:w="3260" w:type="dxa"/>
            <w:vAlign w:val="center"/>
          </w:tcPr>
          <w:p w14:paraId="7A2FB0DE">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本项目建设肉牛养殖场，对项目依法进行环境影响评价，根据《建设项目环境影响评价分类管理名录（2021年版）》（生态环境部令第16号）规定，本项目属于“3、牲畜饲养”中“</w:t>
            </w:r>
            <w:r>
              <w:rPr>
                <w:rFonts w:hint="default" w:ascii="Times New Roman" w:hAnsi="Times New Roman" w:eastAsia="宋体" w:cs="Times New Roman"/>
                <w:color w:val="auto"/>
                <w:highlight w:val="none"/>
                <w:lang w:val="en-US" w:eastAsia="zh-CN"/>
              </w:rPr>
              <w:t>存</w:t>
            </w:r>
            <w:r>
              <w:rPr>
                <w:rFonts w:hint="default" w:ascii="Times New Roman" w:hAnsi="Times New Roman" w:eastAsia="宋体" w:cs="Times New Roman"/>
                <w:color w:val="auto"/>
                <w:highlight w:val="none"/>
              </w:rPr>
              <w:t>栏生猪2500头（其他畜禽种类折合猪的养殖规模）及以上无出栏量的规模化畜禽养</w:t>
            </w:r>
            <w:r>
              <w:rPr>
                <w:rFonts w:hint="default" w:ascii="Times New Roman" w:hAnsi="Times New Roman" w:eastAsia="宋体" w:cs="Times New Roman"/>
                <w:color w:val="auto"/>
                <w:highlight w:val="none"/>
                <w:lang w:val="en-GB"/>
              </w:rPr>
              <w:t>殖”</w:t>
            </w:r>
            <w:r>
              <w:rPr>
                <w:rFonts w:hint="default" w:ascii="Times New Roman" w:hAnsi="Times New Roman" w:eastAsia="宋体" w:cs="Times New Roman"/>
                <w:color w:val="auto"/>
                <w:highlight w:val="none"/>
              </w:rPr>
              <w:t>根据《畜禽养殖业污染物排放标准》（GB18596-2001）1头肉牛折算成5头猪</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本项目年存栏肉牛6000头</w:t>
            </w:r>
            <w:r>
              <w:rPr>
                <w:rFonts w:hint="default" w:ascii="Times New Roman" w:hAnsi="Times New Roman" w:eastAsia="宋体" w:cs="Times New Roman"/>
                <w:color w:val="auto"/>
                <w:highlight w:val="none"/>
                <w:lang w:val="en-GB"/>
              </w:rPr>
              <w:t>，</w:t>
            </w:r>
            <w:r>
              <w:rPr>
                <w:rFonts w:hint="default" w:ascii="Times New Roman" w:hAnsi="Times New Roman" w:eastAsia="宋体" w:cs="Times New Roman"/>
                <w:color w:val="auto"/>
                <w:highlight w:val="none"/>
              </w:rPr>
              <w:t>折算猪为</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0000</w:t>
            </w:r>
            <w:r>
              <w:rPr>
                <w:rFonts w:hint="default" w:ascii="Times New Roman" w:hAnsi="Times New Roman" w:eastAsia="宋体" w:cs="Times New Roman"/>
                <w:color w:val="auto"/>
                <w:highlight w:val="none"/>
              </w:rPr>
              <w:t>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应</w:t>
            </w:r>
            <w:r>
              <w:rPr>
                <w:rFonts w:hint="default" w:ascii="Times New Roman" w:hAnsi="Times New Roman" w:eastAsia="宋体" w:cs="Times New Roman"/>
                <w:color w:val="auto"/>
                <w:highlight w:val="none"/>
                <w:lang w:val="en-GB"/>
              </w:rPr>
              <w:t>编制</w:t>
            </w:r>
            <w:r>
              <w:rPr>
                <w:rFonts w:hint="default" w:ascii="Times New Roman" w:hAnsi="Times New Roman" w:eastAsia="宋体" w:cs="Times New Roman"/>
                <w:color w:val="auto"/>
                <w:highlight w:val="none"/>
              </w:rPr>
              <w:t>环境影响报告书。</w:t>
            </w:r>
          </w:p>
          <w:p w14:paraId="5E4434F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GB"/>
              </w:rPr>
              <w:t>本项目</w:t>
            </w:r>
            <w:r>
              <w:rPr>
                <w:rFonts w:hint="eastAsia" w:eastAsia="宋体" w:cs="Times New Roman"/>
                <w:color w:val="auto"/>
                <w:highlight w:val="none"/>
                <w:lang w:val="en-US" w:eastAsia="zh-CN"/>
              </w:rPr>
              <w:t>有机垫料</w:t>
            </w:r>
            <w:r>
              <w:rPr>
                <w:rFonts w:hint="default" w:ascii="Times New Roman" w:hAnsi="Times New Roman" w:eastAsia="宋体" w:cs="Times New Roman"/>
                <w:color w:val="auto"/>
                <w:highlight w:val="none"/>
                <w:lang w:val="en-GB"/>
              </w:rPr>
              <w:t>处理后定期还田，本项目粪污配套消纳土地最小面积为</w:t>
            </w:r>
            <w:r>
              <w:rPr>
                <w:rFonts w:hint="eastAsia" w:eastAsia="宋体" w:cs="Times New Roman"/>
                <w:color w:val="auto"/>
                <w:highlight w:val="none"/>
                <w:lang w:val="en-US" w:eastAsia="zh-CN"/>
              </w:rPr>
              <w:t>7401.66亩</w:t>
            </w:r>
            <w:r>
              <w:rPr>
                <w:rFonts w:hint="default" w:ascii="Times New Roman" w:hAnsi="Times New Roman" w:eastAsia="宋体" w:cs="Times New Roman"/>
                <w:color w:val="auto"/>
                <w:highlight w:val="none"/>
                <w:lang w:val="en-GB"/>
              </w:rPr>
              <w:t>，建设单位已</w:t>
            </w:r>
            <w:r>
              <w:rPr>
                <w:rFonts w:hint="default" w:ascii="Times New Roman" w:hAnsi="Times New Roman" w:eastAsia="宋体" w:cs="Times New Roman"/>
                <w:color w:val="auto"/>
                <w:highlight w:val="none"/>
                <w:lang w:val="en-US" w:eastAsia="zh-CN"/>
              </w:rPr>
              <w:t>与</w:t>
            </w:r>
            <w:r>
              <w:rPr>
                <w:rFonts w:hint="default" w:ascii="Times New Roman" w:hAnsi="Times New Roman" w:eastAsia="宋体" w:cs="Times New Roman"/>
                <w:color w:val="auto"/>
                <w:highlight w:val="none"/>
                <w:lang w:val="en-GB" w:eastAsia="zh-CN"/>
              </w:rPr>
              <w:t>孙吴县建设现代农机专业合作社</w:t>
            </w:r>
            <w:r>
              <w:rPr>
                <w:rFonts w:hint="default" w:ascii="Times New Roman" w:hAnsi="Times New Roman" w:eastAsia="宋体" w:cs="Times New Roman"/>
                <w:color w:val="auto"/>
                <w:highlight w:val="none"/>
                <w:lang w:val="en-US" w:eastAsia="zh-CN"/>
              </w:rPr>
              <w:t>签订</w:t>
            </w:r>
            <w:r>
              <w:rPr>
                <w:rFonts w:hint="default" w:ascii="Times New Roman" w:hAnsi="Times New Roman" w:eastAsia="宋体" w:cs="Times New Roman"/>
                <w:color w:val="auto"/>
                <w:highlight w:val="none"/>
                <w:lang w:val="en-GB"/>
              </w:rPr>
              <w:t>协议（见附件</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lang w:val="en-GB"/>
              </w:rPr>
              <w:t>），提供</w:t>
            </w:r>
            <w:r>
              <w:rPr>
                <w:rFonts w:hint="default" w:ascii="Times New Roman" w:hAnsi="Times New Roman" w:eastAsia="宋体" w:cs="Times New Roman"/>
                <w:color w:val="auto"/>
                <w:highlight w:val="none"/>
                <w:lang w:val="en-GB" w:eastAsia="zh-CN"/>
              </w:rPr>
              <w:t>1</w:t>
            </w:r>
            <w:r>
              <w:rPr>
                <w:rFonts w:hint="eastAsia" w:eastAsia="宋体" w:cs="Times New Roman"/>
                <w:color w:val="auto"/>
                <w:highlight w:val="none"/>
                <w:lang w:val="en-US" w:eastAsia="zh-CN"/>
              </w:rPr>
              <w:t>0000</w:t>
            </w:r>
            <w:r>
              <w:rPr>
                <w:rFonts w:hint="default" w:ascii="Times New Roman" w:hAnsi="Times New Roman" w:eastAsia="宋体" w:cs="Times New Roman"/>
                <w:color w:val="auto"/>
                <w:highlight w:val="none"/>
                <w:lang w:val="en-GB"/>
              </w:rPr>
              <w:t>亩土地供本项目还田使用，</w:t>
            </w:r>
            <w:r>
              <w:rPr>
                <w:rFonts w:hint="default" w:ascii="Times New Roman" w:hAnsi="Times New Roman" w:eastAsia="宋体" w:cs="Times New Roman"/>
                <w:color w:val="auto"/>
                <w:highlight w:val="none"/>
                <w:lang w:val="en-GB" w:eastAsia="zh-CN"/>
              </w:rPr>
              <w:t>孙吴县建设现代农机专业合作社</w:t>
            </w:r>
            <w:r>
              <w:rPr>
                <w:rFonts w:hint="default" w:ascii="Times New Roman" w:hAnsi="Times New Roman" w:eastAsia="宋体" w:cs="Times New Roman"/>
                <w:color w:val="auto"/>
                <w:highlight w:val="none"/>
                <w:lang w:val="en-GB"/>
              </w:rPr>
              <w:t>能够满足土地消纳要求。</w:t>
            </w:r>
          </w:p>
        </w:tc>
        <w:tc>
          <w:tcPr>
            <w:tcW w:w="657" w:type="dxa"/>
            <w:vAlign w:val="center"/>
          </w:tcPr>
          <w:p w14:paraId="69EF57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597E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0ED9AD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51" w:type="dxa"/>
            <w:vAlign w:val="center"/>
          </w:tcPr>
          <w:p w14:paraId="08FACB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加快畜牧业转型升级</w:t>
            </w:r>
          </w:p>
        </w:tc>
        <w:tc>
          <w:tcPr>
            <w:tcW w:w="2977" w:type="dxa"/>
            <w:vAlign w:val="center"/>
          </w:tcPr>
          <w:p w14:paraId="7643D07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力发展标准化规模养殖，建设自动喂料、自动饮水、环境控制等现代化装备，推广节水、节料等清洁养殖工艺和干清粪、微生物发酵等实用技术，实现源头减量。加强规模养殖场精细化管理，推行标准化、规范化饲养，推广散装饲料和精准配方，提高饲料转化效率。加快畜禽品种遗传改良进程，提升母畜繁殖性能，提高综合生产能力。落实畜禽疫病综合防控措施，降低发病率和死亡率。以畜牧大县为重点，支持规模养殖场圈舍标准化改造和设备更新，配套建设粪污资源化利用设施。以生态养殖场为重点，继续开展畜禽养殖标准化示范创建。</w:t>
            </w:r>
          </w:p>
        </w:tc>
        <w:tc>
          <w:tcPr>
            <w:tcW w:w="3260" w:type="dxa"/>
            <w:vMerge w:val="restart"/>
            <w:vAlign w:val="center"/>
          </w:tcPr>
          <w:p w14:paraId="5E0E76B5">
            <w:pPr>
              <w:pStyle w:val="146"/>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rPr>
              <w:t>实现粪污资源化利用，保证防止污染水环境。合理配合日粮和使用添加剂以减少有害气体的排放量。降低粪尿中有害气体的产生量。</w:t>
            </w:r>
          </w:p>
        </w:tc>
        <w:tc>
          <w:tcPr>
            <w:tcW w:w="657" w:type="dxa"/>
            <w:vMerge w:val="restart"/>
            <w:vAlign w:val="center"/>
          </w:tcPr>
          <w:p w14:paraId="23715A7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714B7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373D9C9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51" w:type="dxa"/>
            <w:vAlign w:val="center"/>
          </w:tcPr>
          <w:p w14:paraId="41F4C916">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加强科技及装备支撑</w:t>
            </w:r>
          </w:p>
        </w:tc>
        <w:tc>
          <w:tcPr>
            <w:tcW w:w="2977" w:type="dxa"/>
            <w:vAlign w:val="center"/>
          </w:tcPr>
          <w:p w14:paraId="6E82C9B4">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Style w:val="145"/>
                <w:rFonts w:hint="default" w:ascii="Times New Roman" w:hAnsi="Times New Roman" w:eastAsia="宋体" w:cs="Times New Roman"/>
                <w:color w:val="auto"/>
                <w:highlight w:val="none"/>
              </w:rPr>
              <w:t>组织开展畜禽粪污资源化利用先进工艺、技术和装备研发，制修订相关标准，提高资源转化利用效率。开发安全、高效、环保新型饲料产品，引导矿物元素类饲料添加剂减量使用。加强畜禽粪污资源化利用技术集成，根据不同资源条件、不同畜种、不同规模，推广粪污全量收集还田利用、专业化能源利用、固体粪便肥料化利用、异位发酵床、粪便垫料回用、污水肥料化利用、污水达标排放等经济实用技术模式。集成推广应用有机肥、水肥一体化等关键技术。以畜牧大县为重点，加大技术培训力度，加强示范引领，提升养殖场粪污资源化利用水平</w:t>
            </w:r>
            <w:r>
              <w:rPr>
                <w:rFonts w:hint="default" w:ascii="Times New Roman" w:hAnsi="Times New Roman" w:eastAsia="宋体" w:cs="Times New Roman"/>
                <w:color w:val="auto"/>
                <w:kern w:val="0"/>
                <w:sz w:val="21"/>
                <w:szCs w:val="21"/>
                <w:highlight w:val="none"/>
              </w:rPr>
              <w:t>。</w:t>
            </w:r>
          </w:p>
        </w:tc>
        <w:tc>
          <w:tcPr>
            <w:tcW w:w="3260" w:type="dxa"/>
            <w:vMerge w:val="continue"/>
            <w:vAlign w:val="center"/>
          </w:tcPr>
          <w:p w14:paraId="17A987C7">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657" w:type="dxa"/>
            <w:vMerge w:val="continue"/>
            <w:vAlign w:val="center"/>
          </w:tcPr>
          <w:p w14:paraId="6B0C0622">
            <w:pPr>
              <w:pStyle w:val="146"/>
              <w:rPr>
                <w:rFonts w:hint="default" w:ascii="Times New Roman" w:hAnsi="Times New Roman" w:eastAsia="宋体" w:cs="Times New Roman"/>
                <w:color w:val="auto"/>
                <w:highlight w:val="none"/>
              </w:rPr>
            </w:pPr>
          </w:p>
        </w:tc>
      </w:tr>
    </w:tbl>
    <w:p w14:paraId="6B01D64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根据上表，本项目与《国务院办公厅关于加快推进畜禽养殖废弃物资源化利用的意见》（国办发[2017]48号）相符合。</w:t>
      </w:r>
    </w:p>
    <w:p w14:paraId="4EC2DCD1">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6</w:t>
      </w:r>
      <w:r>
        <w:rPr>
          <w:rFonts w:hint="default" w:ascii="Times New Roman" w:hAnsi="Times New Roman" w:cs="Times New Roman"/>
          <w:color w:val="auto"/>
          <w:highlight w:val="none"/>
        </w:rPr>
        <w:t>与《农业农村部办公厅生态环境部办公厅关于进一步明确畜禽粪污还田利用要求强化养殖污染监管的通知》（农办牧[2020]23号）</w:t>
      </w:r>
    </w:p>
    <w:p w14:paraId="6D99D034">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本项目与《农业农村部办公厅生态环境部办公厅关于进一步明确畜禽粪污还田利用要求强化养殖污染监管的通知》（农办牧[2020]23号）符合性分析见下表。</w:t>
      </w:r>
    </w:p>
    <w:p w14:paraId="7116694C">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表1-4-5与《农业农村部办公厅生态环境部办公厅关于进一步明确畜禽粪污还田利用要求强化养殖污染监管的通知》（农办牧[2020]23号）符合性分析</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4250"/>
        <w:gridCol w:w="2691"/>
        <w:gridCol w:w="799"/>
      </w:tblGrid>
      <w:tr w14:paraId="7D5FD9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309AEF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253" w:type="dxa"/>
            <w:vAlign w:val="center"/>
          </w:tcPr>
          <w:p w14:paraId="55DB3A7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《农业农村部办公厅生态环境部办公厅关于进一步明确畜禽粪污还田利用要求强化养殖污染监管的通知》（农办牧[2020]23号）</w:t>
            </w:r>
          </w:p>
        </w:tc>
        <w:tc>
          <w:tcPr>
            <w:tcW w:w="2693" w:type="dxa"/>
            <w:vAlign w:val="center"/>
          </w:tcPr>
          <w:p w14:paraId="0852155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2D37081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155C91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7C6159A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4253" w:type="dxa"/>
            <w:vAlign w:val="center"/>
          </w:tcPr>
          <w:p w14:paraId="0B9BBD1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鼓励畜禽粪污还田利用。国家支持畜禽养殖场户建设畜禽粪污无害化处理和资源化利用设施，鼓励采取粪肥还田、制取沼气、生产有机肥等方式进行资源化利用。</w:t>
            </w:r>
          </w:p>
        </w:tc>
        <w:tc>
          <w:tcPr>
            <w:tcW w:w="2693" w:type="dxa"/>
            <w:vAlign w:val="center"/>
          </w:tcPr>
          <w:p w14:paraId="29CC332F">
            <w:pPr>
              <w:pStyle w:val="146"/>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rPr>
              <w:t>实现粪污资源化利用。</w:t>
            </w:r>
          </w:p>
        </w:tc>
        <w:tc>
          <w:tcPr>
            <w:tcW w:w="799" w:type="dxa"/>
            <w:vAlign w:val="center"/>
          </w:tcPr>
          <w:p w14:paraId="0D21124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304449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67" w:type="dxa"/>
            <w:vAlign w:val="center"/>
          </w:tcPr>
          <w:p w14:paraId="1AE581C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4253" w:type="dxa"/>
            <w:vAlign w:val="center"/>
          </w:tcPr>
          <w:p w14:paraId="30A4A59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明确还田利用标准规范。畜禽粪污的处理应根据排放去向或利用方式的不同执行相应的标准规范。对配套土地充足的养殖场户，粪污经无害化处理后还田利用具体要求及限量应符合《畜禽粪便无害化处理技术规范》（GB/T36195）和《畜禽粪便还田技术规范》（GB/T25246），配套土地面积应达到《畜禽粪污土地承载力测算技术指南》（以下简称《指南》）要求的最小面积。</w:t>
            </w:r>
          </w:p>
        </w:tc>
        <w:tc>
          <w:tcPr>
            <w:tcW w:w="2693" w:type="dxa"/>
            <w:vAlign w:val="center"/>
          </w:tcPr>
          <w:p w14:paraId="572AAB39">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Style w:val="145"/>
                <w:rFonts w:hint="default" w:ascii="Times New Roman" w:hAnsi="Times New Roman" w:eastAsia="宋体" w:cs="Times New Roman"/>
                <w:color w:val="auto"/>
                <w:szCs w:val="21"/>
                <w:highlight w:val="none"/>
              </w:rPr>
              <w:t>本项目</w:t>
            </w:r>
            <w:r>
              <w:rPr>
                <w:rStyle w:val="145"/>
                <w:rFonts w:hint="eastAsia" w:ascii="Times New Roman" w:hAnsi="Times New Roman" w:eastAsia="宋体" w:cs="Times New Roman"/>
                <w:color w:val="auto"/>
                <w:szCs w:val="21"/>
                <w:highlight w:val="none"/>
                <w:lang w:val="en-US" w:eastAsia="zh-CN"/>
              </w:rPr>
              <w:t>有机垫料</w:t>
            </w:r>
            <w:r>
              <w:rPr>
                <w:rStyle w:val="145"/>
                <w:rFonts w:hint="default" w:ascii="Times New Roman" w:hAnsi="Times New Roman" w:eastAsia="宋体" w:cs="Times New Roman"/>
                <w:color w:val="auto"/>
                <w:szCs w:val="21"/>
                <w:highlight w:val="none"/>
                <w:lang w:val="en-GB"/>
              </w:rPr>
              <w:t>处理后定期还田，本项目粪污配套消纳土地最小面积为</w:t>
            </w:r>
            <w:r>
              <w:rPr>
                <w:rStyle w:val="145"/>
                <w:rFonts w:hint="eastAsia" w:cs="Times New Roman"/>
                <w:color w:val="auto"/>
                <w:szCs w:val="21"/>
                <w:highlight w:val="none"/>
                <w:lang w:val="en-US" w:eastAsia="zh-CN"/>
              </w:rPr>
              <w:t>7401.66亩</w:t>
            </w:r>
            <w:r>
              <w:rPr>
                <w:rStyle w:val="145"/>
                <w:rFonts w:hint="default" w:ascii="Times New Roman" w:hAnsi="Times New Roman" w:eastAsia="宋体" w:cs="Times New Roman"/>
                <w:color w:val="auto"/>
                <w:szCs w:val="21"/>
                <w:highlight w:val="none"/>
                <w:lang w:val="en-GB"/>
              </w:rPr>
              <w:t>，建设单位已</w:t>
            </w:r>
            <w:r>
              <w:rPr>
                <w:rStyle w:val="145"/>
                <w:rFonts w:hint="default" w:ascii="Times New Roman" w:hAnsi="Times New Roman" w:eastAsia="宋体" w:cs="Times New Roman"/>
                <w:color w:val="auto"/>
                <w:szCs w:val="21"/>
                <w:highlight w:val="none"/>
                <w:lang w:val="en-US" w:eastAsia="zh-CN"/>
              </w:rPr>
              <w:t>与</w:t>
            </w:r>
            <w:r>
              <w:rPr>
                <w:rStyle w:val="145"/>
                <w:rFonts w:hint="default" w:ascii="Times New Roman" w:hAnsi="Times New Roman" w:eastAsia="宋体" w:cs="Times New Roman"/>
                <w:color w:val="auto"/>
                <w:szCs w:val="21"/>
                <w:highlight w:val="none"/>
                <w:lang w:val="en-GB" w:eastAsia="zh-CN"/>
              </w:rPr>
              <w:t>孙吴县建设现代农机专业合作社</w:t>
            </w:r>
            <w:r>
              <w:rPr>
                <w:rStyle w:val="145"/>
                <w:rFonts w:hint="default" w:ascii="Times New Roman" w:hAnsi="Times New Roman" w:eastAsia="宋体" w:cs="Times New Roman"/>
                <w:color w:val="auto"/>
                <w:szCs w:val="21"/>
                <w:highlight w:val="none"/>
                <w:lang w:val="en-US" w:eastAsia="zh-CN"/>
              </w:rPr>
              <w:t>签订</w:t>
            </w:r>
            <w:r>
              <w:rPr>
                <w:rStyle w:val="145"/>
                <w:rFonts w:hint="default" w:ascii="Times New Roman" w:hAnsi="Times New Roman" w:eastAsia="宋体" w:cs="Times New Roman"/>
                <w:color w:val="auto"/>
                <w:szCs w:val="21"/>
                <w:highlight w:val="none"/>
                <w:lang w:val="en-GB"/>
              </w:rPr>
              <w:t>协议（见附件</w:t>
            </w:r>
            <w:r>
              <w:rPr>
                <w:rStyle w:val="145"/>
                <w:rFonts w:hint="eastAsia" w:cs="Times New Roman"/>
                <w:color w:val="auto"/>
                <w:szCs w:val="21"/>
                <w:highlight w:val="none"/>
                <w:lang w:val="en-US" w:eastAsia="zh-CN"/>
              </w:rPr>
              <w:t>4</w:t>
            </w:r>
            <w:r>
              <w:rPr>
                <w:rStyle w:val="145"/>
                <w:rFonts w:hint="default" w:ascii="Times New Roman" w:hAnsi="Times New Roman" w:eastAsia="宋体" w:cs="Times New Roman"/>
                <w:color w:val="auto"/>
                <w:szCs w:val="21"/>
                <w:highlight w:val="none"/>
                <w:lang w:val="en-GB"/>
              </w:rPr>
              <w:t>），提供</w:t>
            </w:r>
            <w:r>
              <w:rPr>
                <w:rStyle w:val="145"/>
                <w:rFonts w:hint="default" w:ascii="Times New Roman" w:hAnsi="Times New Roman" w:eastAsia="宋体" w:cs="Times New Roman"/>
                <w:color w:val="auto"/>
                <w:szCs w:val="21"/>
                <w:highlight w:val="none"/>
                <w:lang w:val="en-GB" w:eastAsia="zh-CN"/>
              </w:rPr>
              <w:t>1</w:t>
            </w:r>
            <w:r>
              <w:rPr>
                <w:rStyle w:val="145"/>
                <w:rFonts w:hint="eastAsia" w:ascii="Times New Roman" w:hAnsi="Times New Roman" w:eastAsia="宋体" w:cs="Times New Roman"/>
                <w:color w:val="auto"/>
                <w:szCs w:val="21"/>
                <w:highlight w:val="none"/>
                <w:lang w:val="en-US" w:eastAsia="zh-CN"/>
              </w:rPr>
              <w:t>0000</w:t>
            </w:r>
            <w:r>
              <w:rPr>
                <w:rStyle w:val="145"/>
                <w:rFonts w:hint="default" w:ascii="Times New Roman" w:hAnsi="Times New Roman" w:eastAsia="宋体" w:cs="Times New Roman"/>
                <w:color w:val="auto"/>
                <w:szCs w:val="21"/>
                <w:highlight w:val="none"/>
                <w:lang w:val="en-GB"/>
              </w:rPr>
              <w:t>亩土地供本项目还田使用，</w:t>
            </w:r>
            <w:r>
              <w:rPr>
                <w:rStyle w:val="145"/>
                <w:rFonts w:hint="default" w:ascii="Times New Roman" w:hAnsi="Times New Roman" w:eastAsia="宋体" w:cs="Times New Roman"/>
                <w:color w:val="auto"/>
                <w:szCs w:val="21"/>
                <w:highlight w:val="none"/>
                <w:lang w:val="en-GB" w:eastAsia="zh-CN"/>
              </w:rPr>
              <w:t>孙吴县建设现代农机专业合作社</w:t>
            </w:r>
            <w:r>
              <w:rPr>
                <w:rStyle w:val="145"/>
                <w:rFonts w:hint="default" w:ascii="Times New Roman" w:hAnsi="Times New Roman" w:eastAsia="宋体" w:cs="Times New Roman"/>
                <w:color w:val="auto"/>
                <w:szCs w:val="21"/>
                <w:highlight w:val="none"/>
                <w:lang w:val="en-GB"/>
              </w:rPr>
              <w:t>能够满足土地消纳要求。</w:t>
            </w:r>
          </w:p>
        </w:tc>
        <w:tc>
          <w:tcPr>
            <w:tcW w:w="799" w:type="dxa"/>
            <w:vAlign w:val="center"/>
          </w:tcPr>
          <w:p w14:paraId="36B94A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3A68CA9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根据上表，本项目与《农业农村部办公厅生态环境部办公厅关于进一步明确畜禽粪污还田利用要求强化养殖污染监管的通知》（农办牧[2020]23号）相符合。</w:t>
      </w:r>
    </w:p>
    <w:p w14:paraId="77972F16">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7</w:t>
      </w:r>
      <w:r>
        <w:rPr>
          <w:rFonts w:hint="default" w:ascii="Times New Roman" w:hAnsi="Times New Roman" w:cs="Times New Roman"/>
          <w:color w:val="auto"/>
          <w:highlight w:val="none"/>
        </w:rPr>
        <w:t>与《农业部关于加快推进畜禽标准化规模养殖的意见》（农牧发[2010]6号）符合性分析</w:t>
      </w:r>
    </w:p>
    <w:p w14:paraId="2BC8992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农业部关于加快推进畜禽标准化规模养殖的意见》（农牧发[2010]6号）：各地要坚持一手抓畜牧业发展，一手抓畜禽养殖污染防治，正确处理好发展和环境保护的关系。抓紧出台畜禽养殖废弃物综合防治规划，突出减量化、无害化和资源化的原则，把畜禽养殖废弃物防治作为标准化规模养殖的重要内容，总结推广养殖废弃物综合防治和资源化利用的有效模式。要结合各地实际情况，采取不同处理工艺，对养殖场实施干清粪、雨污分流改造，从源头上减少污水产生量；对于具备粪污消纳能力的畜禽养殖区域，按照生态农业理念统一筹划，以综合利用为主，推广种养结合生态模式，实现粪污资源化利用，发展循环农业；对于畜禽规模养殖相对集中的地区，可规划建设畜禽粪便处理中心（厂），生产有机肥料，变废为宝；对于粪污量大而周边耕地面积少，土地消纳能力有限的畜禽养殖场，采取工业化处理实现达标排放。各地在抓好畜禽粪污治理的同时，要按有关规定做好病死动物的无害化处理。</w:t>
      </w:r>
    </w:p>
    <w:p w14:paraId="3FF25FE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牛舍内的牛粪采用畜禽养殖生物发酵床技术，</w:t>
      </w:r>
      <w:r>
        <w:rPr>
          <w:rFonts w:hint="eastAsia" w:ascii="Times New Roman" w:hAnsi="Times New Roman" w:eastAsia="宋体" w:cs="Times New Roman"/>
          <w:color w:val="auto"/>
          <w:highlight w:val="none"/>
        </w:rPr>
        <w:t>生物发酵床技术是按一定比例将发酵菌种与秸秆、锯末、稻壳以及辅助材料等混合，通过发酵形成有机垫料，将有机垫料置于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实现粪污资源化利用，保证防止污染水环境。</w:t>
      </w:r>
    </w:p>
    <w:p w14:paraId="0AED9A5B">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牛舍内的牛粪采用畜禽养殖生物发酵床技术，</w:t>
      </w:r>
      <w:r>
        <w:rPr>
          <w:rFonts w:hint="eastAsia" w:ascii="Times New Roman" w:hAnsi="Times New Roman" w:eastAsia="宋体" w:cs="Times New Roman"/>
          <w:color w:val="auto"/>
          <w:highlight w:val="none"/>
        </w:rPr>
        <w:t>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除臭剂、绿化措施以降低恶臭污染的影响。臭气浓度满足《畜禽养殖业污染物排放标准》（GB18596-2001）中表7标准，硫化氢、氨在场界浓度满足《恶臭污染物排放标准》（GB14554-93）表1中二级新扩改建标准。本项目</w:t>
      </w:r>
      <w:r>
        <w:rPr>
          <w:rFonts w:hint="eastAsia" w:eastAsia="宋体" w:cs="Times New Roman"/>
          <w:color w:val="auto"/>
          <w:highlight w:val="none"/>
          <w:lang w:val="en-US" w:eastAsia="zh-CN"/>
        </w:rPr>
        <w:t>堆肥间采取废气收集装置（收集效率95%）经活性炭吸附（去除效率90%）后通过15m高排气筒（DA001）排放。满足</w:t>
      </w:r>
      <w:r>
        <w:rPr>
          <w:rFonts w:hint="default" w:ascii="Times New Roman" w:hAnsi="Times New Roman" w:eastAsia="宋体" w:cs="Times New Roman"/>
          <w:color w:val="auto"/>
          <w:highlight w:val="none"/>
        </w:rPr>
        <w:t>《恶臭污染物排放标准》（GB14553-93）中表2标准值要求</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堆肥间恶臭气体</w:t>
      </w:r>
      <w:r>
        <w:rPr>
          <w:rFonts w:hint="eastAsia" w:eastAsia="宋体" w:cs="Times New Roman"/>
          <w:color w:val="auto"/>
          <w:highlight w:val="none"/>
          <w:lang w:val="en-US" w:eastAsia="zh-CN"/>
        </w:rPr>
        <w:t>采用</w:t>
      </w:r>
      <w:r>
        <w:rPr>
          <w:rFonts w:hint="default" w:ascii="Times New Roman" w:hAnsi="Times New Roman" w:eastAsia="宋体" w:cs="Times New Roman"/>
          <w:color w:val="auto"/>
          <w:highlight w:val="none"/>
        </w:rPr>
        <w:t>堆肥生物基除臭技术</w:t>
      </w:r>
      <w:r>
        <w:rPr>
          <w:rFonts w:hint="eastAsia" w:eastAsia="宋体" w:cs="Times New Roman"/>
          <w:color w:val="auto"/>
          <w:highlight w:val="none"/>
          <w:lang w:eastAsia="zh-CN"/>
        </w:rPr>
        <w:t>，</w:t>
      </w:r>
      <w:r>
        <w:rPr>
          <w:rFonts w:hint="eastAsia" w:eastAsia="宋体" w:cs="Times New Roman"/>
          <w:color w:val="auto"/>
          <w:highlight w:val="none"/>
          <w:lang w:val="en-US" w:eastAsia="zh-CN"/>
        </w:rPr>
        <w:t>使用后的生物发酵床有机垫料运送至堆肥间后采取</w:t>
      </w:r>
      <w:r>
        <w:rPr>
          <w:rFonts w:hint="default" w:ascii="Times New Roman" w:hAnsi="Times New Roman" w:eastAsia="宋体" w:cs="Times New Roman"/>
          <w:color w:val="auto"/>
          <w:highlight w:val="none"/>
        </w:rPr>
        <w:t>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w:t>
      </w:r>
      <w:r>
        <w:rPr>
          <w:rFonts w:ascii="宋体" w:hAnsi="宋体" w:eastAsia="宋体" w:cs="宋体"/>
          <w:color w:val="auto"/>
          <w:sz w:val="24"/>
          <w:szCs w:val="24"/>
          <w:highlight w:val="none"/>
        </w:rPr>
        <w:t>复合生物除臭菌粉</w:t>
      </w:r>
      <w:r>
        <w:rPr>
          <w:rFonts w:hint="eastAsia" w:ascii="宋体" w:hAnsi="宋体" w:eastAsia="宋体" w:cs="宋体"/>
          <w:color w:val="auto"/>
          <w:sz w:val="24"/>
          <w:szCs w:val="24"/>
          <w:highlight w:val="none"/>
          <w:lang w:val="en-US" w:eastAsia="zh-CN"/>
        </w:rPr>
        <w:t>以及</w:t>
      </w:r>
      <w:r>
        <w:rPr>
          <w:rFonts w:hint="default" w:ascii="Times New Roman" w:hAnsi="Times New Roman" w:eastAsia="宋体" w:cs="Times New Roman"/>
          <w:color w:val="auto"/>
          <w:highlight w:val="none"/>
        </w:rPr>
        <w:t>绿化措施以降低恶臭污染的影响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臭气浓度满足《畜禽养殖业污染物排放标准》（GB18596-2001）中表7标准，硫化氢、氨在场界浓度满足《恶臭污染物排放标准》（GB14554-93）表1中二级新扩改建标准。本项目病死牛尸体委托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进行无害化处理，防止了人畜共患疫病影响。本项目与《农业部关于加快推进畜禽标准化规模养殖的意见》（农牧发[2010]6号）相符合。</w:t>
      </w:r>
    </w:p>
    <w:p w14:paraId="48324E9F">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8</w:t>
      </w:r>
      <w:r>
        <w:rPr>
          <w:rFonts w:hint="default" w:ascii="Times New Roman" w:hAnsi="Times New Roman" w:cs="Times New Roman"/>
          <w:color w:val="auto"/>
          <w:highlight w:val="none"/>
        </w:rPr>
        <w:t>与《畜禽养殖场（户）粪污处理设施建设技术指南》（农办牧[2022]19号）符合性分析</w:t>
      </w:r>
    </w:p>
    <w:p w14:paraId="19D5A1E8">
      <w:pPr>
        <w:pStyle w:val="210"/>
        <w:jc w:val="both"/>
        <w:rPr>
          <w:rFonts w:hint="default" w:ascii="Times New Roman" w:hAnsi="Times New Roman" w:cs="Times New Roman"/>
          <w:color w:val="auto"/>
          <w:highlight w:val="none"/>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26" w:charSpace="0"/>
        </w:sectPr>
      </w:pPr>
    </w:p>
    <w:p w14:paraId="08E543C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表1-4-6与《畜禽养殖场（户）粪污处理设施建设技术指南》符合性分析一览表</w:t>
      </w:r>
    </w:p>
    <w:tbl>
      <w:tblPr>
        <w:tblStyle w:val="4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707"/>
        <w:gridCol w:w="6667"/>
        <w:gridCol w:w="4680"/>
        <w:gridCol w:w="620"/>
      </w:tblGrid>
      <w:tr w14:paraId="66E7AC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213" w:type="pct"/>
            <w:vAlign w:val="center"/>
          </w:tcPr>
          <w:p w14:paraId="7CDF50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784" w:type="pct"/>
            <w:gridSpan w:val="2"/>
            <w:vAlign w:val="center"/>
          </w:tcPr>
          <w:p w14:paraId="39162E6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《畜禽养殖场（户）粪污处理设施建设技术指南》（农办牧[2022]19号）</w:t>
            </w:r>
          </w:p>
        </w:tc>
        <w:tc>
          <w:tcPr>
            <w:tcW w:w="1767" w:type="pct"/>
            <w:vAlign w:val="center"/>
          </w:tcPr>
          <w:p w14:paraId="58AA5E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234" w:type="pct"/>
            <w:vAlign w:val="center"/>
          </w:tcPr>
          <w:p w14:paraId="5F35F5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13AD9C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08EBD3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67" w:type="pct"/>
            <w:vAlign w:val="center"/>
          </w:tcPr>
          <w:p w14:paraId="4D8A23B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设施设备总体要求</w:t>
            </w:r>
          </w:p>
        </w:tc>
        <w:tc>
          <w:tcPr>
            <w:tcW w:w="2517" w:type="pct"/>
            <w:vAlign w:val="center"/>
          </w:tcPr>
          <w:p w14:paraId="18241AF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应根据养殖污染防治要求和当地环境承载力，配备与设计生产能力、粪污处理利用方式相匹配的畜禽粪污处理设施设备，满足防雨、防渗、防溢流和安全防护要求，并确保正常运行。交由第三方处理机构处理畜禽粪污的，应按照转运时间间隔建设粪污暂存设施。畜禽养殖户应当采取措施，对畜禽粪污进行科学处理，防止污染环境。</w:t>
            </w:r>
          </w:p>
        </w:tc>
        <w:tc>
          <w:tcPr>
            <w:tcW w:w="1767" w:type="pct"/>
            <w:vAlign w:val="center"/>
          </w:tcPr>
          <w:p w14:paraId="1F22CAA6">
            <w:pPr>
              <w:pStyle w:val="146"/>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eastAsia" w:eastAsia="宋体" w:cs="Times New Roman"/>
                <w:color w:val="auto"/>
                <w:highlight w:val="none"/>
                <w:lang w:val="en-US" w:eastAsia="zh-CN"/>
              </w:rPr>
              <w:t>无养殖废水产生</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r>
              <w:rPr>
                <w:rFonts w:hint="eastAsia" w:eastAsia="宋体" w:cs="Times New Roman"/>
                <w:color w:val="auto"/>
                <w:highlight w:val="none"/>
                <w:lang w:eastAsia="zh-CN"/>
              </w:rPr>
              <w:t>、</w:t>
            </w:r>
            <w:r>
              <w:rPr>
                <w:rFonts w:hint="eastAsia" w:eastAsia="宋体" w:cs="Times New Roman"/>
                <w:color w:val="auto"/>
                <w:highlight w:val="none"/>
                <w:lang w:val="en-US" w:eastAsia="zh-CN"/>
              </w:rPr>
              <w:t>初期雨水池</w:t>
            </w:r>
            <w:r>
              <w:rPr>
                <w:rStyle w:val="145"/>
                <w:rFonts w:hint="default" w:ascii="Times New Roman" w:hAnsi="Times New Roman" w:eastAsia="宋体" w:cs="Times New Roman"/>
                <w:color w:val="auto"/>
                <w:highlight w:val="none"/>
              </w:rPr>
              <w:t>采取</w:t>
            </w:r>
            <w:r>
              <w:rPr>
                <w:rFonts w:hint="default" w:ascii="Times New Roman" w:hAnsi="Times New Roman" w:eastAsia="宋体" w:cs="Times New Roman"/>
                <w:color w:val="auto"/>
                <w:highlight w:val="none"/>
              </w:rPr>
              <w:t>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在构筑物</w:t>
            </w:r>
            <w:r>
              <w:rPr>
                <w:rStyle w:val="145"/>
                <w:rFonts w:hint="default" w:ascii="Times New Roman" w:hAnsi="Times New Roman" w:eastAsia="宋体" w:cs="Times New Roman"/>
                <w:color w:val="auto"/>
                <w:highlight w:val="none"/>
              </w:rPr>
              <w:t>顶部设置</w:t>
            </w:r>
            <w:r>
              <w:rPr>
                <w:rFonts w:hint="default" w:ascii="Times New Roman" w:hAnsi="Times New Roman" w:eastAsia="宋体" w:cs="Times New Roman"/>
                <w:color w:val="auto"/>
                <w:highlight w:val="none"/>
              </w:rPr>
              <w:t>HDPE防渗膜，可以防止降雨（水）进入。</w:t>
            </w:r>
          </w:p>
        </w:tc>
        <w:tc>
          <w:tcPr>
            <w:tcW w:w="234" w:type="pct"/>
            <w:vAlign w:val="center"/>
          </w:tcPr>
          <w:p w14:paraId="6E3313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233C36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1ADF5DD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67" w:type="pct"/>
            <w:vAlign w:val="center"/>
          </w:tcPr>
          <w:p w14:paraId="0EDA20D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圈舍及运动场粪污减量设施</w:t>
            </w:r>
          </w:p>
        </w:tc>
        <w:tc>
          <w:tcPr>
            <w:tcW w:w="2517" w:type="pct"/>
            <w:vAlign w:val="center"/>
          </w:tcPr>
          <w:p w14:paraId="1FAA8DB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宜采用干清粪、水泡粪、地面垫料、床（网）下垫料等清粪工艺，逐步淘汰水冲粪工艺，合理控制清粪环节用水量。新建养殖场采用干清粪工艺的，鼓励进行机械干清粪。鼓励畜禽养殖场采用碗式或液位控制等防溢漏饮水器，减少饮水漏水。新建猪、鸡等养殖场宜采取圈舍封闭半封闭管理，鼓励有条件的现有畜禽养殖场开展圈舍封闭改造，对恶臭气体进行收集处理。</w:t>
            </w:r>
          </w:p>
          <w:p w14:paraId="19E58A8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畜禽养殖场（户）应保持合理的清粪频次，及时收集圈舍和运动场的粪污。鼓励畜禽养殖场做好运动场的防雨、防渗和防溢流，降低环境污染风险。</w:t>
            </w:r>
          </w:p>
        </w:tc>
        <w:tc>
          <w:tcPr>
            <w:tcW w:w="1767" w:type="pct"/>
            <w:vAlign w:val="center"/>
          </w:tcPr>
          <w:p w14:paraId="2CFE19BA">
            <w:pPr>
              <w:pStyle w:val="146"/>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项目</w:t>
            </w:r>
            <w:r>
              <w:rPr>
                <w:rFonts w:hint="eastAsia" w:eastAsia="宋体" w:cs="Times New Roman"/>
                <w:color w:val="auto"/>
                <w:kern w:val="0"/>
                <w:szCs w:val="21"/>
                <w:highlight w:val="none"/>
                <w:lang w:val="en-US" w:eastAsia="zh-CN"/>
              </w:rPr>
              <w:t>清粪方式</w:t>
            </w:r>
            <w:r>
              <w:rPr>
                <w:rFonts w:hint="default" w:ascii="Times New Roman" w:hAnsi="Times New Roman" w:eastAsia="宋体" w:cs="Times New Roman"/>
                <w:color w:val="auto"/>
                <w:kern w:val="0"/>
                <w:szCs w:val="21"/>
                <w:highlight w:val="none"/>
              </w:rPr>
              <w:t>采用</w:t>
            </w:r>
            <w:r>
              <w:rPr>
                <w:rFonts w:hint="default" w:ascii="Times New Roman" w:hAnsi="Times New Roman" w:eastAsia="宋体" w:cs="Times New Roman"/>
                <w:color w:val="auto"/>
                <w:highlight w:val="none"/>
              </w:rPr>
              <w:t>生物发酵床技术。牛舍采取及时</w:t>
            </w:r>
            <w:r>
              <w:rPr>
                <w:rFonts w:hint="eastAsia" w:eastAsia="宋体" w:cs="Times New Roman"/>
                <w:color w:val="auto"/>
                <w:highlight w:val="none"/>
                <w:lang w:val="en-US" w:eastAsia="zh-CN"/>
              </w:rPr>
              <w:t>更换垫料</w:t>
            </w:r>
            <w:r>
              <w:rPr>
                <w:rFonts w:hint="default" w:ascii="Times New Roman" w:hAnsi="Times New Roman" w:eastAsia="宋体" w:cs="Times New Roman"/>
                <w:color w:val="auto"/>
                <w:highlight w:val="none"/>
              </w:rPr>
              <w:t>、保持牛舍清洁、合理调配饲料、饲料中添加EM菌、定期喷洒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除臭剂，减少恶臭无组织逸散，臭气浓度满足《畜禽养殖业污染物排放标准》（GB18596-2001）中表7标准要求</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硫化氢、氨在场界浓度满足《恶臭污染物排放标准》（GB14554-93）表1中二级新扩改建标准</w:t>
            </w:r>
            <w:r>
              <w:rPr>
                <w:rFonts w:hint="eastAsia" w:ascii="Times New Roman" w:hAnsi="Times New Roman" w:eastAsia="宋体" w:cs="Times New Roman"/>
                <w:color w:val="auto"/>
                <w:highlight w:val="none"/>
                <w:lang w:val="en-US" w:eastAsia="zh-CN"/>
              </w:rPr>
              <w:t>要求</w:t>
            </w:r>
            <w:r>
              <w:rPr>
                <w:rFonts w:hint="default" w:ascii="Times New Roman" w:hAnsi="Times New Roman" w:eastAsia="宋体" w:cs="Times New Roman"/>
                <w:color w:val="auto"/>
                <w:highlight w:val="none"/>
              </w:rPr>
              <w:t>。</w:t>
            </w:r>
          </w:p>
        </w:tc>
        <w:tc>
          <w:tcPr>
            <w:tcW w:w="234" w:type="pct"/>
            <w:vAlign w:val="center"/>
          </w:tcPr>
          <w:p w14:paraId="5F73C3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94A12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7B21F7E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67" w:type="pct"/>
            <w:vAlign w:val="center"/>
          </w:tcPr>
          <w:p w14:paraId="4FCBA5A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雨污分流设施</w:t>
            </w:r>
          </w:p>
        </w:tc>
        <w:tc>
          <w:tcPr>
            <w:tcW w:w="2517" w:type="pct"/>
            <w:vAlign w:val="center"/>
          </w:tcPr>
          <w:p w14:paraId="517DDB9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畜禽养殖场（户）应建设雨污分流设施，液体粪污应采用暗沟或管道输送，采取密闭措施，做好安全防护，输送管路要合理设置检查口，检查口应加盖且一般高于地面5厘米以上，防止雨水倒灌。</w:t>
            </w:r>
          </w:p>
        </w:tc>
        <w:tc>
          <w:tcPr>
            <w:tcW w:w="1767" w:type="pct"/>
            <w:vAlign w:val="center"/>
          </w:tcPr>
          <w:p w14:paraId="6EFDFC10">
            <w:pPr>
              <w:pStyle w:val="146"/>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w:t>
            </w:r>
            <w:r>
              <w:rPr>
                <w:rFonts w:hint="eastAsia" w:eastAsia="宋体" w:cs="Times New Roman"/>
                <w:color w:val="auto"/>
                <w:highlight w:val="none"/>
                <w:lang w:val="en-US" w:eastAsia="zh-CN"/>
              </w:rPr>
              <w:t>通过地下敷设暗管</w:t>
            </w:r>
            <w:r>
              <w:rPr>
                <w:rFonts w:hint="default" w:ascii="Times New Roman" w:hAnsi="Times New Roman" w:eastAsia="宋体" w:cs="Times New Roman"/>
                <w:color w:val="auto"/>
                <w:highlight w:val="none"/>
                <w:lang w:val="zh-CN"/>
              </w:rPr>
              <w:t>排入化粪池，定期外运，不外排。</w:t>
            </w:r>
          </w:p>
        </w:tc>
        <w:tc>
          <w:tcPr>
            <w:tcW w:w="234" w:type="pct"/>
            <w:vAlign w:val="center"/>
          </w:tcPr>
          <w:p w14:paraId="7D6DBA1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B320C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60D24E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67" w:type="pct"/>
            <w:vAlign w:val="center"/>
          </w:tcPr>
          <w:p w14:paraId="2FAD45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畜禽粪污暂存设施</w:t>
            </w:r>
          </w:p>
        </w:tc>
        <w:tc>
          <w:tcPr>
            <w:tcW w:w="2517" w:type="pct"/>
            <w:vAlign w:val="center"/>
          </w:tcPr>
          <w:p w14:paraId="5E5D137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暂存周期按转运处理最大时间间隔确定。鼓励采取加盖等措施，减少恶臭气体排放和雨水进入。</w:t>
            </w:r>
          </w:p>
        </w:tc>
        <w:tc>
          <w:tcPr>
            <w:tcW w:w="1767" w:type="pct"/>
            <w:vMerge w:val="restart"/>
            <w:vAlign w:val="center"/>
          </w:tcPr>
          <w:p w14:paraId="42EC52DF">
            <w:pPr>
              <w:pStyle w:val="146"/>
              <w:jc w:val="both"/>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highlight w:val="none"/>
              </w:rPr>
              <w:t>牛舍内的牛粪</w:t>
            </w:r>
            <w:r>
              <w:rPr>
                <w:rFonts w:hint="eastAsia" w:eastAsia="宋体" w:cs="Times New Roman"/>
                <w:color w:val="auto"/>
                <w:highlight w:val="none"/>
                <w:lang w:val="en-US" w:eastAsia="zh-CN"/>
              </w:rPr>
              <w:t>污</w:t>
            </w:r>
            <w:r>
              <w:rPr>
                <w:rFonts w:hint="default" w:ascii="Times New Roman" w:hAnsi="Times New Roman" w:eastAsia="宋体" w:cs="Times New Roman"/>
                <w:color w:val="auto"/>
                <w:highlight w:val="none"/>
              </w:rPr>
              <w:t>采用畜禽养殖生物发酵床技术，</w:t>
            </w:r>
            <w:r>
              <w:rPr>
                <w:rFonts w:hint="eastAsia" w:ascii="Times New Roman" w:hAnsi="Times New Roman" w:eastAsia="宋体" w:cs="Times New Roman"/>
                <w:color w:val="auto"/>
                <w:highlight w:val="none"/>
              </w:rPr>
              <w:t>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w:t>
            </w:r>
            <w:r>
              <w:rPr>
                <w:rFonts w:hint="eastAsia" w:eastAsia="宋体" w:cs="Times New Roman"/>
                <w:color w:val="auto"/>
                <w:highlight w:val="none"/>
                <w:lang w:val="en-US" w:eastAsia="zh-CN"/>
              </w:rPr>
              <w:t>固体肥粪</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无养殖废水产生，年使用垫料2191t，可完全吸收本项目肉牛产生的粪污。</w:t>
            </w:r>
          </w:p>
        </w:tc>
        <w:tc>
          <w:tcPr>
            <w:tcW w:w="234" w:type="pct"/>
            <w:vMerge w:val="restart"/>
            <w:vAlign w:val="center"/>
          </w:tcPr>
          <w:p w14:paraId="268FB4E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D94E5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57ACEF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267" w:type="pct"/>
            <w:vAlign w:val="center"/>
          </w:tcPr>
          <w:p w14:paraId="638F32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液体粪污贮存发酵设施</w:t>
            </w:r>
          </w:p>
        </w:tc>
        <w:tc>
          <w:tcPr>
            <w:tcW w:w="2517" w:type="pct"/>
            <w:vAlign w:val="center"/>
          </w:tcPr>
          <w:p w14:paraId="273885A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通过密闭贮存设施处理液体粪污的，应采用加盖、覆膜等方式，减少恶臭气体排放和雨水进入，同时配套必要的输送、搅拌、气体收集处理或燃烧火炬等设施设备。密闭贮存设施容积不小于单位畜禽液体粪污日产生量（立方米/天·头、只、羽）×贮存周期（天）×设计存栏量（头、只、羽），贮存周期依据当地气候条件与农林作物生产用肥最大间隔期确定，推荐贮存周期最少在90天以上，确保充分发酵腐熟，处理后蛔虫卵、粪大肠杆菌、镉、汞、砷、铅、铬、铊和缩二脲等物质应达到《肥料中有毒有害物质的限量要求》。鼓励有条件的畜禽养殖场建设两个以上密闭贮存设施交替使用。</w:t>
            </w:r>
          </w:p>
        </w:tc>
        <w:tc>
          <w:tcPr>
            <w:tcW w:w="1767" w:type="pct"/>
            <w:vMerge w:val="continue"/>
            <w:vAlign w:val="center"/>
          </w:tcPr>
          <w:p w14:paraId="431605D6">
            <w:pPr>
              <w:pStyle w:val="146"/>
              <w:jc w:val="both"/>
              <w:rPr>
                <w:rFonts w:hint="default" w:ascii="Times New Roman" w:hAnsi="Times New Roman" w:eastAsia="宋体" w:cs="Times New Roman"/>
                <w:color w:val="auto"/>
                <w:kern w:val="0"/>
                <w:szCs w:val="21"/>
                <w:highlight w:val="none"/>
              </w:rPr>
            </w:pPr>
          </w:p>
        </w:tc>
        <w:tc>
          <w:tcPr>
            <w:tcW w:w="234" w:type="pct"/>
            <w:vMerge w:val="continue"/>
            <w:vAlign w:val="center"/>
          </w:tcPr>
          <w:p w14:paraId="3558FE39">
            <w:pPr>
              <w:pStyle w:val="146"/>
              <w:rPr>
                <w:rFonts w:hint="default" w:ascii="Times New Roman" w:hAnsi="Times New Roman" w:eastAsia="宋体" w:cs="Times New Roman"/>
                <w:color w:val="auto"/>
                <w:highlight w:val="none"/>
              </w:rPr>
            </w:pPr>
          </w:p>
        </w:tc>
      </w:tr>
      <w:tr w14:paraId="6C1623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7D33DB1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267" w:type="pct"/>
            <w:vAlign w:val="center"/>
          </w:tcPr>
          <w:p w14:paraId="3B6FAB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液体粪污深度处理设施</w:t>
            </w:r>
          </w:p>
        </w:tc>
        <w:tc>
          <w:tcPr>
            <w:tcW w:w="2517" w:type="pct"/>
            <w:vAlign w:val="center"/>
          </w:tcPr>
          <w:p w14:paraId="5E5B8D5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液分离后的液体粪污进行深度处理的，根据不同工艺可配套集水池、曝气池、沉淀池、高效固液分离机、厌氧反应池、好氧反应池、高效脱氮除磷、膜生物反应器、膜分离浓缩、机械排泥、臭气处理等设施设备，做好防渗、防溢流。处理后排入环境水体的，出水水质不得超过国家或地方规定的水污染物排放标准和重点水污染物排放总量控制指标；排入农田灌溉渠道的，还应保证其下游最近的灌溉取水点水质符合《农田灌溉水质标准》。</w:t>
            </w:r>
          </w:p>
        </w:tc>
        <w:tc>
          <w:tcPr>
            <w:tcW w:w="1767" w:type="pct"/>
            <w:vMerge w:val="continue"/>
            <w:vAlign w:val="center"/>
          </w:tcPr>
          <w:p w14:paraId="538F534D">
            <w:pPr>
              <w:pStyle w:val="146"/>
              <w:jc w:val="both"/>
              <w:rPr>
                <w:rFonts w:hint="default" w:ascii="Times New Roman" w:hAnsi="Times New Roman" w:eastAsia="宋体" w:cs="Times New Roman"/>
                <w:color w:val="auto"/>
                <w:kern w:val="0"/>
                <w:szCs w:val="21"/>
                <w:highlight w:val="none"/>
              </w:rPr>
            </w:pPr>
          </w:p>
        </w:tc>
        <w:tc>
          <w:tcPr>
            <w:tcW w:w="234" w:type="pct"/>
            <w:vMerge w:val="continue"/>
            <w:vAlign w:val="center"/>
          </w:tcPr>
          <w:p w14:paraId="3B952FF6">
            <w:pPr>
              <w:pStyle w:val="146"/>
              <w:rPr>
                <w:rFonts w:hint="default" w:ascii="Times New Roman" w:hAnsi="Times New Roman" w:eastAsia="宋体" w:cs="Times New Roman"/>
                <w:color w:val="auto"/>
                <w:highlight w:val="none"/>
              </w:rPr>
            </w:pPr>
          </w:p>
        </w:tc>
      </w:tr>
      <w:tr w14:paraId="111C58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3" w:type="pct"/>
            <w:vAlign w:val="center"/>
          </w:tcPr>
          <w:p w14:paraId="394C959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267" w:type="pct"/>
            <w:vAlign w:val="center"/>
          </w:tcPr>
          <w:p w14:paraId="70B2D33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固体粪污发酵设施</w:t>
            </w:r>
          </w:p>
        </w:tc>
        <w:tc>
          <w:tcPr>
            <w:tcW w:w="2517" w:type="pct"/>
            <w:vAlign w:val="center"/>
          </w:tcPr>
          <w:p w14:paraId="75CE97A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场（户）可采用堆肥、沤肥、生产垫料等方式处理固体粪污。堆肥宜采用条垛式、强制通风静态垛、槽式、发酵仓、反应器或覆膜堆肥等好氧工艺，根据不同工艺配套必要的混合、输送、搅拌、供氧和除臭等设施设备。沤肥宜采用平地或半坑式糊泥静置等兼氧工艺。生产垫料宜采用密闭式滚筒好氧发酵工艺，配套必要的固液分离、进料、混合、发酵、除臭或智能控制等设施设备，分离出的液体粪污应参照5.5液体粪污贮存发酵设施中的要求进行处理。堆（沤）肥设施发酵容积不小于单位畜禽固体粪污日产生量（立方米/天·头、只、羽）×发酵周期（天）×设计存栏量（头、只、羽），确保充分发酵腐熟，处理后蛔虫卵、粪大肠杆菌、镉、汞、砷、铅、铬、铊和缩二脲等物质应达到《肥料中有毒有害物质的限量要求》。</w:t>
            </w:r>
          </w:p>
        </w:tc>
        <w:tc>
          <w:tcPr>
            <w:tcW w:w="1767" w:type="pct"/>
            <w:vAlign w:val="center"/>
          </w:tcPr>
          <w:p w14:paraId="03D3A12B">
            <w:pPr>
              <w:pStyle w:val="146"/>
              <w:ind w:left="0" w:leftChars="0" w:firstLine="0" w:firstLineChars="0"/>
              <w:jc w:val="both"/>
              <w:rPr>
                <w:rFonts w:hint="default" w:ascii="Times New Roman" w:hAnsi="Times New Roman" w:eastAsia="宋体" w:cs="Times New Roman"/>
                <w:color w:val="auto"/>
                <w:kern w:val="0"/>
                <w:szCs w:val="21"/>
                <w:highlight w:val="none"/>
              </w:rPr>
            </w:pPr>
            <w:r>
              <w:rPr>
                <w:rFonts w:hint="eastAsia" w:eastAsia="宋体" w:cs="Times New Roman"/>
                <w:color w:val="auto"/>
                <w:highlight w:val="none"/>
                <w:lang w:val="en-US" w:eastAsia="zh-CN"/>
              </w:rPr>
              <w:t>吸收牛粪污的废垫料</w:t>
            </w:r>
            <w:r>
              <w:rPr>
                <w:rFonts w:hint="default" w:ascii="Times New Roman" w:hAnsi="Times New Roman" w:eastAsia="宋体" w:cs="Times New Roman"/>
                <w:color w:val="auto"/>
                <w:highlight w:val="none"/>
              </w:rPr>
              <w:t>运至堆肥间</w:t>
            </w:r>
            <w:r>
              <w:rPr>
                <w:rFonts w:hint="default" w:ascii="Times New Roman" w:hAnsi="Times New Roman" w:eastAsia="宋体" w:cs="Times New Roman"/>
                <w:color w:val="auto"/>
                <w:highlight w:val="none"/>
                <w:lang w:val="en-US" w:eastAsia="zh-CN"/>
              </w:rPr>
              <w:t>后</w:t>
            </w:r>
            <w:r>
              <w:rPr>
                <w:rFonts w:hint="default" w:ascii="Times New Roman" w:hAnsi="Times New Roman" w:eastAsia="宋体" w:cs="Times New Roman"/>
                <w:color w:val="auto"/>
                <w:highlight w:val="none"/>
              </w:rPr>
              <w:t>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p>
        </w:tc>
        <w:tc>
          <w:tcPr>
            <w:tcW w:w="234" w:type="pct"/>
            <w:vAlign w:val="center"/>
          </w:tcPr>
          <w:p w14:paraId="3755B8E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576321D7">
      <w:pPr>
        <w:pStyle w:val="67"/>
        <w:ind w:firstLine="480"/>
        <w:rPr>
          <w:rFonts w:hint="default" w:ascii="Times New Roman" w:hAnsi="Times New Roman" w:cs="Times New Roman"/>
          <w:color w:val="auto"/>
          <w:highlight w:val="none"/>
          <w:lang w:val="zh-CN"/>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4D63455C">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9</w:t>
      </w:r>
      <w:r>
        <w:rPr>
          <w:rFonts w:hint="default" w:ascii="Times New Roman" w:hAnsi="Times New Roman" w:cs="Times New Roman"/>
          <w:color w:val="auto"/>
          <w:highlight w:val="none"/>
        </w:rPr>
        <w:t>与《黑龙江省人民政府办公厅印发关于加快畜牧业高质量发展的意见和黑龙江省加快畜牧业高质量发展若干政策措施的通知》（黑政办规[2022]14号）符合性分析</w:t>
      </w:r>
    </w:p>
    <w:p w14:paraId="25CAC04C">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本项目与《黑龙江省人民政府办公厅印发关于加快畜牧业高质量发展的意见和黑龙江省加快畜牧业高质量发展若干政策措施的通知》（黑政办规[2022]14号）符合性分析见下表。</w:t>
      </w:r>
    </w:p>
    <w:p w14:paraId="1E0A0F2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表1-4-7与《黑龙江省人民政府办公厅印发关于加快畜牧业高质量发展的意见和黑龙江省加快畜牧业高质量发展若干政策措施的通知》符合性分析一览表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851"/>
        <w:gridCol w:w="3399"/>
        <w:gridCol w:w="2804"/>
        <w:gridCol w:w="685"/>
      </w:tblGrid>
      <w:tr w14:paraId="7A7C1E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4EECE7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250" w:type="dxa"/>
            <w:gridSpan w:val="2"/>
            <w:vAlign w:val="center"/>
          </w:tcPr>
          <w:p w14:paraId="09FEFB2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《黑龙江省人民政府办公厅印发关于加快畜牧业高质量发展的意见和黑龙江省加快畜牧业高质量发展若干政策措施的通知》（黑政办规[2022]14号）</w:t>
            </w:r>
          </w:p>
        </w:tc>
        <w:tc>
          <w:tcPr>
            <w:tcW w:w="2804" w:type="dxa"/>
            <w:vAlign w:val="center"/>
          </w:tcPr>
          <w:p w14:paraId="18C94BD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685" w:type="dxa"/>
            <w:vAlign w:val="center"/>
          </w:tcPr>
          <w:p w14:paraId="7C261D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294C81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13EA85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51" w:type="dxa"/>
            <w:vAlign w:val="center"/>
          </w:tcPr>
          <w:p w14:paraId="1BA0615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加快优化畜牧业生产结构</w:t>
            </w:r>
          </w:p>
        </w:tc>
        <w:tc>
          <w:tcPr>
            <w:tcW w:w="3399" w:type="dxa"/>
            <w:vAlign w:val="center"/>
          </w:tcPr>
          <w:p w14:paraId="0D93491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稳定生猪生产。落实生猪产能调控制度，实施生猪调出大县奖励政策，强化能繁母猪和优势产能保护，稳定生猪生产长效支持机制，防止生猪产业大幅波动。建设省级生猪生产性能评估中心，支持建设一批现代化核心育种场和商业化种公猪站，实施原种猪引进补助政策，开展生猪良种繁育体系建设，提高良种供应能力和覆盖率。支持“龙头企业+养殖基地”一体化发展模式，提升标准化规模养殖水平，提高抗风险能力和稳产保供能力。</w:t>
            </w:r>
          </w:p>
        </w:tc>
        <w:tc>
          <w:tcPr>
            <w:tcW w:w="2804" w:type="dxa"/>
            <w:vAlign w:val="center"/>
          </w:tcPr>
          <w:p w14:paraId="75F8577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本项目为肉牛养殖场建设项目，建成后年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栏肉牛</w:t>
            </w:r>
            <w:r>
              <w:rPr>
                <w:rFonts w:hint="eastAsia" w:eastAsia="宋体"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将进一步带动屠宰、肉制品加工等产业的发展。</w:t>
            </w:r>
          </w:p>
        </w:tc>
        <w:tc>
          <w:tcPr>
            <w:tcW w:w="685" w:type="dxa"/>
            <w:vAlign w:val="center"/>
          </w:tcPr>
          <w:p w14:paraId="02F108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66F60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5691804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51" w:type="dxa"/>
            <w:vAlign w:val="center"/>
          </w:tcPr>
          <w:p w14:paraId="3A1C0B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加强动物防疫体系建设</w:t>
            </w:r>
          </w:p>
        </w:tc>
        <w:tc>
          <w:tcPr>
            <w:tcW w:w="3399" w:type="dxa"/>
            <w:vAlign w:val="center"/>
          </w:tcPr>
          <w:p w14:paraId="1701813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健全病死畜禽无害化处理体系，完善补助机制，促进病死畜禽及时收集和规范处置。</w:t>
            </w:r>
          </w:p>
        </w:tc>
        <w:tc>
          <w:tcPr>
            <w:tcW w:w="2804" w:type="dxa"/>
            <w:vAlign w:val="center"/>
          </w:tcPr>
          <w:p w14:paraId="3936211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本项目病死牛委托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进行规范处置，防止了人畜共患疫病影响。</w:t>
            </w:r>
          </w:p>
        </w:tc>
        <w:tc>
          <w:tcPr>
            <w:tcW w:w="685" w:type="dxa"/>
            <w:vAlign w:val="center"/>
          </w:tcPr>
          <w:p w14:paraId="321B70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42DDD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5F7970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851" w:type="dxa"/>
            <w:vAlign w:val="center"/>
          </w:tcPr>
          <w:p w14:paraId="3A5D813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持续推进畜牧业绿色循环发展</w:t>
            </w:r>
          </w:p>
        </w:tc>
        <w:tc>
          <w:tcPr>
            <w:tcW w:w="3399" w:type="dxa"/>
            <w:vAlign w:val="center"/>
          </w:tcPr>
          <w:p w14:paraId="362F3D2A">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推进畜禽养殖废弃物资源化利用。支持符合条件的地区全面推进畜禽粪污资源化利用，对标准化规模养殖场粪污处理给予补贴。推广固体粪便堆肥发酵、液体肥料化利用、粪污与作物秸秆菌剂混合发酵成肥及能源化生产天然气技术等多元化利用模式。推进有机肥生产与利用,支持符合条件地区开展粪肥就地消纳、就近还田补奖试点，推动农业“三减”和农牧绿色循环发展。对畜禽粪污全部还田利用的养殖场（户）实行登记管理，不需申领排污许可证。</w:t>
            </w:r>
          </w:p>
        </w:tc>
        <w:tc>
          <w:tcPr>
            <w:tcW w:w="2804" w:type="dxa"/>
            <w:vAlign w:val="center"/>
          </w:tcPr>
          <w:p w14:paraId="169AD511">
            <w:pPr>
              <w:pStyle w:val="146"/>
              <w:ind w:left="0" w:leftChars="0" w:firstLine="0" w:firstLineChars="0"/>
              <w:jc w:val="both"/>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lang w:val="en-US" w:eastAsia="zh-CN"/>
              </w:rPr>
              <w:t>本项目固体粪肥使用喷粪车作为肥料施用于配套消纳地进行施肥，非施肥季节储存于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rPr>
              <w:t>实现粪污资源化利用，保证防止污染水环境。合理配合日粮和使用添加剂以减少有害气体的排放量。降低粪尿中有害气体的产生量。</w:t>
            </w:r>
            <w:r>
              <w:rPr>
                <w:rFonts w:hint="default" w:ascii="Times New Roman" w:hAnsi="Times New Roman" w:eastAsia="宋体" w:cs="Times New Roman"/>
                <w:color w:val="auto"/>
                <w:kern w:val="0"/>
                <w:szCs w:val="21"/>
                <w:highlight w:val="none"/>
              </w:rPr>
              <w:t>防止污染水环境。项目病死牛</w:t>
            </w: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进行规范处置</w:t>
            </w:r>
            <w:r>
              <w:rPr>
                <w:rFonts w:hint="default" w:ascii="Times New Roman" w:hAnsi="Times New Roman" w:eastAsia="宋体" w:cs="Times New Roman"/>
                <w:color w:val="auto"/>
                <w:kern w:val="0"/>
                <w:szCs w:val="21"/>
                <w:highlight w:val="none"/>
              </w:rPr>
              <w:t>，防止了人畜共患疫病影响。</w:t>
            </w:r>
          </w:p>
        </w:tc>
        <w:tc>
          <w:tcPr>
            <w:tcW w:w="685" w:type="dxa"/>
            <w:vAlign w:val="center"/>
          </w:tcPr>
          <w:p w14:paraId="50A723D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4797EA45">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0</w:t>
      </w:r>
      <w:r>
        <w:rPr>
          <w:rFonts w:hint="default" w:ascii="Times New Roman" w:hAnsi="Times New Roman" w:cs="Times New Roman"/>
          <w:color w:val="auto"/>
          <w:highlight w:val="none"/>
        </w:rPr>
        <w:t>与《黑龙江省畜禽养殖废弃物资源化利用工作方案》（黑政办规[2017]77号）符合性分析</w:t>
      </w:r>
    </w:p>
    <w:p w14:paraId="259A1D7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畜禽养殖废弃物资源化利用工作方案》（黑政办规[2017]77号）：依法依规对畜禽规模养殖相关规划开展环境影响评价，规范环境影响评价内容和要求。新（改、扩）建畜禽规模养殖场粪污资源化利用要以还田模式为重点，配套与养殖规模和处理工艺相适应的粪污消纳用地，配备必要的粪污收集、贮存、处理、运输、利用设施，依法进行环境影响评价。严格落实环境保护部《建设项目环境影响评价分类管理目录》有关规定，年出栏生猪5000头（其他畜禽种类折合成猪的养殖规模）及以上、涉及环境敏感区的畜禽养殖项目须编制环境影响报告书，其他的填报环境影响登记表。对未依法进行环境影响评价的畜禽规模养殖场（区），环保部门依法予以处罚。</w:t>
      </w:r>
    </w:p>
    <w:p w14:paraId="5798D65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落实规模养殖场主体责任制度。严格执行《中华人民共和国环境保护法》《畜禽规模养殖污染防治条例》（国务院令第643号）和《黑龙江省水污染防治工作方案》（黑政发[2016]3号）、《黑龙江省土壤污染防治实施方案》（黑政发[2016]46号）等法律法规和规定，切实履行“谁养殖、谁治理”的污染防治主体责任。畜禽养殖场（区）未建设污染防治配套设施，或自行建设的配套设施不合格，或未委托第三方对畜禽养殖废弃物进行无害化处理和综合利用的，不得投入生产或使用。</w:t>
      </w:r>
    </w:p>
    <w:p w14:paraId="7D946A6E">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建设肉牛养殖场，对项目依法进行环境影响评价，根据《建设项目环境影响评价分类管理名录（2021年版）》（生态环境部令第16号）规定，本项目属于“3、牲畜饲养”中“年出栏生猪5000头（其他畜禽种类折合猪的养殖量）及以上的规模化畜禽养殖”，编制环境影响报告书。建设单位严格执行《中华人民共和国环境保护法》《畜禽规模养殖污染防治条例》（国务院令第643号）和《黑龙江省水污染防治工作方案》（黑政发[2016]3号）、《黑龙江省土壤污染防治实施方案》（黑政发[2016]46号）等法律法规和规定，切实履行“谁养殖、谁治理”的污染防治主体责任。本项目符合《黑龙江省畜禽养殖废弃物资源化利用工作方案》（黑政办规[2017]77号）要求。</w:t>
      </w:r>
    </w:p>
    <w:p w14:paraId="09D4031F">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1</w:t>
      </w:r>
      <w:r>
        <w:rPr>
          <w:rFonts w:hint="default" w:ascii="Times New Roman" w:hAnsi="Times New Roman" w:cs="Times New Roman"/>
          <w:color w:val="auto"/>
          <w:highlight w:val="none"/>
        </w:rPr>
        <w:t>与《关于进一步加强规模养殖场废弃物资源化利用和污染防治工作的通知》（黑环发[2018]170号）</w:t>
      </w:r>
    </w:p>
    <w:p w14:paraId="22D477F8">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本项目与《关于进一步加强规模养殖场废弃物资源化利用和污染防治工作的通知》（黑环发[2018]170号）符合性分析见下表。</w:t>
      </w:r>
    </w:p>
    <w:p w14:paraId="7EE16AF5">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表1-4-8与《关于进一步加强规模养殖场废弃物资源化利用和污染防治工作的通知》（黑环发[2018]170号）符合性分析一览表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851"/>
        <w:gridCol w:w="3115"/>
        <w:gridCol w:w="3117"/>
        <w:gridCol w:w="657"/>
      </w:tblGrid>
      <w:tr w14:paraId="62F581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76F3A61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969" w:type="dxa"/>
            <w:gridSpan w:val="2"/>
            <w:vAlign w:val="center"/>
          </w:tcPr>
          <w:p w14:paraId="0D61B41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《关于进一步加强规模养殖场废弃物资源化利用和污染防治工作的通知》（黑环发[2018]170号）</w:t>
            </w:r>
          </w:p>
        </w:tc>
        <w:tc>
          <w:tcPr>
            <w:tcW w:w="3119" w:type="dxa"/>
            <w:vAlign w:val="center"/>
          </w:tcPr>
          <w:p w14:paraId="0117F1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657" w:type="dxa"/>
            <w:vAlign w:val="center"/>
          </w:tcPr>
          <w:p w14:paraId="19BE7D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13E3C1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63016BE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51" w:type="dxa"/>
            <w:vAlign w:val="center"/>
          </w:tcPr>
          <w:p w14:paraId="0F6129C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严把新建项目环境准入关</w:t>
            </w:r>
          </w:p>
        </w:tc>
        <w:tc>
          <w:tcPr>
            <w:tcW w:w="3118" w:type="dxa"/>
            <w:vAlign w:val="center"/>
          </w:tcPr>
          <w:p w14:paraId="7114E48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新建或改扩建畜禽规模养殖场，应当符合畜牧业发展规划、畜禽养殖污染防治规划，并依法进行环境影响评价。环评类别应严格按照《建设项目环境影响评价分类管理目录》规定执行。环评内容要重点论证项目的环境影响和污染防治措施的可操作性、有效性，明确应采取的环保措施，严格控制污染物排放，减缓不利环境影响。</w:t>
            </w:r>
          </w:p>
        </w:tc>
        <w:tc>
          <w:tcPr>
            <w:tcW w:w="3119" w:type="dxa"/>
            <w:vAlign w:val="center"/>
          </w:tcPr>
          <w:p w14:paraId="5FBF842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肉牛养殖场，对项目依法进行环境影响评价，根据《建设项目环境影响评价分类管理名录（2021年版）》（生态环境部令第16号）规定，本项目属于“3、牲畜饲养”中“年出栏生猪5000头（其他畜禽种类折合猪的养殖量）及以上的规模化畜禽养殖”，编制环境影响报告书。本次环评已提出了具有可操作性、有效性的污染防治措施，严格控制污染物排放，减缓不利环境影响。</w:t>
            </w:r>
          </w:p>
        </w:tc>
        <w:tc>
          <w:tcPr>
            <w:tcW w:w="657" w:type="dxa"/>
            <w:vAlign w:val="center"/>
          </w:tcPr>
          <w:p w14:paraId="7BF9F65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CCFA5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240EB21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51" w:type="dxa"/>
            <w:vAlign w:val="center"/>
          </w:tcPr>
          <w:p w14:paraId="4754750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配套建设综合利用和无害化处理设施</w:t>
            </w:r>
          </w:p>
        </w:tc>
        <w:tc>
          <w:tcPr>
            <w:tcW w:w="3118" w:type="dxa"/>
            <w:vAlign w:val="center"/>
          </w:tcPr>
          <w:p w14:paraId="6481597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模养殖场应当根据养殖规模和污染防治需要，建设相适应的畜禽粪便、污水与雨水分流设施，畜禽粪便、污水贮存设施，粪肥厌氧消化和堆沤、有机肥加工、制取沼气、沼渣沼液分离和输送、污水处理、畜禽尸体处理等综合利用无害化处理设施并正常运行。已委托第三方对畜禽养殖废弃物综合利用和无害化处理的场，可以不自行建设综合利用和无害化处理设施。</w:t>
            </w:r>
          </w:p>
        </w:tc>
        <w:tc>
          <w:tcPr>
            <w:tcW w:w="3119" w:type="dxa"/>
            <w:vAlign w:val="center"/>
          </w:tcPr>
          <w:p w14:paraId="7778CC51">
            <w:pPr>
              <w:pStyle w:val="146"/>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eastAsia" w:eastAsia="宋体" w:cs="Times New Roman"/>
                <w:color w:val="auto"/>
                <w:highlight w:val="none"/>
                <w:lang w:val="en-US" w:eastAsia="zh-CN"/>
              </w:rPr>
              <w:t>采用生物垫料技术，使用垫料吸收牛粪便，无养殖废水产生，初期雨水收集沉淀后用于厂区绿化及洒水降尘。</w:t>
            </w:r>
            <w:r>
              <w:rPr>
                <w:rFonts w:hint="default" w:ascii="Times New Roman" w:hAnsi="Times New Roman" w:eastAsia="宋体" w:cs="Times New Roman"/>
                <w:color w:val="auto"/>
                <w:highlight w:val="none"/>
                <w:lang w:val="en-US" w:eastAsia="zh-CN"/>
              </w:rPr>
              <w:t>固体粪肥</w:t>
            </w:r>
            <w:r>
              <w:rPr>
                <w:rFonts w:hint="eastAsia" w:eastAsia="宋体" w:cs="Times New Roman"/>
                <w:color w:val="auto"/>
                <w:highlight w:val="none"/>
                <w:lang w:val="en-US" w:eastAsia="zh-CN"/>
              </w:rPr>
              <w:t>发酵完成后</w:t>
            </w:r>
            <w:r>
              <w:rPr>
                <w:rFonts w:hint="default" w:ascii="Times New Roman" w:hAnsi="Times New Roman" w:eastAsia="宋体" w:cs="Times New Roman"/>
                <w:color w:val="auto"/>
                <w:highlight w:val="none"/>
                <w:lang w:val="en-US" w:eastAsia="zh-CN"/>
              </w:rPr>
              <w:t>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Style w:val="145"/>
                <w:rFonts w:hint="default" w:ascii="Times New Roman" w:hAnsi="Times New Roman" w:eastAsia="宋体" w:cs="Times New Roman"/>
                <w:color w:val="auto"/>
                <w:highlight w:val="none"/>
              </w:rPr>
              <w:t>保</w:t>
            </w:r>
            <w:r>
              <w:rPr>
                <w:rFonts w:hint="default" w:ascii="Times New Roman" w:hAnsi="Times New Roman" w:eastAsia="宋体" w:cs="Times New Roman"/>
                <w:color w:val="auto"/>
                <w:highlight w:val="none"/>
              </w:rPr>
              <w:t>证防止污染水环境。</w:t>
            </w:r>
          </w:p>
        </w:tc>
        <w:tc>
          <w:tcPr>
            <w:tcW w:w="657" w:type="dxa"/>
            <w:vAlign w:val="center"/>
          </w:tcPr>
          <w:p w14:paraId="27E795A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6B3BF8EB">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根据上表，本项目与《关于进一步加强规模养殖场废弃物资源化利用和污染防治工作的通知》（黑环发[2018]170号）相符合。</w:t>
      </w:r>
    </w:p>
    <w:p w14:paraId="793CAE4D">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2</w:t>
      </w:r>
      <w:r>
        <w:rPr>
          <w:rFonts w:hint="default" w:ascii="Times New Roman" w:hAnsi="Times New Roman" w:cs="Times New Roman"/>
          <w:color w:val="auto"/>
          <w:highlight w:val="none"/>
        </w:rPr>
        <w:t>与《关于做好畜禽规模养殖项目环境影响评价管理工作的通知》（环办环评[2018]31号）符合性分析</w:t>
      </w:r>
    </w:p>
    <w:p w14:paraId="2CEA583C">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本项目与《关于做好畜禽规模养殖项目环境影响评价管理工作的通知》（环办环评[2018]31号）符合性分析，详见下表。</w:t>
      </w:r>
    </w:p>
    <w:p w14:paraId="49C3CD92">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表1-4-9与</w:t>
      </w:r>
      <w:r>
        <w:rPr>
          <w:rFonts w:hint="default" w:ascii="Times New Roman" w:hAnsi="Times New Roman" w:cs="Times New Roman"/>
          <w:color w:val="auto"/>
          <w:szCs w:val="20"/>
          <w:highlight w:val="none"/>
        </w:rPr>
        <w:t>《关于做好畜禽规模养殖项目环境影响评价管理工作的通知》（环办环评[2018]31号）</w:t>
      </w:r>
      <w:r>
        <w:rPr>
          <w:rFonts w:hint="default" w:ascii="Times New Roman" w:hAnsi="Times New Roman" w:cs="Times New Roman"/>
          <w:color w:val="auto"/>
          <w:highlight w:val="none"/>
        </w:rPr>
        <w:t>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133"/>
        <w:gridCol w:w="3258"/>
        <w:gridCol w:w="2407"/>
        <w:gridCol w:w="796"/>
      </w:tblGrid>
      <w:tr w14:paraId="72365C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Align w:val="center"/>
          </w:tcPr>
          <w:p w14:paraId="042049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391" w:type="dxa"/>
            <w:gridSpan w:val="2"/>
            <w:vAlign w:val="center"/>
          </w:tcPr>
          <w:p w14:paraId="1A373F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《关于做好畜禽规模养殖项目环境影响评价管理工作的通知》（环办环评[2018]31号）</w:t>
            </w:r>
          </w:p>
        </w:tc>
        <w:tc>
          <w:tcPr>
            <w:tcW w:w="2407" w:type="dxa"/>
            <w:vAlign w:val="center"/>
          </w:tcPr>
          <w:p w14:paraId="31D2CC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6" w:type="dxa"/>
            <w:vAlign w:val="center"/>
          </w:tcPr>
          <w:p w14:paraId="1B78609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269725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7" w:hRule="atLeast"/>
          <w:jc w:val="center"/>
        </w:trPr>
        <w:tc>
          <w:tcPr>
            <w:tcW w:w="712" w:type="dxa"/>
            <w:vAlign w:val="center"/>
          </w:tcPr>
          <w:p w14:paraId="20D95B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133" w:type="dxa"/>
            <w:vAlign w:val="center"/>
          </w:tcPr>
          <w:p w14:paraId="7286D8D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优化项目选址，合理布置养殖场区</w:t>
            </w:r>
          </w:p>
        </w:tc>
        <w:tc>
          <w:tcPr>
            <w:tcW w:w="3258" w:type="dxa"/>
            <w:vAlign w:val="center"/>
          </w:tcPr>
          <w:p w14:paraId="169200EA">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1）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p w14:paraId="34E55C97">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zh-CN"/>
              </w:rPr>
              <w:t>（2）项目环评应结合环境保护要求优化养殖场区内部布置。畜禽养殖区及畜禽粪污贮存、处理和畜禽尸体无害化处理等产生恶臭影响的设施，应位于养殖场区主导风向的下风向位置，并尽量远离周边环境保护目标。参照《畜禽养殖业污染防治技术规范》，并根据恶臭污染物无组织排放源强，以及当地的环境及气象等因素，按照《环境影响评价技术导则大气环境》要求计算大气环境防护距离，作为养殖场选址以及周边规划控制的依据，减轻对周围环境保护目标的不利影响。</w:t>
            </w:r>
          </w:p>
        </w:tc>
        <w:tc>
          <w:tcPr>
            <w:tcW w:w="2407" w:type="dxa"/>
            <w:vAlign w:val="center"/>
          </w:tcPr>
          <w:p w14:paraId="27BF53D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（1）本项目充分论证了环境合理性，不位于当地禁养区内，符合当地主体功能区规划；不位于饮水水源保护区、风景名胜区自然保护区、村镇人口集中区域等。</w:t>
            </w:r>
          </w:p>
          <w:p w14:paraId="6DF5443C">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（2）养殖场区内办公区位于生产区</w:t>
            </w:r>
            <w:r>
              <w:rPr>
                <w:rFonts w:hint="eastAsia" w:eastAsia="宋体" w:cs="Times New Roman"/>
                <w:color w:val="auto"/>
                <w:highlight w:val="none"/>
                <w:lang w:val="en-US" w:eastAsia="zh-CN"/>
              </w:rPr>
              <w:t>侧</w:t>
            </w:r>
            <w:r>
              <w:rPr>
                <w:rFonts w:hint="default" w:ascii="Times New Roman" w:hAnsi="Times New Roman" w:eastAsia="宋体" w:cs="Times New Roman"/>
                <w:color w:val="auto"/>
                <w:highlight w:val="none"/>
              </w:rPr>
              <w:t>风向，</w:t>
            </w:r>
            <w:r>
              <w:rPr>
                <w:rFonts w:hint="eastAsia" w:eastAsia="宋体" w:cs="Times New Roman"/>
                <w:color w:val="auto"/>
                <w:highlight w:val="none"/>
                <w:lang w:val="en-US" w:eastAsia="zh-CN"/>
              </w:rPr>
              <w:t>储粪间、堆肥间</w:t>
            </w:r>
            <w:r>
              <w:rPr>
                <w:rFonts w:hint="default" w:ascii="Times New Roman" w:hAnsi="Times New Roman" w:eastAsia="宋体" w:cs="Times New Roman"/>
                <w:color w:val="auto"/>
                <w:highlight w:val="none"/>
              </w:rPr>
              <w:t>等产臭单元均位于所在地主导风向的</w:t>
            </w:r>
            <w:r>
              <w:rPr>
                <w:rFonts w:hint="eastAsia" w:eastAsia="宋体" w:cs="Times New Roman"/>
                <w:color w:val="auto"/>
                <w:highlight w:val="none"/>
                <w:lang w:val="en-US" w:eastAsia="zh-CN"/>
              </w:rPr>
              <w:t>侧</w:t>
            </w:r>
            <w:r>
              <w:rPr>
                <w:rFonts w:hint="default" w:ascii="Times New Roman" w:hAnsi="Times New Roman" w:eastAsia="宋体" w:cs="Times New Roman"/>
                <w:color w:val="auto"/>
                <w:highlight w:val="none"/>
              </w:rPr>
              <w:t>风向，场区内布局基本合理；根据《环境影响评价技术导则 大气环境》（HJ2.2-2018）中“评价等级判定及大气环境影响预测与评价”的要求，经估算模型计算，本项目不设置大气环境防护距离；但根据《畜禽养殖业污染防治技术规范》（HJ/T81-2001）要求，项目设置场界外500m为环境防护距离，以</w:t>
            </w:r>
            <w:r>
              <w:rPr>
                <w:rFonts w:hint="default" w:ascii="Times New Roman" w:hAnsi="Times New Roman" w:eastAsia="宋体" w:cs="Times New Roman"/>
                <w:color w:val="auto"/>
                <w:szCs w:val="21"/>
                <w:highlight w:val="none"/>
              </w:rPr>
              <w:t>减轻对周围环境保护目标的不利影响</w:t>
            </w:r>
            <w:r>
              <w:rPr>
                <w:rFonts w:hint="default" w:ascii="Times New Roman" w:hAnsi="Times New Roman" w:eastAsia="宋体" w:cs="Times New Roman"/>
                <w:color w:val="auto"/>
                <w:szCs w:val="21"/>
                <w:highlight w:val="none"/>
                <w:lang w:val="en-US" w:eastAsia="zh-CN"/>
              </w:rPr>
              <w:t>。</w:t>
            </w:r>
          </w:p>
        </w:tc>
        <w:tc>
          <w:tcPr>
            <w:tcW w:w="796" w:type="dxa"/>
            <w:vAlign w:val="center"/>
          </w:tcPr>
          <w:p w14:paraId="3E11B5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E03A7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Align w:val="center"/>
          </w:tcPr>
          <w:p w14:paraId="6303C5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133" w:type="dxa"/>
            <w:vAlign w:val="center"/>
          </w:tcPr>
          <w:p w14:paraId="613A80D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加强粪污减量控制，促进畜禽养殖粪污资源化利用</w:t>
            </w:r>
          </w:p>
        </w:tc>
        <w:tc>
          <w:tcPr>
            <w:tcW w:w="3258" w:type="dxa"/>
            <w:vAlign w:val="center"/>
          </w:tcPr>
          <w:p w14:paraId="5E467673">
            <w:pPr>
              <w:pStyle w:val="63"/>
              <w:snapToGrid w:val="0"/>
              <w:ind w:firstLine="42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项目环评应以农业绿色发展为导向，优化工艺，通过采取优化饲料配方、提高饲养技术等措施，从源头减少粪污的产生量。鼓励采取干清粪方式，采取水泡粪工艺的应最大限度降低用水量。场区应采取雨污分离措施，防止雨水进入粪污收集系统。</w:t>
            </w:r>
          </w:p>
          <w:p w14:paraId="0C259B1A">
            <w:pPr>
              <w:pStyle w:val="63"/>
              <w:snapToGrid w:val="0"/>
              <w:ind w:firstLine="42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项目环评应结合地域、畜种、规模等特点以及地方相关部门制定的畜禽粪污综合利用目标等要求，加强畜禽养殖粪污资源化利用，因地制宜选择经济高效适用的处理利用模式，采取粪污全量收集还田利用、污水肥料化利用、粪便垫料回用、异位发酵床、粪污专业化能源利用等模式处理利用畜禽粪污，促进畜禽规模养殖项目“种养结合”绿色发展。</w:t>
            </w:r>
          </w:p>
          <w:p w14:paraId="15DD7BDF">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鼓励根据土地承载能力确定畜禽养殖场的适宜养殖规模，土地承载能力可采用农业农村主管部门发布的测算技术方法确定。耕地面积大、土地消纳能力相对较高的区域，畜禽养殖场产生的粪污应力争实现全部就地就近资源化利用或委托第三方处理;当土地消纳能力不足时，应进一步提高资源化利用能力或适当减少养殖规模。鼓励依托符合环保要求的专业化粪污处理利用企业，提高畜禽养殖粪污集中收集利用能力。环评应明确畜禽养殖粪污资源化利用的主体，严格落实利用渠道或途径，确保资源化利用有效实施。</w:t>
            </w:r>
          </w:p>
        </w:tc>
        <w:tc>
          <w:tcPr>
            <w:tcW w:w="2407" w:type="dxa"/>
            <w:vAlign w:val="center"/>
          </w:tcPr>
          <w:p w14:paraId="6E26C2BE">
            <w:pPr>
              <w:pStyle w:val="146"/>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本项目含有牛粪尿的垫料在牛舍发酵后，运至</w:t>
            </w:r>
            <w:r>
              <w:rPr>
                <w:rFonts w:hint="eastAsia" w:ascii="Times New Roman" w:hAnsi="Times New Roman" w:eastAsia="宋体" w:cs="Times New Roman"/>
                <w:color w:val="auto"/>
                <w:highlight w:val="none"/>
                <w:lang w:val="en-US" w:eastAsia="zh-CN"/>
              </w:rPr>
              <w:t>发酵棚</w:t>
            </w:r>
            <w:r>
              <w:rPr>
                <w:rFonts w:hint="default" w:ascii="Times New Roman" w:hAnsi="Times New Roman" w:eastAsia="宋体" w:cs="Times New Roman"/>
                <w:color w:val="auto"/>
                <w:highlight w:val="none"/>
                <w:lang w:val="en-US" w:eastAsia="zh-CN"/>
              </w:rPr>
              <w:t>进一步发酵制成</w:t>
            </w:r>
            <w:r>
              <w:rPr>
                <w:rFonts w:hint="eastAsia" w:eastAsia="宋体" w:cs="Times New Roman"/>
                <w:color w:val="auto"/>
                <w:highlight w:val="none"/>
                <w:lang w:val="en-US" w:eastAsia="zh-CN"/>
              </w:rPr>
              <w:t>固体肥粪</w:t>
            </w:r>
            <w:r>
              <w:rPr>
                <w:rFonts w:hint="default" w:ascii="Times New Roman" w:hAnsi="Times New Roman" w:eastAsia="宋体" w:cs="Times New Roman"/>
                <w:color w:val="auto"/>
                <w:highlight w:val="none"/>
                <w:lang w:val="en-US" w:eastAsia="zh-CN"/>
              </w:rPr>
              <w:t>，固体粪肥使用喷粪车作为肥料施用于配套消纳地进行施肥，非施肥季节储存于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rPr>
              <w:t>实现粪污资源化利用，保证防止污染水环境。病死牛委托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进行规范处置；医疗废物暂存危险废物贮存库，定期交有资质单位处置</w:t>
            </w:r>
            <w:r>
              <w:rPr>
                <w:rFonts w:hint="default" w:ascii="Times New Roman" w:hAnsi="Times New Roman" w:eastAsia="宋体" w:cs="Times New Roman"/>
                <w:color w:val="auto"/>
                <w:szCs w:val="21"/>
                <w:highlight w:val="none"/>
              </w:rPr>
              <w:t>。</w:t>
            </w:r>
            <w:r>
              <w:rPr>
                <w:rFonts w:hint="eastAsia" w:eastAsia="宋体" w:cs="Times New Roman"/>
                <w:color w:val="auto"/>
                <w:highlight w:val="none"/>
                <w:lang w:val="en-US" w:eastAsia="zh-CN"/>
              </w:rPr>
              <w:t>废活性炭收集后由厂家回收，</w:t>
            </w:r>
            <w:r>
              <w:rPr>
                <w:rFonts w:hint="default" w:ascii="Times New Roman" w:hAnsi="Times New Roman" w:eastAsia="宋体" w:cs="Times New Roman"/>
                <w:color w:val="auto"/>
                <w:szCs w:val="21"/>
                <w:highlight w:val="none"/>
              </w:rPr>
              <w:t>可实现养殖废弃物综合利用。本次评价根据农业部办公厅关于印发《畜禽粪污土地承载力测算技术指南》的通知测算土地承载力和畜禽规模养殖场粪污消纳配套土地面积，已与</w:t>
            </w:r>
            <w:r>
              <w:rPr>
                <w:rFonts w:hint="default" w:ascii="Times New Roman" w:hAnsi="Times New Roman" w:eastAsia="宋体" w:cs="Times New Roman"/>
                <w:color w:val="auto"/>
                <w:highlight w:val="none"/>
                <w:lang w:val="en-GB" w:eastAsia="zh-CN"/>
              </w:rPr>
              <w:t>孙吴县建设现代农机专业合作社</w:t>
            </w:r>
            <w:r>
              <w:rPr>
                <w:rFonts w:hint="default" w:ascii="Times New Roman" w:hAnsi="Times New Roman" w:eastAsia="宋体" w:cs="Times New Roman"/>
                <w:color w:val="auto"/>
                <w:szCs w:val="21"/>
                <w:highlight w:val="none"/>
                <w:lang w:eastAsia="zh-CN"/>
              </w:rPr>
              <w:t>社</w:t>
            </w:r>
            <w:r>
              <w:rPr>
                <w:rFonts w:hint="default" w:ascii="Times New Roman" w:hAnsi="Times New Roman" w:eastAsia="宋体" w:cs="Times New Roman"/>
                <w:color w:val="auto"/>
                <w:szCs w:val="21"/>
                <w:highlight w:val="none"/>
              </w:rPr>
              <w:t>签订了</w:t>
            </w:r>
            <w:r>
              <w:rPr>
                <w:rFonts w:hint="default" w:ascii="Times New Roman" w:hAnsi="Times New Roman" w:eastAsia="宋体" w:cs="Times New Roman"/>
                <w:color w:val="auto"/>
                <w:szCs w:val="21"/>
                <w:highlight w:val="none"/>
                <w:lang w:val="en-US" w:eastAsia="zh-CN"/>
              </w:rPr>
              <w:t>1</w:t>
            </w:r>
            <w:r>
              <w:rPr>
                <w:rFonts w:hint="eastAsia"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lang w:val="en-US" w:eastAsia="zh-CN"/>
              </w:rPr>
              <w:t>000</w:t>
            </w:r>
            <w:r>
              <w:rPr>
                <w:rFonts w:hint="default" w:ascii="Times New Roman" w:hAnsi="Times New Roman" w:eastAsia="宋体" w:cs="Times New Roman"/>
                <w:color w:val="auto"/>
                <w:szCs w:val="21"/>
                <w:highlight w:val="none"/>
              </w:rPr>
              <w:t>亩的农田可完全消纳本项目产生的粪污。且具备本项目产生的畜禽粪污的承载力。</w:t>
            </w:r>
          </w:p>
        </w:tc>
        <w:tc>
          <w:tcPr>
            <w:tcW w:w="796" w:type="dxa"/>
            <w:vAlign w:val="center"/>
          </w:tcPr>
          <w:p w14:paraId="325643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1A511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Align w:val="center"/>
          </w:tcPr>
          <w:p w14:paraId="5088A2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133" w:type="dxa"/>
            <w:vAlign w:val="center"/>
          </w:tcPr>
          <w:p w14:paraId="59F47BB2">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强化粪污治理措施，做好污染防治</w:t>
            </w:r>
          </w:p>
        </w:tc>
        <w:tc>
          <w:tcPr>
            <w:tcW w:w="3258" w:type="dxa"/>
            <w:vAlign w:val="center"/>
          </w:tcPr>
          <w:p w14:paraId="10707A5E">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项目环评应强化对粪污的治理措施，加强畜禽养殖粪污资源化利用过程中的污染控制，推进粪污资源的良性利用，应对无法资源化利用的粪污采取治理措施确保达标排放。畜禽规模养殖项目应配套建设与养殖规模相匹配的雨污分离设施，以及粪污贮存、处理和利用设施等，委托满足相关环保要求的第三方代为利用或者处理的，可不自行建设粪污处理或利用设施。</w:t>
            </w:r>
          </w:p>
          <w:p w14:paraId="553B00D3">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项目环评应明确畜禽粪污贮存、处理和利用措施。贮存池应采取有效的防雨、防渗和防溢流措施，防止畜禽粪污污染地下水。贮存池总有效容积应根据贮存期确定。进行资源化利用的畜禽粪污须处理并达到畜禽粪便还田、无害化处理等技术规范要求。畜禽规模养殖项目配套建设沼气工程的，应充分考虑沼气制备及贮存过程中的环境风险，制定环境风险防范措施及应急预案。</w:t>
            </w:r>
          </w:p>
          <w:p w14:paraId="5A79451B">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畜禽养殖粪污作为肥料还田利用的，应明确畜禽养殖场与还田利用的林地、农田之间的输送系统及环境管理措施，严格控制肥水输送沿途的弃、撒和跑冒滴漏，防止进入外部水体。对无法采取资源化利用的畜禽养殖废水应明确处理措施及工艺，确保达标排放或消毒回用，排放去向应符合国家和地方的有关规定，不得排入敏感水域和有特殊功能的水域。</w:t>
            </w:r>
          </w:p>
          <w:p w14:paraId="0FE49CDF">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依据相关法律法规和技术规范，制定明确的病死畜禽处理、处置方案，及时处理病死畜禽。针对畜禽规模养殖项目的恶臭影响，可采取控制饲养密度、改善舍内通风、及时清粪、采用除臭剂、集中收集处理等措施，确保项目恶臭污染物达标排放。</w:t>
            </w:r>
          </w:p>
        </w:tc>
        <w:tc>
          <w:tcPr>
            <w:tcW w:w="2407" w:type="dxa"/>
            <w:vAlign w:val="center"/>
          </w:tcPr>
          <w:p w14:paraId="0A85F0B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zh-CN"/>
              </w:rPr>
              <w:t>生活污水排入化粪池，定期外运，不外排。</w:t>
            </w:r>
            <w:r>
              <w:rPr>
                <w:rFonts w:hint="default" w:ascii="Times New Roman" w:hAnsi="Times New Roman" w:eastAsia="宋体" w:cs="Times New Roman"/>
                <w:color w:val="auto"/>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渗滤液与精料按比例配合饲喂肉牛，其味道酸甜，可促进食欲，但须随配随用，以免发霉。冬季不进行玉米秸秆青贮发酵生产，无渗滤液产生</w:t>
            </w:r>
            <w:r>
              <w:rPr>
                <w:rFonts w:hint="eastAsia" w:eastAsia="宋体" w:cs="Times New Roman"/>
                <w:color w:val="auto"/>
                <w:highlight w:val="none"/>
                <w:lang w:val="zh-CN"/>
              </w:rPr>
              <w:t>，</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w:t>
            </w:r>
            <w:r>
              <w:rPr>
                <w:rFonts w:hint="eastAsia" w:eastAsia="宋体" w:cs="Times New Roman"/>
                <w:color w:val="auto"/>
                <w:highlight w:val="none"/>
                <w:lang w:val="en-US" w:eastAsia="zh-CN"/>
              </w:rPr>
              <w:t>产生的废垫料</w:t>
            </w:r>
            <w:r>
              <w:rPr>
                <w:rFonts w:hint="default" w:ascii="Times New Roman" w:hAnsi="Times New Roman" w:eastAsia="宋体" w:cs="Times New Roman"/>
                <w:color w:val="auto"/>
                <w:highlight w:val="none"/>
              </w:rPr>
              <w:t>运至堆肥间后采取好氧发酵工艺进行堆肥生产</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，实现粪污资源化利用，保证防止污染水环境。</w:t>
            </w:r>
          </w:p>
        </w:tc>
        <w:tc>
          <w:tcPr>
            <w:tcW w:w="796" w:type="dxa"/>
            <w:vAlign w:val="center"/>
          </w:tcPr>
          <w:p w14:paraId="38415D0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A51E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Align w:val="center"/>
          </w:tcPr>
          <w:p w14:paraId="53A69A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133" w:type="dxa"/>
            <w:vAlign w:val="center"/>
          </w:tcPr>
          <w:p w14:paraId="2E989ECA">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落实环评信息公开要求，发挥公众参与的监督</w:t>
            </w:r>
          </w:p>
        </w:tc>
        <w:tc>
          <w:tcPr>
            <w:tcW w:w="3258" w:type="dxa"/>
            <w:vAlign w:val="center"/>
          </w:tcPr>
          <w:p w14:paraId="018F23E1">
            <w:pPr>
              <w:pStyle w:val="63"/>
              <w:snapToGrid w:val="0"/>
              <w:ind w:firstLine="420" w:firstLineChars="20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建设单位在项目环评报告书报送审批前，应采取适当形式，遵循依法、有序、公开、便利的原则，公开征求意见并对真实性和结果负责。</w:t>
            </w:r>
          </w:p>
          <w:p w14:paraId="4C344358">
            <w:pPr>
              <w:pStyle w:val="63"/>
              <w:snapToGrid w:val="0"/>
              <w:ind w:firstLine="420" w:firstLineChars="20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zh-CN"/>
              </w:rPr>
              <w:t>地方生态环境部门应按照相关要求，主动公开项目环评报告书受理情况、拟作出的审批意见和审批情况，保障公众环境保护知情权、参与权和监督权。强化对建设单位的监督约束，落实建设项目环评信息的全过程、全覆盖公开，确保公众能够方便获取建设项目环评信息。</w:t>
            </w:r>
          </w:p>
        </w:tc>
        <w:tc>
          <w:tcPr>
            <w:tcW w:w="2407" w:type="dxa"/>
            <w:vAlign w:val="center"/>
          </w:tcPr>
          <w:p w14:paraId="01A33111">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建设单位已进行公众参与，公众参与采取网上公示、报纸公示以及张贴公告等方式公开项目环境信息，建设单位已充分采纳公众参与意见。并在报告初稿完成后在</w:t>
            </w:r>
            <w:r>
              <w:rPr>
                <w:rFonts w:hint="eastAsia" w:ascii="Times New Roman" w:cs="Times New Roman"/>
                <w:color w:val="auto"/>
                <w:kern w:val="2"/>
                <w:sz w:val="21"/>
                <w:szCs w:val="21"/>
                <w:highlight w:val="none"/>
                <w:lang w:val="en-US" w:eastAsia="zh-CN"/>
              </w:rPr>
              <w:t>黑龙江新闻</w:t>
            </w:r>
            <w:r>
              <w:rPr>
                <w:rFonts w:hint="default" w:ascii="Times New Roman" w:hAnsi="Times New Roman" w:eastAsia="宋体" w:cs="Times New Roman"/>
                <w:color w:val="auto"/>
                <w:kern w:val="2"/>
                <w:sz w:val="21"/>
                <w:szCs w:val="21"/>
                <w:highlight w:val="none"/>
              </w:rPr>
              <w:t>网站</w:t>
            </w:r>
            <w:r>
              <w:rPr>
                <w:rFonts w:hint="default" w:ascii="Times New Roman" w:hAnsi="Times New Roman" w:eastAsia="宋体" w:cs="Times New Roman"/>
                <w:color w:val="auto"/>
                <w:kern w:val="2"/>
                <w:sz w:val="21"/>
                <w:szCs w:val="21"/>
                <w:highlight w:val="none"/>
                <w:lang w:val="zh-CN"/>
              </w:rPr>
              <w:t>进行了全本公示。</w:t>
            </w:r>
          </w:p>
        </w:tc>
        <w:tc>
          <w:tcPr>
            <w:tcW w:w="796" w:type="dxa"/>
            <w:vAlign w:val="center"/>
          </w:tcPr>
          <w:p w14:paraId="44931474">
            <w:pPr>
              <w:pStyle w:val="146"/>
              <w:rPr>
                <w:rFonts w:hint="default" w:ascii="Times New Roman" w:hAnsi="Times New Roman" w:eastAsia="宋体" w:cs="Times New Roman"/>
                <w:color w:val="auto"/>
                <w:highlight w:val="none"/>
              </w:rPr>
            </w:pPr>
          </w:p>
        </w:tc>
      </w:tr>
      <w:tr w14:paraId="33914A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2" w:type="dxa"/>
            <w:vAlign w:val="center"/>
          </w:tcPr>
          <w:p w14:paraId="74E3297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133" w:type="dxa"/>
            <w:vAlign w:val="center"/>
          </w:tcPr>
          <w:p w14:paraId="31FBC6A3">
            <w:pPr>
              <w:pStyle w:val="63"/>
              <w:snapToGrid w:val="0"/>
              <w:jc w:val="both"/>
              <w:rPr>
                <w:rFonts w:hint="default" w:ascii="Times New Roman" w:hAnsi="Times New Roman" w:eastAsia="宋体" w:cs="Times New Roman"/>
                <w:color w:val="auto"/>
                <w:kern w:val="2"/>
                <w:sz w:val="21"/>
                <w:szCs w:val="21"/>
                <w:highlight w:val="none"/>
                <w:lang w:val="zh-CN"/>
              </w:rPr>
            </w:pPr>
            <w:r>
              <w:rPr>
                <w:rFonts w:hint="default" w:ascii="Times New Roman" w:hAnsi="Times New Roman" w:eastAsia="宋体" w:cs="Times New Roman"/>
                <w:color w:val="auto"/>
                <w:kern w:val="2"/>
                <w:sz w:val="21"/>
                <w:szCs w:val="21"/>
                <w:highlight w:val="none"/>
                <w:lang w:val="zh-CN"/>
              </w:rPr>
              <w:t>强化事中事后监管，形成长效管理机制</w:t>
            </w:r>
          </w:p>
        </w:tc>
        <w:tc>
          <w:tcPr>
            <w:tcW w:w="3258" w:type="dxa"/>
            <w:vAlign w:val="center"/>
          </w:tcPr>
          <w:p w14:paraId="0ACD1129">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zh-CN"/>
              </w:rPr>
              <w:t>地方生态环境部门应加强畜禽规模养殖项目的全过程管理。建设单位必须严格执行环境保护“三同时”制度，落实各项生态环境保护措施，在项目建成后按照国家规定的程序和技术规范，开展建设项目竣工环境保护验收。各级生态环境部门通过随机抽查项目环评报告书等方式，掌握环境影响报告书的编制及审批、环境影响登记表备案及承诺落实、环境保护“三同时”落实、环境保护验收情况及相关主体责任落实等情况，及时查处违法违规行为。</w:t>
            </w:r>
          </w:p>
        </w:tc>
        <w:tc>
          <w:tcPr>
            <w:tcW w:w="2407" w:type="dxa"/>
            <w:vAlign w:val="center"/>
          </w:tcPr>
          <w:p w14:paraId="7064C2DE">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zh-CN"/>
              </w:rPr>
              <w:t>本项目严格执行环境保护“三同时”制度，落实各项生态环境保护措施，在项目建成后按照国家规定的程序和技术规范，开展建设项目竣工环境保护验收。</w:t>
            </w:r>
          </w:p>
        </w:tc>
        <w:tc>
          <w:tcPr>
            <w:tcW w:w="796" w:type="dxa"/>
            <w:vAlign w:val="center"/>
          </w:tcPr>
          <w:p w14:paraId="6BF8B3E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648C9D16">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3</w:t>
      </w:r>
      <w:r>
        <w:rPr>
          <w:rFonts w:hint="default" w:ascii="Times New Roman" w:hAnsi="Times New Roman" w:cs="Times New Roman"/>
          <w:color w:val="auto"/>
          <w:highlight w:val="none"/>
        </w:rPr>
        <w:t>与《畜禽规模养殖场粪污资源化利用设施建设规范（试行）》（农办牧[2018]2号）符合性分析</w:t>
      </w:r>
    </w:p>
    <w:p w14:paraId="01578115">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本项目与《畜禽规模养殖场粪污资源化利用设施建设规范（试行）》（农办牧[2018]2号）符合性分析见下表。</w:t>
      </w:r>
    </w:p>
    <w:p w14:paraId="517144CC">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表1-4-10《畜禽规模养殖场粪污资源化利用设施建设规范（试行）》（农办牧[2018]2号）符合性分析一览表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3966"/>
        <w:gridCol w:w="2975"/>
        <w:gridCol w:w="799"/>
      </w:tblGrid>
      <w:tr w14:paraId="620A14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0FF5A3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969" w:type="dxa"/>
            <w:vAlign w:val="center"/>
          </w:tcPr>
          <w:p w14:paraId="6846C1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《畜禽规模养殖场粪污资源化利用设施建设规范（试行）》（农办牧[2018]2号）</w:t>
            </w:r>
          </w:p>
        </w:tc>
        <w:tc>
          <w:tcPr>
            <w:tcW w:w="2977" w:type="dxa"/>
            <w:vAlign w:val="center"/>
          </w:tcPr>
          <w:p w14:paraId="4275CA0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108CA96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388AA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219AD36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969" w:type="dxa"/>
            <w:vAlign w:val="center"/>
          </w:tcPr>
          <w:p w14:paraId="5AE331F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畜禽规模养殖场宜采用干清粪工艺。不同畜种不同清粪工艺最高允许排水量按照GB18596执行</w:t>
            </w:r>
          </w:p>
        </w:tc>
        <w:tc>
          <w:tcPr>
            <w:tcW w:w="2977" w:type="dxa"/>
            <w:vAlign w:val="center"/>
          </w:tcPr>
          <w:p w14:paraId="5022E6E7">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eastAsia="zh-CN"/>
              </w:rPr>
              <w:t>，</w:t>
            </w:r>
            <w:r>
              <w:rPr>
                <w:rFonts w:hint="eastAsia" w:eastAsia="宋体" w:cs="Times New Roman"/>
                <w:color w:val="auto"/>
                <w:highlight w:val="none"/>
                <w:lang w:val="en-US" w:eastAsia="zh-CN"/>
              </w:rPr>
              <w:t>无养殖废水产生</w:t>
            </w:r>
            <w:r>
              <w:rPr>
                <w:rFonts w:hint="default" w:ascii="Times New Roman" w:hAnsi="Times New Roman" w:eastAsia="宋体" w:cs="Times New Roman"/>
                <w:color w:val="auto"/>
                <w:highlight w:val="none"/>
                <w:lang w:eastAsia="zh-CN"/>
              </w:rPr>
              <w:t>。</w:t>
            </w:r>
          </w:p>
        </w:tc>
        <w:tc>
          <w:tcPr>
            <w:tcW w:w="799" w:type="dxa"/>
            <w:vAlign w:val="center"/>
          </w:tcPr>
          <w:p w14:paraId="79FA4F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05F4A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4904D0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969" w:type="dxa"/>
            <w:vAlign w:val="center"/>
          </w:tcPr>
          <w:p w14:paraId="09EAB4A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畜禽规模养殖场应及时对粪污进行收存池（场）应满足防渗、防雨、防溢流等要求</w:t>
            </w:r>
          </w:p>
        </w:tc>
        <w:tc>
          <w:tcPr>
            <w:tcW w:w="2977" w:type="dxa"/>
            <w:vAlign w:val="center"/>
          </w:tcPr>
          <w:p w14:paraId="6F9AF4C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已对粪污处理设施提出防渗、防雨、防溢流的要求；</w:t>
            </w:r>
          </w:p>
        </w:tc>
        <w:tc>
          <w:tcPr>
            <w:tcW w:w="799" w:type="dxa"/>
            <w:vAlign w:val="center"/>
          </w:tcPr>
          <w:p w14:paraId="529FD8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BB8AC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18D891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3969" w:type="dxa"/>
            <w:vAlign w:val="center"/>
          </w:tcPr>
          <w:p w14:paraId="3FA81E0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畜禽规模养殖场应建设雨污分离设施，污水宜采用暗沟或管道输送。</w:t>
            </w:r>
          </w:p>
        </w:tc>
        <w:tc>
          <w:tcPr>
            <w:tcW w:w="2977" w:type="dxa"/>
            <w:vAlign w:val="center"/>
          </w:tcPr>
          <w:p w14:paraId="2CB9D4B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厂区已设置雨污分离设施，</w:t>
            </w:r>
            <w:r>
              <w:rPr>
                <w:rFonts w:hint="eastAsia" w:eastAsia="宋体" w:cs="Times New Roman"/>
                <w:color w:val="auto"/>
                <w:highlight w:val="none"/>
                <w:lang w:val="en-US" w:eastAsia="zh-CN"/>
              </w:rPr>
              <w:t>初期雨水排入2300m</w:t>
            </w:r>
            <w:r>
              <w:rPr>
                <w:rFonts w:hint="eastAsia" w:eastAsia="宋体" w:cs="Times New Roman"/>
                <w:color w:val="auto"/>
                <w:highlight w:val="none"/>
                <w:vertAlign w:val="superscript"/>
                <w:lang w:val="en-US" w:eastAsia="zh-CN"/>
              </w:rPr>
              <w:t>3</w:t>
            </w:r>
            <w:r>
              <w:rPr>
                <w:rFonts w:hint="eastAsia" w:eastAsia="宋体" w:cs="Times New Roman"/>
                <w:color w:val="auto"/>
                <w:highlight w:val="none"/>
                <w:lang w:val="en-US" w:eastAsia="zh-CN"/>
              </w:rPr>
              <w:t>初期雨水池，生活污水排入化粪池，定期清掏，无养殖废水产生</w:t>
            </w:r>
            <w:r>
              <w:rPr>
                <w:rFonts w:hint="default" w:ascii="Times New Roman" w:hAnsi="Times New Roman" w:eastAsia="宋体" w:cs="Times New Roman"/>
                <w:color w:val="auto"/>
                <w:highlight w:val="none"/>
              </w:rPr>
              <w:t>。</w:t>
            </w:r>
          </w:p>
        </w:tc>
        <w:tc>
          <w:tcPr>
            <w:tcW w:w="799" w:type="dxa"/>
            <w:vAlign w:val="center"/>
          </w:tcPr>
          <w:p w14:paraId="0269028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7ED7A2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38DAAEE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3969" w:type="dxa"/>
            <w:vAlign w:val="center"/>
          </w:tcPr>
          <w:p w14:paraId="6861736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固体粪便、污水和沼贮存设施建设要求按照GB/T26622、GB/26624和NY/T2374执行。</w:t>
            </w:r>
          </w:p>
        </w:tc>
        <w:tc>
          <w:tcPr>
            <w:tcW w:w="2977" w:type="dxa"/>
            <w:vAlign w:val="center"/>
          </w:tcPr>
          <w:p w14:paraId="325AA559">
            <w:pPr>
              <w:pStyle w:val="146"/>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建设堆肥</w:t>
            </w:r>
            <w:r>
              <w:rPr>
                <w:rFonts w:hint="eastAsia" w:eastAsia="宋体" w:cs="Times New Roman"/>
                <w:color w:val="auto"/>
                <w:highlight w:val="none"/>
                <w:lang w:val="en-US" w:eastAsia="zh-CN"/>
              </w:rPr>
              <w:t>间1</w:t>
            </w:r>
            <w:r>
              <w:rPr>
                <w:rFonts w:hint="default" w:ascii="Times New Roman" w:hAnsi="Times New Roman" w:eastAsia="宋体" w:cs="Times New Roman"/>
                <w:color w:val="auto"/>
                <w:highlight w:val="none"/>
              </w:rPr>
              <w:t>栋，建筑面积2700m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，高6m，屋顶11m，门式钢结构，用于牛粪的好氧堆肥发酵生产固体粪肥。通过测算，均满足相关要求。</w:t>
            </w:r>
          </w:p>
        </w:tc>
        <w:tc>
          <w:tcPr>
            <w:tcW w:w="799" w:type="dxa"/>
            <w:vAlign w:val="center"/>
          </w:tcPr>
          <w:p w14:paraId="7E99577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47598C5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根据上表，本项目与《畜禽规模养殖场粪污资源化利用设施建设规范（试行）》（农办牧[2018]2号）相符合。</w:t>
      </w:r>
    </w:p>
    <w:p w14:paraId="77B8E917">
      <w:pPr>
        <w:pStyle w:val="6"/>
        <w:spacing w:line="500" w:lineRule="exact"/>
        <w:rPr>
          <w:rFonts w:hint="default" w:ascii="Times New Roman" w:hAnsi="Times New Roman" w:eastAsia="黑体" w:cs="Times New Roman"/>
          <w:color w:val="auto"/>
          <w:highlight w:val="none"/>
          <w:lang w:eastAsia="zh-CN"/>
        </w:rPr>
      </w:pPr>
      <w:r>
        <w:rPr>
          <w:rFonts w:hint="default" w:ascii="Times New Roman" w:hAnsi="Times New Roman" w:cs="Times New Roman"/>
          <w:color w:val="auto"/>
          <w:highlight w:val="none"/>
        </w:rPr>
        <w:t>1.4.2.1</w:t>
      </w:r>
      <w:r>
        <w:rPr>
          <w:rFonts w:hint="eastAsia" w:cs="Times New Roman"/>
          <w:color w:val="auto"/>
          <w:highlight w:val="none"/>
          <w:lang w:val="en-US" w:eastAsia="zh-CN"/>
        </w:rPr>
        <w:t>4</w:t>
      </w:r>
      <w:r>
        <w:rPr>
          <w:rFonts w:hint="default" w:ascii="Times New Roman" w:hAnsi="Times New Roman" w:cs="Times New Roman"/>
          <w:color w:val="auto"/>
          <w:highlight w:val="none"/>
        </w:rPr>
        <w:t>与《黑龙江省水污染防治条例》符合性分析</w:t>
      </w:r>
    </w:p>
    <w:p w14:paraId="09B1367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根据《黑龙江省水污染防治条例》第四节 农业和农村水污染防治：</w:t>
      </w:r>
    </w:p>
    <w:p w14:paraId="2B04260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第四十二条 畜禽养殖场、养殖小区应当根据养殖规模和污染防治需要，配套建设节水控污养殖设施以及防雨、防渗、防溢流的畜禽粪便和污水的贮存、处理、利用设施，对畜禽养殖废弃物实施综合利用、无害化处理、就地就农资源化利用，制定粪便、污水资源化利用计划，建立台账。</w:t>
      </w:r>
    </w:p>
    <w:p w14:paraId="072DA1B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已经委托他人对畜禽养殖废弃物代为综合利用和无害化处理的，可以不自行建设综合利用和无害化处理设施，但应当建设符合要求的、相应的畜禽粪便、污水暂存设施。</w:t>
      </w:r>
    </w:p>
    <w:p w14:paraId="05F31B0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第四十三条 县级人民政府应当确定本行政区域的畜禽散养密集区。</w:t>
      </w:r>
    </w:p>
    <w:p w14:paraId="23DC77F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畜禽散养密集区所在地县级人民政府应当组织对畜禽粪便、污水进行集中处理利用，督促乡镇人民政府建设或者配备污染防治配套设施。</w:t>
      </w:r>
    </w:p>
    <w:p w14:paraId="42BB96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畜禽散养密集区所在地乡镇人民政府应当加强畜禽养殖户管理，建设或者配备相应的防雨、防渗、防溢流的畜禽粪便、污水收集、贮存等污染防治设施，组织对畜禽粪便、污水进行分户收集、集中处理利用。</w:t>
      </w:r>
    </w:p>
    <w:p w14:paraId="6819072C">
      <w:pPr>
        <w:pStyle w:val="67"/>
        <w:ind w:firstLine="480"/>
        <w:rPr>
          <w:rFonts w:hint="default" w:ascii="Times New Roman" w:hAnsi="Times New Roman" w:cs="Times New Roman"/>
          <w:color w:val="auto"/>
          <w:szCs w:val="24"/>
          <w:highlight w:val="none"/>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eastAsia" w:ascii="Times New Roman" w:hAnsi="Times New Roman" w:eastAsia="宋体" w:cs="Times New Roman"/>
          <w:color w:val="auto"/>
          <w:highlight w:val="none"/>
          <w:lang w:val="en-US" w:eastAsia="zh-CN"/>
        </w:rPr>
        <w:t>本项目无养殖废水产</w:t>
      </w:r>
      <w:r>
        <w:rPr>
          <w:rFonts w:hint="eastAsia" w:eastAsia="宋体" w:cs="Times New Roman"/>
          <w:color w:val="auto"/>
          <w:highlight w:val="none"/>
          <w:lang w:val="en-US" w:eastAsia="zh-CN"/>
        </w:rPr>
        <w:t>生。</w:t>
      </w:r>
      <w:r>
        <w:rPr>
          <w:rFonts w:hint="default" w:ascii="Times New Roman" w:hAnsi="Times New Roman" w:eastAsia="宋体" w:cs="Times New Roman"/>
          <w:color w:val="auto"/>
          <w:szCs w:val="24"/>
          <w:highlight w:val="none"/>
        </w:rPr>
        <w:t>本项目</w:t>
      </w:r>
      <w:r>
        <w:rPr>
          <w:rFonts w:hint="eastAsia" w:eastAsia="宋体" w:cs="Times New Roman"/>
          <w:color w:val="auto"/>
          <w:szCs w:val="24"/>
          <w:highlight w:val="none"/>
          <w:lang w:val="en-US" w:eastAsia="zh-CN"/>
        </w:rPr>
        <w:t>产生的废垫料通过好氧发酵处理后</w:t>
      </w:r>
      <w:r>
        <w:rPr>
          <w:rFonts w:hint="default" w:ascii="Times New Roman" w:hAnsi="Times New Roman" w:eastAsia="宋体" w:cs="Times New Roman"/>
          <w:color w:val="auto"/>
          <w:szCs w:val="24"/>
          <w:highlight w:val="none"/>
        </w:rPr>
        <w:t>需要配套施肥土地</w:t>
      </w:r>
      <w:r>
        <w:rPr>
          <w:rFonts w:hint="eastAsia" w:eastAsia="宋体" w:cs="Times New Roman"/>
          <w:color w:val="auto"/>
          <w:szCs w:val="24"/>
          <w:highlight w:val="none"/>
          <w:lang w:val="en-US" w:eastAsia="zh-CN"/>
        </w:rPr>
        <w:t>7401.66亩</w:t>
      </w:r>
      <w:r>
        <w:rPr>
          <w:rFonts w:hint="default" w:ascii="Times New Roman" w:hAnsi="Times New Roman" w:eastAsia="宋体" w:cs="Times New Roman"/>
          <w:color w:val="auto"/>
          <w:szCs w:val="24"/>
          <w:highlight w:val="none"/>
        </w:rPr>
        <w:t>，建设单位已</w:t>
      </w:r>
      <w:r>
        <w:rPr>
          <w:rFonts w:hint="default" w:ascii="Times New Roman" w:hAnsi="Times New Roman" w:eastAsia="宋体" w:cs="Times New Roman"/>
          <w:color w:val="auto"/>
          <w:szCs w:val="24"/>
          <w:highlight w:val="none"/>
          <w:lang w:val="en-US" w:eastAsia="zh-CN"/>
        </w:rPr>
        <w:t>与</w:t>
      </w:r>
      <w:r>
        <w:rPr>
          <w:rFonts w:hint="default" w:ascii="Times New Roman" w:hAnsi="Times New Roman" w:eastAsia="宋体" w:cs="Times New Roman"/>
          <w:color w:val="auto"/>
          <w:highlight w:val="none"/>
          <w:lang w:val="en-GB" w:eastAsia="zh-CN"/>
        </w:rPr>
        <w:t>孙吴县建设现代农机专业合作社</w:t>
      </w:r>
      <w:r>
        <w:rPr>
          <w:rFonts w:hint="default" w:ascii="Times New Roman" w:hAnsi="Times New Roman" w:eastAsia="宋体" w:cs="Times New Roman"/>
          <w:color w:val="auto"/>
          <w:szCs w:val="24"/>
          <w:highlight w:val="none"/>
          <w:lang w:val="en-US" w:eastAsia="zh-CN"/>
        </w:rPr>
        <w:t>签订</w:t>
      </w:r>
      <w:r>
        <w:rPr>
          <w:rFonts w:hint="default" w:ascii="Times New Roman" w:hAnsi="Times New Roman" w:eastAsia="宋体" w:cs="Times New Roman"/>
          <w:color w:val="auto"/>
          <w:szCs w:val="24"/>
          <w:highlight w:val="none"/>
        </w:rPr>
        <w:t>协议（见附件</w:t>
      </w:r>
      <w:r>
        <w:rPr>
          <w:rFonts w:hint="eastAsia"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rPr>
        <w:t>），提供</w:t>
      </w:r>
      <w:r>
        <w:rPr>
          <w:rFonts w:hint="default" w:ascii="Times New Roman" w:hAnsi="Times New Roman" w:eastAsia="宋体" w:cs="Times New Roman"/>
          <w:color w:val="auto"/>
          <w:szCs w:val="24"/>
          <w:highlight w:val="none"/>
          <w:lang w:val="en-US" w:eastAsia="zh-CN"/>
        </w:rPr>
        <w:t>1</w:t>
      </w:r>
      <w:r>
        <w:rPr>
          <w:rFonts w:hint="eastAsia" w:eastAsia="宋体" w:cs="Times New Roman"/>
          <w:color w:val="auto"/>
          <w:szCs w:val="24"/>
          <w:highlight w:val="none"/>
          <w:lang w:val="en-US" w:eastAsia="zh-CN"/>
        </w:rPr>
        <w:t>0</w:t>
      </w:r>
      <w:r>
        <w:rPr>
          <w:rFonts w:hint="default" w:ascii="Times New Roman" w:hAnsi="Times New Roman" w:eastAsia="宋体" w:cs="Times New Roman"/>
          <w:color w:val="auto"/>
          <w:szCs w:val="24"/>
          <w:highlight w:val="none"/>
          <w:lang w:val="en-US" w:eastAsia="zh-CN"/>
        </w:rPr>
        <w:t>000</w:t>
      </w:r>
      <w:r>
        <w:rPr>
          <w:rFonts w:hint="default" w:ascii="Times New Roman" w:hAnsi="Times New Roman" w:eastAsia="宋体" w:cs="Times New Roman"/>
          <w:color w:val="auto"/>
          <w:szCs w:val="24"/>
          <w:highlight w:val="none"/>
        </w:rPr>
        <w:t>亩土地供本项目还田使用，能够满足配套土地需求。综上所述，本项目的建设符合《黑龙江省水污染防治条例》相关要求。</w:t>
      </w:r>
    </w:p>
    <w:p w14:paraId="486B896C">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5</w:t>
      </w:r>
      <w:r>
        <w:rPr>
          <w:rFonts w:hint="default" w:ascii="Times New Roman" w:hAnsi="Times New Roman" w:cs="Times New Roman"/>
          <w:color w:val="auto"/>
          <w:highlight w:val="none"/>
        </w:rPr>
        <w:t>与《黑龙江省国民经济和社会发展第十</w:t>
      </w:r>
      <w:r>
        <w:rPr>
          <w:rFonts w:hint="eastAsia" w:cs="Times New Roman"/>
          <w:color w:val="auto"/>
          <w:highlight w:val="none"/>
          <w:lang w:val="en-US" w:eastAsia="zh-CN"/>
        </w:rPr>
        <w:t>五</w:t>
      </w:r>
      <w:r>
        <w:rPr>
          <w:rFonts w:hint="default" w:ascii="Times New Roman" w:hAnsi="Times New Roman" w:cs="Times New Roman"/>
          <w:color w:val="auto"/>
          <w:highlight w:val="none"/>
        </w:rPr>
        <w:t>个五年规划纲要》（黑政发[202</w:t>
      </w:r>
      <w:r>
        <w:rPr>
          <w:rFonts w:hint="eastAsia" w:cs="Times New Roman"/>
          <w:color w:val="auto"/>
          <w:highlight w:val="none"/>
          <w:lang w:val="en-US" w:eastAsia="zh-CN"/>
        </w:rPr>
        <w:t>6</w:t>
      </w:r>
      <w:r>
        <w:rPr>
          <w:rFonts w:hint="default" w:ascii="Times New Roman" w:hAnsi="Times New Roman" w:cs="Times New Roman"/>
          <w:color w:val="auto"/>
          <w:highlight w:val="none"/>
        </w:rPr>
        <w:t>]</w:t>
      </w:r>
      <w:r>
        <w:rPr>
          <w:rFonts w:hint="eastAsia" w:cs="Times New Roman"/>
          <w:color w:val="auto"/>
          <w:highlight w:val="none"/>
          <w:lang w:val="en-US" w:eastAsia="zh-CN"/>
        </w:rPr>
        <w:t>4</w:t>
      </w:r>
      <w:r>
        <w:rPr>
          <w:rFonts w:hint="default" w:ascii="Times New Roman" w:hAnsi="Times New Roman" w:cs="Times New Roman"/>
          <w:color w:val="auto"/>
          <w:highlight w:val="none"/>
        </w:rPr>
        <w:t>号）</w:t>
      </w:r>
    </w:p>
    <w:p w14:paraId="783DF28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根据《黑龙江省国民经济和社会发展第十四个五年规划纲要》（黑政发[202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号）第二节 打造践行大食物观先行地。</w:t>
      </w:r>
    </w:p>
    <w:p w14:paraId="70CC301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建设现代畜牧产业基地。</w:t>
      </w:r>
      <w:r>
        <w:rPr>
          <w:rFonts w:hint="eastAsia" w:ascii="Times New Roman" w:hAnsi="Times New Roman" w:eastAsia="宋体" w:cs="Times New Roman"/>
          <w:color w:val="auto"/>
          <w:highlight w:val="none"/>
        </w:rPr>
        <w:t>以“两牛一猪一鹅”为重点，加快推动畜牧业向集约、高端、高效、环保方向转型升级。实施畜禽遗传改良计划，持续提高农业核心种源自给率。推进高端肉牛产业“百千工程”，发展和牛、安格斯肉牛等高端肉牛养殖业，加快建设一批规模化养殖基地。提升奶业高质量发展水平，引导奶源基地和乳制品加工布局匹配、协调发展，扩大有机奶生产规模，巩固婴幼儿配方乳粉第一大省地位。强化生猪产能调控，全力稳定基础产能，推动生猪养殖智能化绿色化升级，实现生猪稳产保供。推动鹅全产业链发展，鼓励企业向上下游延伸，建设高品质“绒肉兼用”鹅产业发展区，打造百亿级鹅产业。发展狐、貉、貂、鸵鸟、梅花鹿等特色畜禽。</w:t>
      </w:r>
    </w:p>
    <w:p w14:paraId="2CDDA560">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本项目属于</w:t>
      </w:r>
      <w:r>
        <w:rPr>
          <w:rFonts w:hint="eastAsia" w:eastAsia="宋体" w:cs="Times New Roman"/>
          <w:color w:val="auto"/>
          <w:highlight w:val="none"/>
          <w:lang w:val="en-US" w:eastAsia="zh-CN"/>
        </w:rPr>
        <w:t>安格斯</w:t>
      </w:r>
      <w:r>
        <w:rPr>
          <w:rFonts w:hint="default" w:ascii="Times New Roman" w:hAnsi="Times New Roman" w:eastAsia="宋体" w:cs="Times New Roman"/>
          <w:color w:val="auto"/>
          <w:highlight w:val="none"/>
        </w:rPr>
        <w:t>肉牛规模化养殖，达产后肉牛养殖规模</w:t>
      </w:r>
      <w:r>
        <w:rPr>
          <w:rFonts w:hint="default" w:ascii="Times New Roman" w:hAnsi="Times New Roman" w:eastAsia="宋体" w:cs="Times New Roman"/>
          <w:color w:val="auto"/>
          <w:highlight w:val="none"/>
          <w:lang w:eastAsia="zh-CN"/>
        </w:rPr>
        <w:t>年出栏量为</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color w:val="auto"/>
          <w:highlight w:val="none"/>
        </w:rPr>
        <w:t>，项目的建设可推进</w:t>
      </w:r>
      <w:r>
        <w:rPr>
          <w:rFonts w:hint="default" w:ascii="Times New Roman" w:hAnsi="Times New Roman" w:eastAsia="宋体" w:cs="Times New Roman"/>
          <w:color w:val="auto"/>
          <w:highlight w:val="none"/>
          <w:lang w:val="en-US" w:eastAsia="zh-CN"/>
        </w:rPr>
        <w:t>黑河</w:t>
      </w:r>
      <w:r>
        <w:rPr>
          <w:rFonts w:hint="default" w:ascii="Times New Roman" w:hAnsi="Times New Roman" w:eastAsia="宋体" w:cs="Times New Roman"/>
          <w:color w:val="auto"/>
          <w:highlight w:val="none"/>
        </w:rPr>
        <w:t>市畜牧业的发展，提高肉牛品质。因此，本项目的建设符合《黑龙江省国民经济和社会发展第十四个五年规划纲要》（黑政发[202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号）。</w:t>
      </w:r>
    </w:p>
    <w:p w14:paraId="49D5F0A4">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1.4.2.1</w:t>
      </w:r>
      <w:r>
        <w:rPr>
          <w:rFonts w:hint="eastAsia" w:cs="Times New Roman"/>
          <w:color w:val="auto"/>
          <w:highlight w:val="none"/>
          <w:lang w:val="en-US" w:eastAsia="zh-CN"/>
        </w:rPr>
        <w:t>6</w:t>
      </w:r>
      <w:r>
        <w:rPr>
          <w:rFonts w:hint="default" w:ascii="Times New Roman" w:hAnsi="Times New Roman" w:cs="Times New Roman"/>
          <w:color w:val="auto"/>
          <w:highlight w:val="none"/>
        </w:rPr>
        <w:t>与《黑龙江省空气质量持续改善行动计划实施方案》符合性分析</w:t>
      </w:r>
    </w:p>
    <w:p w14:paraId="71BF18A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根据《黑龙江省空气质量持续改善行动计划实施方案》第四节 </w:t>
      </w:r>
      <w:r>
        <w:rPr>
          <w:rFonts w:hint="default" w:ascii="Times New Roman" w:hAnsi="Times New Roman" w:eastAsia="宋体" w:cs="Times New Roman"/>
          <w:color w:val="auto"/>
          <w:highlight w:val="none"/>
          <w:lang w:val="en-US" w:eastAsia="zh-CN"/>
        </w:rPr>
        <w:t>持续加强面源污染治理</w:t>
      </w:r>
      <w:r>
        <w:rPr>
          <w:rFonts w:hint="default" w:ascii="Times New Roman" w:hAnsi="Times New Roman" w:eastAsia="宋体" w:cs="Times New Roman"/>
          <w:color w:val="auto"/>
          <w:highlight w:val="none"/>
        </w:rPr>
        <w:t>：</w:t>
      </w:r>
    </w:p>
    <w:p w14:paraId="634541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二十五条</w:t>
      </w:r>
      <w:r>
        <w:rPr>
          <w:rFonts w:hint="default" w:ascii="Times New Roman" w:hAnsi="Times New Roman" w:eastAsia="宋体" w:cs="Times New Roman"/>
          <w:color w:val="auto"/>
          <w:highlight w:val="none"/>
        </w:rPr>
        <w:t xml:space="preserve"> 稳步推进大气氨污染防控。提升养殖业、种植业规模化和集约化水平，推进种养有机结合，提高畜禽粪污利用效率。鼓励生猪、鸡等圈舍封闭管理，推进粪污输送、存储及处理设施封闭，加强废气收集和处理。推广测土配方施肥、肥料机械深施和低蛋白日粮技术。加强氮肥、纯碱等行业氨排放治理，强化工业源烟气脱硫脱硝氨逃逸防控。</w:t>
      </w:r>
    </w:p>
    <w:p w14:paraId="1091DA22">
      <w:pPr>
        <w:pStyle w:val="67"/>
        <w:ind w:firstLine="480"/>
        <w:rPr>
          <w:rFonts w:hint="default" w:ascii="Times New Roman" w:hAnsi="Times New Roman" w:eastAsia="宋体" w:cs="Times New Roman"/>
          <w:color w:val="auto"/>
          <w:szCs w:val="24"/>
          <w:highlight w:val="none"/>
          <w:lang w:val="en-GB"/>
        </w:rPr>
      </w:pPr>
      <w:r>
        <w:rPr>
          <w:rFonts w:hint="default" w:ascii="Times New Roman" w:hAnsi="Times New Roman" w:eastAsia="宋体" w:cs="Times New Roman"/>
          <w:color w:val="auto"/>
          <w:szCs w:val="24"/>
          <w:highlight w:val="none"/>
        </w:rPr>
        <w:t>本项目属于肉牛集约化养殖，</w:t>
      </w: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w:t>
      </w:r>
      <w:r>
        <w:rPr>
          <w:rFonts w:hint="eastAsia" w:eastAsia="宋体" w:cs="Times New Roman"/>
          <w:color w:val="auto"/>
          <w:highlight w:val="none"/>
          <w:lang w:val="en-US" w:eastAsia="zh-CN"/>
        </w:rPr>
        <w:t>采取以上措施后，能有效控制大气中恶臭污染物的排放。</w:t>
      </w:r>
      <w:r>
        <w:rPr>
          <w:rFonts w:hint="default" w:ascii="Times New Roman" w:hAnsi="Times New Roman" w:eastAsia="宋体" w:cs="Times New Roman"/>
          <w:color w:val="auto"/>
          <w:highlight w:val="none"/>
        </w:rPr>
        <w:t>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r>
        <w:rPr>
          <w:rFonts w:hint="default" w:ascii="Times New Roman" w:hAnsi="Times New Roman" w:eastAsia="宋体" w:cs="Times New Roman"/>
          <w:color w:val="auto"/>
          <w:szCs w:val="24"/>
          <w:highlight w:val="none"/>
        </w:rPr>
        <w:t>。因此，本项目的建设符合《黑龙江省空气质量持续改善行动计划实施方案》。</w:t>
      </w:r>
    </w:p>
    <w:p w14:paraId="717BDFED">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综上所述，本项目的建设符合《黑龙江省空气质量持续改善行动计划实施方案》相关要求。</w:t>
      </w:r>
    </w:p>
    <w:p w14:paraId="03DF41C4">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17</w:t>
      </w:r>
      <w:r>
        <w:rPr>
          <w:rFonts w:hint="default" w:ascii="Times New Roman" w:hAnsi="Times New Roman" w:cs="Times New Roman"/>
          <w:color w:val="auto"/>
          <w:highlight w:val="none"/>
        </w:rPr>
        <w:t>与《黑龙江省人民政府办公厅关于印发黑龙江省畜禽养殖废弃物资源化利用工作方案的通知》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黑政办规〔2017〕77号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符合性分析</w:t>
      </w:r>
    </w:p>
    <w:p w14:paraId="70C553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分类推广重点技术模式。以源头减量、过程控制、末端利用为核心，重点推广经济适用的技术模式。一是源头减量。推广微生物制剂、酶制剂等饲料添加剂和低氮低磷低矿物质饲料配方，提高饲料转化效率，降低抗生素等兽药和铜、锌等饲料添加剂使用量；改水冲粪为干清粪，采用雨污分离、回收污水循环清粪等有效措施，控制污水产生量。二是过程控制。从畜舍设计、饲养管理、粪污处理等全程切入，严控环境污染，使用堆肥发酵菌剂、粪水处理菌剂和臭气控制菌剂等，加速粪污无害化处理过程，减少氮磷和臭气排放。三是末端利用。鼓励肉牛、羊和家禽规模化养殖场推行固体粪便堆肥或建立集中处理中心生产有机肥；鼓励生猪和奶牛等规模化养殖场采用粪污全量收集还田利用和“固体粪便堆肥＋污水肥料化利用”等技术模式，促进畜禽粪污就近就地还田利用。</w:t>
      </w:r>
    </w:p>
    <w:p w14:paraId="2346D6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本项目属于肉牛集约化养殖，牛舍内的牛粪采用畜禽养殖生物发酵床技术，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内。因此，本项目的建设符合《黑龙江省人民政府办公厅关于印发黑龙江省畜禽养殖废弃物资源化利用工作方案的通知》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黑政办规〔2017〕77号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5ED96C41">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18</w:t>
      </w:r>
      <w:r>
        <w:rPr>
          <w:rFonts w:hint="default" w:ascii="Times New Roman" w:hAnsi="Times New Roman" w:cs="Times New Roman"/>
          <w:color w:val="auto"/>
          <w:highlight w:val="none"/>
          <w:lang w:val="en-US" w:eastAsia="zh-CN"/>
        </w:rPr>
        <w:t>与</w:t>
      </w:r>
      <w:r>
        <w:rPr>
          <w:rFonts w:hint="default" w:ascii="Times New Roman" w:hAnsi="Times New Roman" w:cs="Times New Roman"/>
          <w:color w:val="auto"/>
          <w:highlight w:val="none"/>
        </w:rPr>
        <w:t>《黑河市土壤污染防治工作方案》（黑市政办规〔2017〕21号）符合性分析</w:t>
      </w:r>
    </w:p>
    <w:p w14:paraId="4399DF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aps w:val="0"/>
          <w:color w:val="auto"/>
          <w:spacing w:val="0"/>
          <w:sz w:val="24"/>
          <w:szCs w:val="24"/>
          <w:highlight w:val="none"/>
          <w:shd w:val="clear" w:fill="FFFFFF"/>
        </w:rPr>
        <w:t>强化空间布局管控。加强规划区划和建设项目布局论证，严格执行相关行业企业布局选址要求。严格保护优先保护类耕地，确保其面积不减少、土壤环境质量不下降。加强纳入耕地后备资源的未利用地保护，定期开展巡查。鼓励工业企业集聚发展，提高土地节约集约利用水平，减少土壤污染。禁止在居民区、学校、医疗和养老机构等周边新建有色金属冶炼、焦化等行业企业；结合推进新型城镇化、产业结构调整和化解过剩产能等，有序搬迁或依法关闭对土壤造成严重污染的现有企业。结合区域功能定位和土壤污染防治需要，科学布局生活垃圾处理、危险废物处置、废旧资源再生利用等设施和场所，按集约化、产业化、利于监管原则，推进再生资源产业园区建设，合理确定畜禽养殖布局和规模。</w:t>
      </w:r>
    </w:p>
    <w:p w14:paraId="744259E4">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本项目</w:t>
      </w: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内，可实现粪污无害化处理与资源化利用。因此，本项目的建设符合《黑河市土壤污染防治工作方案》（黑市政办规〔2017〕21号）。</w:t>
      </w:r>
    </w:p>
    <w:p w14:paraId="2946C7B0">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eastAsia" w:cs="Times New Roman"/>
          <w:color w:val="auto"/>
          <w:highlight w:val="none"/>
          <w:lang w:val="en-US" w:eastAsia="zh-CN"/>
        </w:rPr>
        <w:t>19</w:t>
      </w:r>
      <w:r>
        <w:rPr>
          <w:rFonts w:hint="default" w:ascii="Times New Roman" w:hAnsi="Times New Roman" w:cs="Times New Roman"/>
          <w:color w:val="auto"/>
          <w:highlight w:val="none"/>
        </w:rPr>
        <w:t>《黑河市国民经济和社会发展第十四个五年规划和二〇三五年远景目标纲要》（</w:t>
      </w:r>
      <w:r>
        <w:rPr>
          <w:rFonts w:hint="default" w:ascii="Times New Roman" w:hAnsi="Times New Roman" w:cs="Times New Roman"/>
          <w:color w:val="auto"/>
          <w:highlight w:val="none"/>
          <w:lang w:val="en-US" w:eastAsia="zh-CN"/>
        </w:rPr>
        <w:t>黑市政发〔2021〕9号</w:t>
      </w:r>
      <w:r>
        <w:rPr>
          <w:rFonts w:hint="default" w:ascii="Times New Roman" w:hAnsi="Times New Roman" w:cs="Times New Roman"/>
          <w:color w:val="auto"/>
          <w:highlight w:val="none"/>
        </w:rPr>
        <w:t>）</w:t>
      </w:r>
    </w:p>
    <w:p w14:paraId="556B554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稳步改善水环境质量</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"https://www.heihe.gov.cn/hhs/c103095/202104/c11_220610.shtml"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突出水资源、水生态、水环境“三水”统筹，坚持污染减排与生态扩容两手发力，不断改善水环境质量。充分发挥河（湖）长制作用，加大对域内江、河、湖泊、水库等精细化监管。组织各县（市、区）对县级饮用水源地和“万人、千吨”饮用水源地开展监测。开展市、县、乡、村四级集中式饮用水水源基础信息调查和饮用水水源规范化建设，确保人民群众饮水安全。加强水环境污染防治。强化源头防控，以工业企业和工业集聚区为重点，不断加大水环境监管，持续加强入河排污口排查整治。加大对域内黑龙江流域、嫩江流域水生态环境污染防治力度，实施乌裕尔河、讷谟尔河生态流量保障方案，维持河湖基本生态用水需求，加强山口湖、五大连池湖泊生态环境保护。开展农村生活污水治理。把农村污水治理与农村改厕工作有机结合起来，将水冲式厕所改造率完成60%以上的村庄优先纳入农村污水治理范围。严格治理畜禽养殖污染和农业面源污染，到2025年，农村生活污水治理率达到30%，规模化畜禽养殖场(小区)粪污综合利用率达到95%以上，新增地下水监测点位3个。</w:t>
      </w:r>
    </w:p>
    <w:p w14:paraId="67CACE4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内，可实现粪污无害化处理与资源化利用</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本项目无废水排放，不会对地表示及地下水产生影响</w:t>
      </w:r>
      <w:r>
        <w:rPr>
          <w:rFonts w:hint="default" w:ascii="Times New Roman" w:hAnsi="Times New Roman" w:eastAsia="宋体" w:cs="Times New Roman"/>
          <w:color w:val="auto"/>
          <w:highlight w:val="none"/>
        </w:rPr>
        <w:t>。因此，本项目的建设符合《黑河市国民经济和社会发展第十四个五年规划和二〇三五年远景目标纲要》（</w:t>
      </w:r>
      <w:r>
        <w:rPr>
          <w:rFonts w:hint="default" w:ascii="Times New Roman" w:hAnsi="Times New Roman" w:eastAsia="宋体" w:cs="Times New Roman"/>
          <w:color w:val="auto"/>
          <w:highlight w:val="none"/>
          <w:lang w:val="en-US" w:eastAsia="zh-CN"/>
        </w:rPr>
        <w:t>黑市政发〔2021〕9号</w:t>
      </w:r>
      <w:r>
        <w:rPr>
          <w:rFonts w:hint="default" w:ascii="Times New Roman" w:hAnsi="Times New Roman" w:eastAsia="宋体" w:cs="Times New Roman"/>
          <w:color w:val="auto"/>
          <w:highlight w:val="none"/>
        </w:rPr>
        <w:t>）。</w:t>
      </w:r>
    </w:p>
    <w:p w14:paraId="4DEE71FC">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0</w:t>
      </w:r>
      <w:r>
        <w:rPr>
          <w:rFonts w:hint="default" w:ascii="Times New Roman" w:hAnsi="Times New Roman" w:cs="Times New Roman"/>
          <w:color w:val="auto"/>
          <w:highlight w:val="none"/>
        </w:rPr>
        <w:t>与《地下水管理条例》（中华人民共和国国务院令第748号）符合性分析</w:t>
      </w:r>
    </w:p>
    <w:p w14:paraId="7B9769E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本项目与《地下水管理条例》（中华人民共和国国务院令第748号）符合性分析见下表。</w:t>
      </w:r>
    </w:p>
    <w:p w14:paraId="2B49F0C8">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《地下水管理条例》（中华人民共和国国务院令第748号）符合性分析一览表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3966"/>
        <w:gridCol w:w="2975"/>
        <w:gridCol w:w="799"/>
      </w:tblGrid>
      <w:tr w14:paraId="466444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610913B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969" w:type="dxa"/>
            <w:vAlign w:val="center"/>
          </w:tcPr>
          <w:p w14:paraId="7FE1D87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《畜禽规模养殖场粪污资源化利用设施建设规范（试行）》（农办牧[2018]2号）</w:t>
            </w:r>
          </w:p>
        </w:tc>
        <w:tc>
          <w:tcPr>
            <w:tcW w:w="2977" w:type="dxa"/>
            <w:vAlign w:val="center"/>
          </w:tcPr>
          <w:p w14:paraId="67774BE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542B783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22531A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7D9649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969" w:type="dxa"/>
            <w:vAlign w:val="center"/>
          </w:tcPr>
          <w:p w14:paraId="5D9D2E57">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用地下水的单位和个人应当遵守取水总量控制和定额管理要求，使用先进节约用水技术、工艺和设备，采取循环用水、综合利用及废水处理回用等措施，实施技术改造，降低用水消耗。利用地下水的单位和个人应当加强地下水取水工程管理，节约、保护地下水，防止地下水污染。建设单位和个人应当采取措施防止地下工程建设对地下水补给、径流、排泄等造成重大不利影响。</w:t>
            </w:r>
          </w:p>
        </w:tc>
        <w:tc>
          <w:tcPr>
            <w:tcW w:w="2977" w:type="dxa"/>
            <w:vAlign w:val="center"/>
          </w:tcPr>
          <w:p w14:paraId="4EA04C7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本项目不在地下水超采</w:t>
            </w:r>
            <w:r>
              <w:rPr>
                <w:rFonts w:hint="default" w:ascii="Times New Roman" w:hAnsi="Times New Roman" w:eastAsia="宋体" w:cs="Times New Roman"/>
                <w:color w:val="auto"/>
                <w:highlight w:val="none"/>
                <w:lang w:val="en-US" w:eastAsia="zh-CN"/>
              </w:rPr>
              <w:t>区</w:t>
            </w:r>
            <w:r>
              <w:rPr>
                <w:rFonts w:hint="default" w:ascii="Times New Roman" w:hAnsi="Times New Roman" w:eastAsia="宋体" w:cs="Times New Roman"/>
                <w:color w:val="auto"/>
                <w:highlight w:val="none"/>
              </w:rPr>
              <w:t>和超载区。本项目制定取水方案节约、保护地下水，项目运营对地下水构成污染的可能环节设置防渗，不存在地下水污染途径。</w:t>
            </w:r>
          </w:p>
        </w:tc>
        <w:tc>
          <w:tcPr>
            <w:tcW w:w="799" w:type="dxa"/>
            <w:vAlign w:val="center"/>
          </w:tcPr>
          <w:p w14:paraId="74D2EB5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6627317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根据上表，本项目与《地下水管理条例》（中华人民共和国国务院令第748号）相符合。</w:t>
      </w:r>
    </w:p>
    <w:p w14:paraId="7BDE242A">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1.4.2.</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1</w:t>
      </w:r>
      <w:r>
        <w:rPr>
          <w:rFonts w:hint="default" w:ascii="Times New Roman" w:hAnsi="Times New Roman" w:cs="Times New Roman"/>
          <w:color w:val="auto"/>
          <w:highlight w:val="none"/>
        </w:rPr>
        <w:t>与《动物防疫条件审查办法》（2022年第8号，2022年12月1日起施行）符合性分析</w:t>
      </w:r>
    </w:p>
    <w:p w14:paraId="2F145D0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本项目与《动物防疫条件审查办法》（2022年第8号，2022年12月1日起施行）符合性分析见下表。</w:t>
      </w:r>
    </w:p>
    <w:p w14:paraId="49575FA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《动物防疫条件审查办法》（2022年第8号，2022年12月1日起施行）符合性分析一览表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3966"/>
        <w:gridCol w:w="2975"/>
        <w:gridCol w:w="799"/>
      </w:tblGrid>
      <w:tr w14:paraId="5C1348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1FFCDCB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969" w:type="dxa"/>
            <w:vAlign w:val="center"/>
          </w:tcPr>
          <w:p w14:paraId="0DB859A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《动物防疫条件审查办法》（2022年第8号，2022年12月1日起施行）</w:t>
            </w:r>
          </w:p>
        </w:tc>
        <w:tc>
          <w:tcPr>
            <w:tcW w:w="2977" w:type="dxa"/>
            <w:vAlign w:val="center"/>
          </w:tcPr>
          <w:p w14:paraId="70D963A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799" w:type="dxa"/>
            <w:vAlign w:val="center"/>
          </w:tcPr>
          <w:p w14:paraId="3C7863D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1ABCA6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Align w:val="center"/>
          </w:tcPr>
          <w:p w14:paraId="3CED594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969" w:type="dxa"/>
            <w:vAlign w:val="center"/>
          </w:tcPr>
          <w:p w14:paraId="136B9251">
            <w:pPr>
              <w:pStyle w:val="146"/>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六</w:t>
            </w:r>
            <w:r>
              <w:rPr>
                <w:rFonts w:hint="default" w:ascii="Times New Roman" w:hAnsi="Times New Roman" w:eastAsia="宋体" w:cs="Times New Roman"/>
                <w:color w:val="auto"/>
                <w:highlight w:val="none"/>
              </w:rPr>
              <w:t>条</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动物饲养场、动物隔离场所、动物屠宰加工场所以及动物和动物产品无害化处理场所应当符合下列条件：</w:t>
            </w:r>
          </w:p>
          <w:p w14:paraId="718D885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（一）各场所之间，各场所与动物诊疗场所、居民生活区、生活饮用水水源地、学校、医院等公共场所之间保持必要的距离；</w:t>
            </w:r>
          </w:p>
          <w:p w14:paraId="4F5C105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（二）配备与其生产经营规模相适应的执业兽医或者动物防疫技术人员；</w:t>
            </w:r>
          </w:p>
          <w:p w14:paraId="5F30BA2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（三）配备与其生产经营规模相适应的污水、污物处理设施，清洗消毒设施设备，以及必要的防鼠、防鸟、防虫设施设备；</w:t>
            </w:r>
          </w:p>
          <w:p w14:paraId="0725C761">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（四）建立隔离消毒、购销台账、日常巡查等动物防疫制度。</w:t>
            </w:r>
          </w:p>
          <w:p w14:paraId="7A05228F">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第七条 动物饲养场除符合本办法第六条规定外，还应当符合下列条件：</w:t>
            </w:r>
          </w:p>
          <w:p w14:paraId="14741AD8">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（一）设置配备疫苗冷藏冷冻设备、消毒和诊疗等防疫设备的兽医室；</w:t>
            </w:r>
          </w:p>
          <w:p w14:paraId="280C57D3">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（二）生产区清洁道、污染道分设；具有相对独立的动物隔离舍；</w:t>
            </w:r>
          </w:p>
          <w:p w14:paraId="09E5BFD5">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（三）配备符合国家规定的病死动物和病害动物产品无害化处理设施设备或者冷藏冷冻等暂存设施设备；</w:t>
            </w:r>
          </w:p>
          <w:p w14:paraId="65B4AE5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（四）建立免疫、用药、检疫申报、疫情报告、无害化处理、畜禽标识及养殖档案管理等动物防疫制度。</w:t>
            </w:r>
          </w:p>
          <w:p w14:paraId="474C6C2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禽类饲养场内的孵化间与养殖区之间应当设置隔离设施，并配备种蛋熏蒸消毒设施，孵化间的流程应当单向，不得交叉或者回流。</w:t>
            </w:r>
          </w:p>
          <w:p w14:paraId="7D57C10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种畜禽场除符合本条第一款、第二款规定外，还应当有国家规定的动物疫病的净化制度；有动物精液、卵、胚胎采集等生产需要的，应当设置独立的区域。</w:t>
            </w:r>
          </w:p>
          <w:p w14:paraId="482B6AE6">
            <w:pPr>
              <w:pStyle w:val="146"/>
              <w:rPr>
                <w:rFonts w:hint="default" w:ascii="Times New Roman" w:hAnsi="Times New Roman" w:eastAsia="宋体" w:cs="Times New Roman"/>
                <w:color w:val="auto"/>
                <w:highlight w:val="none"/>
              </w:rPr>
            </w:pPr>
          </w:p>
        </w:tc>
        <w:tc>
          <w:tcPr>
            <w:tcW w:w="2977" w:type="dxa"/>
            <w:vAlign w:val="center"/>
          </w:tcPr>
          <w:p w14:paraId="49284082">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（一）本项目周围500米区域内无动物饲养场、养殖小区、动物集贸市场及生活饮用水源地；200米区域内无动物诊疗场所；距离种畜禽场3000米以上。</w:t>
            </w:r>
          </w:p>
          <w:p w14:paraId="4E792CFD">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（二）配备动物防疫技术人员；</w:t>
            </w:r>
          </w:p>
          <w:p w14:paraId="3EEE981D">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（三）已配备相应规模</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，以及防鼠、防鸟、防虫设施设备；</w:t>
            </w:r>
          </w:p>
          <w:p w14:paraId="4A0309E4">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（四）已建立隔离消毒、购销台账、日常巡查等动物防疫制度；</w:t>
            </w:r>
          </w:p>
          <w:p w14:paraId="6CE7DAE1">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（五）配备疫苗冷藏冷冻设备、消毒和诊疗等防疫设备的兽医室；</w:t>
            </w:r>
          </w:p>
          <w:p w14:paraId="5A50C77E">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（六）项目设有动物隔离舍；</w:t>
            </w:r>
          </w:p>
          <w:p w14:paraId="59A68BA7">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（七）已配备检疫操作台</w:t>
            </w:r>
          </w:p>
          <w:p w14:paraId="2240D5E3">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（八）本项目不设置无害化处理设施设备或者冷藏冷冻等暂存设施设备，交由哈尔滨银山无害化处理有限公司处理；</w:t>
            </w:r>
          </w:p>
          <w:p w14:paraId="50196902">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（九）项目建成后建立免疫、用药、检疫申报、疫情报告、无害化处理、畜禽标识及养殖档案管理等动物防疫制度。</w:t>
            </w:r>
          </w:p>
          <w:p w14:paraId="2C5A7207">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（十）项目不设置孵化间。</w:t>
            </w:r>
          </w:p>
        </w:tc>
        <w:tc>
          <w:tcPr>
            <w:tcW w:w="799" w:type="dxa"/>
            <w:vAlign w:val="center"/>
          </w:tcPr>
          <w:p w14:paraId="639055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558AD88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根据上表，本项目与《动物防疫条件审查办法》（2022年第8号，2022年12月1日起施行）相符合。</w:t>
      </w:r>
    </w:p>
    <w:p w14:paraId="36E12F80">
      <w:pPr>
        <w:pStyle w:val="6"/>
        <w:spacing w:line="500" w:lineRule="exact"/>
        <w:rPr>
          <w:rFonts w:hint="default" w:ascii="Times New Roman" w:hAnsi="Times New Roman" w:eastAsia="黑体" w:cs="Times New Roman"/>
          <w:color w:val="auto"/>
          <w:kern w:val="2"/>
          <w:sz w:val="24"/>
          <w:szCs w:val="22"/>
          <w:highlight w:val="none"/>
          <w:lang w:val="zh-CN" w:eastAsia="zh-CN" w:bidi="ar-SA"/>
        </w:rPr>
      </w:pPr>
      <w:r>
        <w:rPr>
          <w:rFonts w:hint="default" w:ascii="Times New Roman" w:hAnsi="Times New Roman" w:cs="Times New Roman"/>
          <w:color w:val="auto"/>
          <w:highlight w:val="none"/>
        </w:rPr>
        <w:t>1.4</w:t>
      </w:r>
      <w:r>
        <w:rPr>
          <w:rFonts w:hint="default" w:ascii="Times New Roman" w:hAnsi="Times New Roman" w:eastAsia="黑体" w:cs="Times New Roman"/>
          <w:color w:val="auto"/>
          <w:kern w:val="2"/>
          <w:sz w:val="24"/>
          <w:szCs w:val="22"/>
          <w:highlight w:val="none"/>
          <w:lang w:val="zh-CN" w:eastAsia="zh-CN" w:bidi="ar-SA"/>
        </w:rPr>
        <w:t>.2.</w:t>
      </w:r>
      <w:r>
        <w:rPr>
          <w:rFonts w:hint="default" w:ascii="Times New Roman" w:hAnsi="Times New Roman" w:eastAsia="黑体" w:cs="Times New Roman"/>
          <w:color w:val="auto"/>
          <w:kern w:val="2"/>
          <w:sz w:val="24"/>
          <w:szCs w:val="22"/>
          <w:highlight w:val="none"/>
          <w:lang w:val="en-US" w:eastAsia="zh-CN" w:bidi="ar-SA"/>
        </w:rPr>
        <w:t>2</w:t>
      </w:r>
      <w:r>
        <w:rPr>
          <w:rFonts w:hint="eastAsia" w:cs="Times New Roman"/>
          <w:color w:val="auto"/>
          <w:kern w:val="2"/>
          <w:sz w:val="24"/>
          <w:szCs w:val="22"/>
          <w:highlight w:val="none"/>
          <w:lang w:val="en-US" w:eastAsia="zh-CN" w:bidi="ar-SA"/>
        </w:rPr>
        <w:t>2</w:t>
      </w:r>
      <w:r>
        <w:rPr>
          <w:rFonts w:hint="default" w:ascii="Times New Roman" w:hAnsi="Times New Roman" w:eastAsia="黑体" w:cs="Times New Roman"/>
          <w:color w:val="auto"/>
          <w:kern w:val="2"/>
          <w:sz w:val="24"/>
          <w:szCs w:val="22"/>
          <w:highlight w:val="none"/>
          <w:lang w:val="zh-CN" w:eastAsia="zh-CN" w:bidi="ar-SA"/>
        </w:rPr>
        <w:t>与《黑龙江省黑土地保护利用条例》符合性分析</w:t>
      </w:r>
    </w:p>
    <w:p w14:paraId="34225C2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黑土地保护利用实行土地用途管制制度。严格限制农用地转为建设用地，严格控制耕地转为非耕地，禁止违法占用耕地。禁止偷采盗挖、污染损害、非法买卖、违法加工运输黑土和泥炭，禁止非法开垦黑土地。 </w:t>
      </w:r>
    </w:p>
    <w:p w14:paraId="181E2F0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eastAsia="zh-CN"/>
        </w:rPr>
        <w:t>本项目属于肉牛集约化养殖</w:t>
      </w:r>
      <w:r>
        <w:rPr>
          <w:rFonts w:hint="default" w:ascii="Times New Roman" w:hAnsi="Times New Roman" w:eastAsia="宋体" w:cs="Times New Roman"/>
          <w:color w:val="auto"/>
          <w:highlight w:val="none"/>
          <w:lang w:val="en-US" w:eastAsia="zh-CN"/>
        </w:rPr>
        <w:t>项目，</w:t>
      </w:r>
      <w:r>
        <w:rPr>
          <w:rFonts w:hint="eastAsia" w:ascii="Times New Roman" w:hAnsi="Times New Roman" w:eastAsia="宋体" w:cs="Times New Roman"/>
          <w:color w:val="auto"/>
          <w:highlight w:val="none"/>
          <w:lang w:val="en-US" w:eastAsia="zh-CN"/>
        </w:rPr>
        <w:t>土地利用类型为</w:t>
      </w:r>
      <w:r>
        <w:rPr>
          <w:rFonts w:hint="eastAsia" w:eastAsia="宋体" w:cs="Times New Roman"/>
          <w:color w:val="auto"/>
          <w:highlight w:val="none"/>
          <w:lang w:val="en-US" w:eastAsia="zh-CN"/>
        </w:rPr>
        <w:t>农用设施用地</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项目建设期间，会先进行表土剥离工作，存放于厂区</w:t>
      </w:r>
      <w:r>
        <w:rPr>
          <w:rFonts w:hint="eastAsia" w:eastAsia="宋体" w:cs="Times New Roman"/>
          <w:color w:val="auto"/>
          <w:highlight w:val="none"/>
          <w:lang w:val="en-US" w:eastAsia="zh-CN"/>
        </w:rPr>
        <w:t>东南</w:t>
      </w:r>
      <w:r>
        <w:rPr>
          <w:rFonts w:hint="default" w:ascii="Times New Roman" w:hAnsi="Times New Roman" w:eastAsia="宋体" w:cs="Times New Roman"/>
          <w:color w:val="auto"/>
          <w:highlight w:val="none"/>
          <w:lang w:val="en-US" w:eastAsia="zh-CN"/>
        </w:rPr>
        <w:t>侧，表土苫盖，施工期结束后会将表土转移至土壤修复场所。</w:t>
      </w:r>
      <w:r>
        <w:rPr>
          <w:rFonts w:hint="default" w:ascii="Times New Roman" w:hAnsi="Times New Roman" w:eastAsia="宋体" w:cs="Times New Roman"/>
          <w:color w:val="auto"/>
          <w:highlight w:val="none"/>
        </w:rPr>
        <w:t>不属于上述禁止的行为。项目在施工前期严格按照土地征用要求办理相关手续，符合《黑龙江省黑土地保护利用条例》要求。</w:t>
      </w:r>
    </w:p>
    <w:p w14:paraId="47FC7FE9">
      <w:pPr>
        <w:pStyle w:val="6"/>
        <w:spacing w:line="500" w:lineRule="exact"/>
        <w:rPr>
          <w:rFonts w:hint="default" w:ascii="Times New Roman" w:hAnsi="Times New Roman" w:eastAsia="黑体" w:cs="Times New Roman"/>
          <w:color w:val="auto"/>
          <w:kern w:val="2"/>
          <w:sz w:val="24"/>
          <w:szCs w:val="22"/>
          <w:highlight w:val="none"/>
          <w:lang w:val="zh-CN" w:eastAsia="zh-CN" w:bidi="ar-SA"/>
        </w:rPr>
      </w:pPr>
      <w:r>
        <w:rPr>
          <w:rFonts w:hint="default" w:ascii="Times New Roman" w:hAnsi="Times New Roman" w:eastAsia="黑体" w:cs="Times New Roman"/>
          <w:color w:val="auto"/>
          <w:kern w:val="2"/>
          <w:sz w:val="24"/>
          <w:szCs w:val="22"/>
          <w:highlight w:val="none"/>
          <w:lang w:val="zh-CN" w:eastAsia="zh-CN" w:bidi="ar-SA"/>
        </w:rPr>
        <w:t>1.4.2.</w:t>
      </w:r>
      <w:r>
        <w:rPr>
          <w:rFonts w:hint="default" w:ascii="Times New Roman" w:hAnsi="Times New Roman" w:eastAsia="黑体" w:cs="Times New Roman"/>
          <w:color w:val="auto"/>
          <w:kern w:val="2"/>
          <w:sz w:val="24"/>
          <w:szCs w:val="22"/>
          <w:highlight w:val="none"/>
          <w:lang w:val="en-US" w:eastAsia="zh-CN" w:bidi="ar-SA"/>
        </w:rPr>
        <w:t>2</w:t>
      </w:r>
      <w:r>
        <w:rPr>
          <w:rFonts w:hint="eastAsia" w:cs="Times New Roman"/>
          <w:color w:val="auto"/>
          <w:kern w:val="2"/>
          <w:sz w:val="24"/>
          <w:szCs w:val="22"/>
          <w:highlight w:val="none"/>
          <w:lang w:val="en-US" w:eastAsia="zh-CN" w:bidi="ar-SA"/>
        </w:rPr>
        <w:t>3</w:t>
      </w:r>
      <w:r>
        <w:rPr>
          <w:rFonts w:hint="default" w:ascii="Times New Roman" w:hAnsi="Times New Roman" w:eastAsia="黑体" w:cs="Times New Roman"/>
          <w:color w:val="auto"/>
          <w:kern w:val="2"/>
          <w:sz w:val="24"/>
          <w:szCs w:val="22"/>
          <w:highlight w:val="none"/>
          <w:lang w:val="zh-CN" w:eastAsia="zh-CN" w:bidi="ar-SA"/>
        </w:rPr>
        <w:t>与“《黑龙江省黑土地保护工程实施方案（2021-2025年）》黑政办规〔2021〕40号”符合性分析</w:t>
      </w:r>
    </w:p>
    <w:p w14:paraId="6ECF36C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黑土地保护工程实施方案（2021-2025年）》，到2025年，建设黑土高标准农田累计达到2800万亩，其中黑土地保护标准化示范区面积累计达到870万亩；治理长度大于100米的大中型侵蚀沟累计达到2520条；免耕少耕秸秆覆盖还田、秸秆碎混和翻埋（压）还田等保护性耕作累计达到2.8亿亩次（每年实施5600万亩），其中有机肥深翻还田面积累计达到5600万亩（每年实施1120万亩）。土壤有机质含量平均增加1克/千克以上，力争增加1.5克/千克；旱田平地耕作层平均达到30厘米以上，坡耕地、风沙干旱区耕作层平均达到25厘米以上，水田耕作层达到20-25厘米，有效遏制黑土耕地退化趋势，基本构建形成持续推进黑土地保护利用的长效机制。</w:t>
      </w:r>
    </w:p>
    <w:p w14:paraId="3B83E49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eastAsia="zh-CN"/>
        </w:rPr>
        <w:t>本项目属于肉牛集约化养殖</w:t>
      </w:r>
      <w:r>
        <w:rPr>
          <w:rFonts w:hint="default" w:ascii="Times New Roman" w:hAnsi="Times New Roman" w:eastAsia="宋体" w:cs="Times New Roman"/>
          <w:color w:val="auto"/>
          <w:highlight w:val="none"/>
          <w:lang w:val="en-US" w:eastAsia="zh-CN"/>
        </w:rPr>
        <w:t>项目，项目建设期间，会先进行表土剥离工作，存放于厂区</w:t>
      </w:r>
      <w:r>
        <w:rPr>
          <w:rFonts w:hint="eastAsia" w:eastAsia="宋体" w:cs="Times New Roman"/>
          <w:color w:val="auto"/>
          <w:highlight w:val="none"/>
          <w:lang w:val="en-US" w:eastAsia="zh-CN"/>
        </w:rPr>
        <w:t>东南</w:t>
      </w:r>
      <w:r>
        <w:rPr>
          <w:rFonts w:hint="default" w:ascii="Times New Roman" w:hAnsi="Times New Roman" w:eastAsia="宋体" w:cs="Times New Roman"/>
          <w:color w:val="auto"/>
          <w:highlight w:val="none"/>
          <w:lang w:val="en-US" w:eastAsia="zh-CN"/>
        </w:rPr>
        <w:t>侧，表土苫盖，施工期结束后会将表土转移至土壤修复场所。项目建成后，</w:t>
      </w: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r>
        <w:rPr>
          <w:rFonts w:hint="default" w:ascii="Times New Roman" w:hAnsi="Times New Roman" w:eastAsia="宋体" w:cs="Times New Roman"/>
          <w:color w:val="auto"/>
          <w:highlight w:val="none"/>
          <w:lang w:val="en-US" w:eastAsia="zh-CN"/>
        </w:rPr>
        <w:t>本项目进行合理还田可增加土壤有机质含量。</w:t>
      </w:r>
      <w:r>
        <w:rPr>
          <w:rFonts w:hint="default" w:ascii="Times New Roman" w:hAnsi="Times New Roman" w:eastAsia="宋体" w:cs="Times New Roman"/>
          <w:color w:val="auto"/>
          <w:highlight w:val="none"/>
        </w:rPr>
        <w:t>项目建设符合《黑龙江省黑土地保护工程实施方案（2021-2025年）》要求。</w:t>
      </w:r>
    </w:p>
    <w:p w14:paraId="49A9C7A9">
      <w:pPr>
        <w:pStyle w:val="6"/>
        <w:spacing w:line="500" w:lineRule="exact"/>
        <w:rPr>
          <w:rFonts w:hint="default" w:ascii="Times New Roman" w:hAnsi="Times New Roman" w:eastAsia="黑体" w:cs="Times New Roman"/>
          <w:color w:val="auto"/>
          <w:kern w:val="2"/>
          <w:sz w:val="24"/>
          <w:szCs w:val="22"/>
          <w:highlight w:val="none"/>
          <w:lang w:val="zh-CN" w:eastAsia="zh-CN" w:bidi="ar-SA"/>
        </w:rPr>
      </w:pPr>
      <w:r>
        <w:rPr>
          <w:rFonts w:hint="default" w:ascii="Times New Roman" w:hAnsi="Times New Roman" w:eastAsia="黑体" w:cs="Times New Roman"/>
          <w:color w:val="auto"/>
          <w:kern w:val="2"/>
          <w:sz w:val="24"/>
          <w:szCs w:val="22"/>
          <w:highlight w:val="none"/>
          <w:lang w:val="zh-CN" w:eastAsia="zh-CN" w:bidi="ar-SA"/>
        </w:rPr>
        <w:t>1.4.2.</w:t>
      </w:r>
      <w:r>
        <w:rPr>
          <w:rFonts w:hint="default" w:ascii="Times New Roman" w:hAnsi="Times New Roman" w:eastAsia="黑体" w:cs="Times New Roman"/>
          <w:color w:val="auto"/>
          <w:kern w:val="2"/>
          <w:sz w:val="24"/>
          <w:szCs w:val="22"/>
          <w:highlight w:val="none"/>
          <w:lang w:val="en-US" w:eastAsia="zh-CN" w:bidi="ar-SA"/>
        </w:rPr>
        <w:t>2</w:t>
      </w:r>
      <w:r>
        <w:rPr>
          <w:rFonts w:hint="eastAsia" w:cs="Times New Roman"/>
          <w:color w:val="auto"/>
          <w:kern w:val="2"/>
          <w:sz w:val="24"/>
          <w:szCs w:val="22"/>
          <w:highlight w:val="none"/>
          <w:lang w:val="en-US" w:eastAsia="zh-CN" w:bidi="ar-SA"/>
        </w:rPr>
        <w:t>4</w:t>
      </w:r>
      <w:r>
        <w:rPr>
          <w:rFonts w:hint="default" w:ascii="Times New Roman" w:hAnsi="Times New Roman" w:eastAsia="黑体" w:cs="Times New Roman"/>
          <w:color w:val="auto"/>
          <w:kern w:val="2"/>
          <w:sz w:val="24"/>
          <w:szCs w:val="22"/>
          <w:highlight w:val="none"/>
          <w:lang w:val="zh-CN" w:eastAsia="zh-CN" w:bidi="ar-SA"/>
        </w:rPr>
        <w:t>与《黑龙江省主体功能区划》符合性分析</w:t>
      </w:r>
    </w:p>
    <w:p w14:paraId="0283F9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，为</w:t>
      </w:r>
      <w:r>
        <w:rPr>
          <w:rFonts w:hint="default" w:ascii="Times New Roman" w:hAnsi="Times New Roman" w:eastAsia="宋体" w:cs="Times New Roman"/>
          <w:color w:val="auto"/>
          <w:highlight w:val="none"/>
          <w:lang w:val="en-US" w:eastAsia="zh-CN"/>
        </w:rPr>
        <w:t>国家级</w:t>
      </w:r>
      <w:r>
        <w:rPr>
          <w:rFonts w:hint="default" w:ascii="Times New Roman" w:hAnsi="Times New Roman" w:eastAsia="宋体" w:cs="Times New Roman"/>
          <w:color w:val="auto"/>
          <w:highlight w:val="none"/>
        </w:rPr>
        <w:t>限制开发区域（</w:t>
      </w:r>
      <w:r>
        <w:rPr>
          <w:rFonts w:hint="default" w:ascii="Times New Roman" w:hAnsi="Times New Roman" w:eastAsia="宋体" w:cs="Times New Roman"/>
          <w:color w:val="auto"/>
          <w:highlight w:val="none"/>
          <w:lang w:val="en-US" w:eastAsia="zh-CN"/>
        </w:rPr>
        <w:t>重点生态功能区</w:t>
      </w:r>
      <w:r>
        <w:rPr>
          <w:rFonts w:hint="default" w:ascii="Times New Roman" w:hAnsi="Times New Roman" w:eastAsia="宋体" w:cs="Times New Roman"/>
          <w:color w:val="auto"/>
          <w:highlight w:val="none"/>
        </w:rPr>
        <w:t>）。功能定位：以提供生态产品为主，保障生态安全的重要区域，人与自然和谐相处的示范区。发展方向：</w:t>
      </w:r>
      <w:r>
        <w:rPr>
          <w:rFonts w:hint="default" w:ascii="Times New Roman" w:hAnsi="Times New Roman" w:eastAsia="宋体" w:cs="Times New Roman"/>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8934450</wp:posOffset>
                </wp:positionH>
                <wp:positionV relativeFrom="paragraph">
                  <wp:posOffset>2324100</wp:posOffset>
                </wp:positionV>
                <wp:extent cx="2084705" cy="891540"/>
                <wp:effectExtent l="0" t="0" r="10795" b="3810"/>
                <wp:wrapNone/>
                <wp:docPr id="111" name="矩形 111"/>
                <wp:cNvGraphicFramePr/>
                <a:graphic xmlns:a="http://schemas.openxmlformats.org/drawingml/2006/main">
                  <a:graphicData uri="http://schemas.microsoft.com/office/word/2010/wordprocessingShape">
                    <wps:wsp>
                      <wps:cNvSpPr/>
                      <wps:spPr>
                        <a:xfrm>
                          <a:off x="0" y="0"/>
                          <a:ext cx="2084705" cy="891540"/>
                        </a:xfrm>
                        <a:prstGeom prst="rect">
                          <a:avLst/>
                        </a:prstGeom>
                        <a:solidFill>
                          <a:srgbClr val="FFFFFF"/>
                        </a:solidFill>
                        <a:ln>
                          <a:noFill/>
                        </a:ln>
                      </wps:spPr>
                      <wps:txbx>
                        <w:txbxContent>
                          <w:p w14:paraId="45BEAADE">
                            <w:pPr>
                              <w:rPr>
                                <w:rFonts w:hint="eastAsia"/>
                                <w:sz w:val="24"/>
                              </w:rPr>
                            </w:pPr>
                            <w:r>
                              <w:rPr>
                                <w:rFonts w:hint="eastAsia"/>
                                <w:sz w:val="24"/>
                              </w:rPr>
                              <w:t>生物多样性维护型生态功能区主要是濒危珍惜动植物分布较集中、具有典型代表性生态系统的区域。</w:t>
                            </w:r>
                          </w:p>
                        </w:txbxContent>
                      </wps:txbx>
                      <wps:bodyPr upright="1"/>
                    </wps:wsp>
                  </a:graphicData>
                </a:graphic>
              </wp:anchor>
            </w:drawing>
          </mc:Choice>
          <mc:Fallback>
            <w:pict>
              <v:rect id="_x0000_s1026" o:spid="_x0000_s1026" o:spt="1" style="position:absolute;left:0pt;margin-left:703.5pt;margin-top:183pt;height:70.2pt;width:164.15pt;z-index:251672576;mso-width-relative:page;mso-height-relative:page;" fillcolor="#FFFFFF" filled="t" stroked="f" coordsize="21600,21600" o:gfxdata="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9yBTDZAAAADQEAAA8AAAAAAAAAAQAgAAAAIgAAAGRycy9kb3ducmV2LnhtbFBLAQIU&#10;ABQAAAAIAIdO4kBtUUs5uQEAAG4DAAAOAAAAAAAAAAEAIAAAACgBAABkcnMvZTJvRG9jLnhtbFBL&#10;BQYAAAAABgAGAFkBAABTBQAAAAA=&#10;">
                <v:fill on="t" focussize="0,0"/>
                <v:stroke on="f"/>
                <v:imagedata o:title=""/>
                <o:lock v:ext="edit" aspectratio="f"/>
                <v:textbox>
                  <w:txbxContent>
                    <w:p w14:paraId="45BEAADE">
                      <w:pPr>
                        <w:rPr>
                          <w:rFonts w:hint="eastAsia"/>
                          <w:sz w:val="24"/>
                        </w:rPr>
                      </w:pPr>
                      <w:r>
                        <w:rPr>
                          <w:rFonts w:hint="eastAsia"/>
                          <w:sz w:val="24"/>
                        </w:rPr>
                        <w:t>生物多样性维护型生态功能区主要是濒危珍惜动植物分布较集中、具有典型代表性生态系统的区域。</w:t>
                      </w:r>
                    </w:p>
                  </w:txbxContent>
                </v:textbox>
              </v:rect>
            </w:pict>
          </mc:Fallback>
        </mc:AlternateContent>
      </w:r>
      <w:r>
        <w:rPr>
          <w:rFonts w:hint="default" w:ascii="Times New Roman" w:hAnsi="Times New Roman" w:eastAsia="宋体" w:cs="Times New Roman"/>
          <w:color w:val="auto"/>
          <w:highlight w:val="none"/>
        </w:rPr>
        <w:t>水源涵养型生态功能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生物多样性维护型生态功能区。禁止对野生动植物进行滥捕滥采，保持和恢复野生动植物物种和种群的平衡，实现野生动植物资源的良性循环和永续利用；加强防御外来物种入侵的能力，防止外来有害物种对生态系统的侵害；保护自然生态系统与重要物种栖息地，防止生态建设导致栖息环境的改变；扩大保护范围，降低城市建设强度，改善水域及湿地环境。该区域中农业产粮大县（市、区），应在保护生态的前提下，积极发展农业生产，努力提高粮食产量，保障国家粮食安全和食品安全，增加农民收入。</w:t>
      </w:r>
    </w:p>
    <w:p w14:paraId="364475F2">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项目拟建年出栏1</w:t>
      </w:r>
      <w:r>
        <w:rPr>
          <w:rFonts w:hint="eastAsia" w:eastAsia="宋体" w:cs="Times New Roman"/>
          <w:color w:val="auto"/>
          <w:highlight w:val="none"/>
          <w:lang w:val="en-US" w:eastAsia="zh-CN"/>
        </w:rPr>
        <w:t>00</w:t>
      </w:r>
      <w:r>
        <w:rPr>
          <w:rFonts w:hint="default" w:ascii="Times New Roman" w:hAnsi="Times New Roman" w:eastAsia="宋体" w:cs="Times New Roman"/>
          <w:color w:val="auto"/>
          <w:highlight w:val="none"/>
          <w:lang w:val="en-US" w:eastAsia="zh-CN"/>
        </w:rPr>
        <w:t>00头、存栏</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000头肉牛养殖场一座</w:t>
      </w:r>
      <w:r>
        <w:rPr>
          <w:rFonts w:hint="default" w:ascii="Times New Roman" w:hAnsi="Times New Roman" w:eastAsia="宋体" w:cs="Times New Roman"/>
          <w:color w:val="auto"/>
          <w:highlight w:val="none"/>
        </w:rPr>
        <w:t>，将进一步推动</w:t>
      </w:r>
      <w:r>
        <w:rPr>
          <w:rFonts w:hint="default" w:ascii="Times New Roman" w:hAnsi="Times New Roman" w:eastAsia="宋体" w:cs="Times New Roman"/>
          <w:color w:val="auto"/>
          <w:highlight w:val="none"/>
          <w:lang w:val="en-US" w:eastAsia="zh-CN"/>
        </w:rPr>
        <w:t>孙吴县及黑河市</w:t>
      </w:r>
      <w:r>
        <w:rPr>
          <w:rFonts w:hint="default" w:ascii="Times New Roman" w:hAnsi="Times New Roman" w:eastAsia="宋体" w:cs="Times New Roman"/>
          <w:color w:val="auto"/>
          <w:highlight w:val="none"/>
        </w:rPr>
        <w:t>畜牧业的发展，为市场提供健康的肉产品，提高和保证</w:t>
      </w:r>
      <w:r>
        <w:rPr>
          <w:rFonts w:hint="default" w:ascii="Times New Roman" w:hAnsi="Times New Roman" w:eastAsia="宋体" w:cs="Times New Roman"/>
          <w:color w:val="auto"/>
          <w:highlight w:val="none"/>
          <w:lang w:val="en-US" w:eastAsia="zh-CN"/>
        </w:rPr>
        <w:t>孙吴县</w:t>
      </w:r>
      <w:r>
        <w:rPr>
          <w:rFonts w:hint="default" w:ascii="Times New Roman" w:hAnsi="Times New Roman" w:eastAsia="宋体" w:cs="Times New Roman"/>
          <w:color w:val="auto"/>
          <w:highlight w:val="none"/>
        </w:rPr>
        <w:t>的食品安全。</w:t>
      </w:r>
      <w:r>
        <w:rPr>
          <w:rFonts w:hint="default" w:ascii="Times New Roman" w:hAnsi="Times New Roman" w:eastAsia="宋体" w:cs="Times New Roman"/>
          <w:color w:val="auto"/>
          <w:highlight w:val="none"/>
          <w:lang w:val="en-US" w:eastAsia="zh-CN"/>
        </w:rPr>
        <w:t>同时，</w:t>
      </w:r>
      <w:r>
        <w:rPr>
          <w:rFonts w:hint="default" w:ascii="Times New Roman" w:hAnsi="Times New Roman" w:eastAsia="宋体" w:cs="Times New Roman"/>
          <w:color w:val="auto"/>
          <w:highlight w:val="none"/>
        </w:rPr>
        <w:t>配套与养殖规模和处理工艺相适应的粪污消纳用地，配备必要的粪污收集、贮存、处理、利用设施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粪便</w:t>
      </w:r>
      <w:r>
        <w:rPr>
          <w:rFonts w:hint="default" w:ascii="Times New Roman" w:hAnsi="Times New Roman" w:eastAsia="宋体" w:cs="Times New Roman"/>
          <w:color w:val="auto"/>
          <w:highlight w:val="none"/>
        </w:rPr>
        <w:t>养分</w:t>
      </w:r>
      <w:r>
        <w:rPr>
          <w:rFonts w:hint="default" w:ascii="Times New Roman" w:hAnsi="Times New Roman" w:eastAsia="宋体" w:cs="Times New Roman"/>
          <w:color w:val="auto"/>
          <w:highlight w:val="none"/>
          <w:lang w:val="en-US" w:eastAsia="zh-CN"/>
        </w:rPr>
        <w:t>得到了有效的</w:t>
      </w:r>
      <w:r>
        <w:rPr>
          <w:rFonts w:hint="default" w:ascii="Times New Roman" w:hAnsi="Times New Roman" w:eastAsia="宋体" w:cs="Times New Roman"/>
          <w:color w:val="auto"/>
          <w:highlight w:val="none"/>
        </w:rPr>
        <w:t>综合利用</w:t>
      </w:r>
      <w:r>
        <w:rPr>
          <w:rFonts w:hint="default" w:ascii="Times New Roman" w:hAnsi="Times New Roman" w:eastAsia="宋体" w:cs="Times New Roman"/>
          <w:color w:val="auto"/>
          <w:highlight w:val="none"/>
          <w:lang w:eastAsia="zh-CN"/>
        </w:rPr>
        <w:t>。</w:t>
      </w:r>
    </w:p>
    <w:p w14:paraId="67DDC4C4">
      <w:pPr>
        <w:pStyle w:val="6"/>
        <w:spacing w:line="500" w:lineRule="exact"/>
        <w:rPr>
          <w:rFonts w:hint="default" w:ascii="Times New Roman" w:hAnsi="Times New Roman" w:eastAsia="黑体" w:cs="Times New Roman"/>
          <w:color w:val="auto"/>
          <w:kern w:val="2"/>
          <w:sz w:val="24"/>
          <w:szCs w:val="22"/>
          <w:highlight w:val="none"/>
          <w:lang w:val="zh-CN" w:eastAsia="zh-CN" w:bidi="ar-SA"/>
        </w:rPr>
      </w:pPr>
      <w:r>
        <w:rPr>
          <w:rFonts w:hint="default" w:ascii="Times New Roman" w:hAnsi="Times New Roman" w:eastAsia="黑体" w:cs="Times New Roman"/>
          <w:color w:val="auto"/>
          <w:kern w:val="2"/>
          <w:sz w:val="24"/>
          <w:szCs w:val="22"/>
          <w:highlight w:val="none"/>
          <w:lang w:val="zh-CN" w:eastAsia="zh-CN" w:bidi="ar-SA"/>
        </w:rPr>
        <w:t>1.4.2.</w:t>
      </w:r>
      <w:r>
        <w:rPr>
          <w:rFonts w:hint="default" w:ascii="Times New Roman" w:hAnsi="Times New Roman" w:eastAsia="黑体" w:cs="Times New Roman"/>
          <w:color w:val="auto"/>
          <w:kern w:val="2"/>
          <w:sz w:val="24"/>
          <w:szCs w:val="22"/>
          <w:highlight w:val="none"/>
          <w:lang w:val="en-US" w:eastAsia="zh-CN" w:bidi="ar-SA"/>
        </w:rPr>
        <w:t>2</w:t>
      </w:r>
      <w:r>
        <w:rPr>
          <w:rFonts w:hint="eastAsia" w:cs="Times New Roman"/>
          <w:color w:val="auto"/>
          <w:kern w:val="2"/>
          <w:sz w:val="24"/>
          <w:szCs w:val="22"/>
          <w:highlight w:val="none"/>
          <w:lang w:val="en-US" w:eastAsia="zh-CN" w:bidi="ar-SA"/>
        </w:rPr>
        <w:t>5</w:t>
      </w:r>
      <w:r>
        <w:rPr>
          <w:rFonts w:hint="default" w:ascii="Times New Roman" w:hAnsi="Times New Roman" w:eastAsia="黑体" w:cs="Times New Roman"/>
          <w:color w:val="auto"/>
          <w:kern w:val="2"/>
          <w:sz w:val="24"/>
          <w:szCs w:val="22"/>
          <w:highlight w:val="none"/>
          <w:lang w:val="zh-CN" w:eastAsia="zh-CN" w:bidi="ar-SA"/>
        </w:rPr>
        <w:t>与《黑龙江省生态功能区划》符合性分析</w:t>
      </w:r>
    </w:p>
    <w:p w14:paraId="15DEE01B">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根据《黑龙江省生态功能区划》，本项目位于I-</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小兴安岭山地针阔混交林生态区，I-</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-1小兴安岭北部阔叶混交林与农业生态亚区，I-</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-1-2黑河地区东北部林、农业与界江国土生态功能区，主要生态环境问题为有效耕地面积小，陡坡耕地易发生水土流失；黑龙江界江塌岸严重，造成大量的国土流失；砂金矿开采的复垦工作不到位。主要生态系统服务功能为土壤保持、生物多样性保护 、林农生产。保护措施与发展方向为加强天然林保护，扩大经济林的种植面积，加强林业产品科技含量，加大界江国土生态安全保护，发展生态农业</w:t>
      </w:r>
      <w:r>
        <w:rPr>
          <w:rFonts w:hint="default" w:ascii="Times New Roman" w:hAnsi="Times New Roman" w:eastAsia="宋体" w:cs="Times New Roman"/>
          <w:color w:val="auto"/>
          <w:highlight w:val="none"/>
          <w:lang w:eastAsia="zh-CN"/>
        </w:rPr>
        <w:t>。</w:t>
      </w:r>
    </w:p>
    <w:p w14:paraId="0115B6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1"/>
          <w:highlight w:val="none"/>
        </w:rPr>
        <mc:AlternateContent>
          <mc:Choice Requires="wpg">
            <w:drawing>
              <wp:anchor distT="0" distB="0" distL="114300" distR="114300" simplePos="0" relativeHeight="251673600" behindDoc="0" locked="0" layoutInCell="1" allowOverlap="1">
                <wp:simplePos x="0" y="0"/>
                <wp:positionH relativeFrom="column">
                  <wp:posOffset>735965</wp:posOffset>
                </wp:positionH>
                <wp:positionV relativeFrom="paragraph">
                  <wp:posOffset>1833245</wp:posOffset>
                </wp:positionV>
                <wp:extent cx="1421130" cy="784225"/>
                <wp:effectExtent l="5080" t="5080" r="21590" b="29845"/>
                <wp:wrapNone/>
                <wp:docPr id="114" name="组合 114"/>
                <wp:cNvGraphicFramePr/>
                <a:graphic xmlns:a="http://schemas.openxmlformats.org/drawingml/2006/main">
                  <a:graphicData uri="http://schemas.microsoft.com/office/word/2010/wordprocessingGroup">
                    <wpg:wgp>
                      <wpg:cNvGrpSpPr/>
                      <wpg:grpSpPr>
                        <a:xfrm>
                          <a:off x="0" y="0"/>
                          <a:ext cx="1421130" cy="784225"/>
                          <a:chOff x="8124" y="229981"/>
                          <a:chExt cx="2238" cy="1235"/>
                        </a:xfrm>
                      </wpg:grpSpPr>
                      <wps:wsp>
                        <wps:cNvPr id="112" name="矩形标注 112"/>
                        <wps:cNvSpPr/>
                        <wps:spPr>
                          <a:xfrm>
                            <a:off x="8124" y="229981"/>
                            <a:ext cx="1764" cy="434"/>
                          </a:xfrm>
                          <a:prstGeom prst="wedgeRectCallout">
                            <a:avLst>
                              <a:gd name="adj1" fmla="val 68650"/>
                              <a:gd name="adj2" fmla="val 217511"/>
                            </a:avLst>
                          </a:prstGeom>
                          <a:solidFill>
                            <a:srgbClr val="FFFFFF"/>
                          </a:solidFill>
                          <a:ln w="9525" cap="flat" cmpd="sng">
                            <a:solidFill>
                              <a:srgbClr val="000000"/>
                            </a:solidFill>
                            <a:prstDash val="solid"/>
                            <a:miter/>
                            <a:headEnd type="none" w="med" len="med"/>
                            <a:tailEnd type="none" w="med" len="med"/>
                          </a:ln>
                        </wps:spPr>
                        <wps:txbx>
                          <w:txbxContent>
                            <w:p w14:paraId="4F74C0D5">
                              <w:pPr>
                                <w:ind w:left="0" w:leftChars="0" w:firstLine="0" w:firstLineChars="0"/>
                                <w:jc w:val="center"/>
                                <w:rPr>
                                  <w:rFonts w:hint="default" w:eastAsia="宋体"/>
                                  <w:lang w:val="en-US" w:eastAsia="zh-CN"/>
                                </w:rPr>
                              </w:pPr>
                              <w:r>
                                <w:rPr>
                                  <w:rFonts w:hint="eastAsia"/>
                                  <w:lang w:val="en-US" w:eastAsia="zh-CN"/>
                                </w:rPr>
                                <w:t>本项目位置</w:t>
                              </w:r>
                            </w:p>
                          </w:txbxContent>
                        </wps:txbx>
                        <wps:bodyPr upright="1"/>
                      </wps:wsp>
                      <wps:wsp>
                        <wps:cNvPr id="113" name="五角星 113"/>
                        <wps:cNvSpPr/>
                        <wps:spPr>
                          <a:xfrm>
                            <a:off x="10158" y="231039"/>
                            <a:ext cx="204" cy="177"/>
                          </a:xfrm>
                          <a:prstGeom prst="star5">
                            <a:avLst/>
                          </a:prstGeom>
                          <a:solidFill>
                            <a:srgbClr val="FF0000"/>
                          </a:solidFill>
                          <a:ln w="9525" cap="flat" cmpd="sng">
                            <a:solidFill>
                              <a:srgbClr val="00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57.95pt;margin-top:144.35pt;height:61.75pt;width:111.9pt;z-index:251673600;mso-width-relative:page;mso-height-relative:page;" coordorigin="8124,229981" coordsize="2238,1235" o:gfxdata="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Binj9vbAAAACwEAAA8AAAAAAAAAAQAgAAAAIgAAAGRycy9kb3ducmV2LnhtbFBLAQIU&#10;ABQAAAAIAIdO4kDC0Ec+DQMAABMIAAAOAAAAAAAAAAEAIAAAACoBAABkcnMvZTJvRG9jLnhtbFBL&#10;BQYAAAAABgAGAFkBAACpBgAAAAA=&#10;">
                <o:lock v:ext="edit" aspectratio="f"/>
                <v:shape id="_x0000_s1026" o:spid="_x0000_s1026" o:spt="61" type="#_x0000_t61" style="position:absolute;left:8124;top:229981;height:434;width:1764;" fillcolor="#FFFFFF" filled="t" stroked="t" coordsize="21600,21600" o:gfxdata="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LXCbsAAADc&#10;AAAADwAAAAAAAAABACAAAAAiAAAAZHJzL2Rvd25yZXYueG1sUEsBAhQAFAAAAAgAh07iQDMvBZ47&#10;AAAAOQAAABAAAAAAAAAAAQAgAAAACgEAAGRycy9zaGFwZXhtbC54bWxQSwUGAAAAAAYABgBbAQAA&#10;tAMAAAAA&#10;" adj="25628,57782">
                  <v:fill on="t" focussize="0,0"/>
                  <v:stroke color="#000000" joinstyle="miter"/>
                  <v:imagedata o:title=""/>
                  <o:lock v:ext="edit" aspectratio="f"/>
                  <v:textbox>
                    <w:txbxContent>
                      <w:p w14:paraId="4F74C0D5">
                        <w:pPr>
                          <w:ind w:left="0" w:leftChars="0" w:firstLine="0" w:firstLineChars="0"/>
                          <w:jc w:val="center"/>
                          <w:rPr>
                            <w:rFonts w:hint="default" w:eastAsia="宋体"/>
                            <w:lang w:val="en-US" w:eastAsia="zh-CN"/>
                          </w:rPr>
                        </w:pPr>
                        <w:r>
                          <w:rPr>
                            <w:rFonts w:hint="eastAsia"/>
                            <w:lang w:val="en-US" w:eastAsia="zh-CN"/>
                          </w:rPr>
                          <w:t>本项目位置</w:t>
                        </w:r>
                      </w:p>
                    </w:txbxContent>
                  </v:textbox>
                </v:shape>
                <v:shape id="_x0000_s1026" o:spid="_x0000_s1026" style="position:absolute;left:10158;top:231039;height:177;width:204;" fillcolor="#FF0000" filled="t" stroked="t" coordsize="204,177" o:gfxdata="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qlr4vQAA&#10;ANwAAAAPAAAAAAAAAAEAIAAAACIAAABkcnMvZG93bnJldi54bWxQSwECFAAUAAAACACHTuJAMy8F&#10;njsAAAA5AAAAEAAAAAAAAAABACAAAAAMAQAAZHJzL3NoYXBleG1sLnhtbFBLBQYAAAAABgAGAFsB&#10;AAC2AwAAAAA=&#10;" path="m0,67l77,67,102,0,126,67,203,67,140,109,165,176,102,135,38,176,63,109xe">
                  <v:path o:connectlocs="102,0;0,67;38,176;165,176;203,67" o:connectangles="247,164,82,82,0"/>
                  <v:fill on="t" focussize="0,0"/>
                  <v:stroke color="#000000" joinstyle="miter"/>
                  <v:imagedata o:title=""/>
                  <o:lock v:ext="edit" aspectratio="f"/>
                </v:shape>
              </v:group>
            </w:pict>
          </mc:Fallback>
        </mc:AlternateContent>
      </w:r>
      <w:r>
        <w:rPr>
          <w:rFonts w:hint="default" w:ascii="Times New Roman" w:hAnsi="Times New Roman" w:eastAsia="宋体" w:cs="Times New Roman"/>
          <w:color w:val="auto"/>
          <w:sz w:val="24"/>
          <w:highlight w:val="none"/>
          <w:lang w:eastAsia="zh-CN"/>
        </w:rPr>
        <w:drawing>
          <wp:inline distT="0" distB="0" distL="114300" distR="114300">
            <wp:extent cx="5037455" cy="6025515"/>
            <wp:effectExtent l="0" t="0" r="10795" b="13335"/>
            <wp:docPr id="115" name="图片 9" descr="bf3aa7028ccd72fdcb1627842f605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 descr="bf3aa7028ccd72fdcb1627842f605a0"/>
                    <pic:cNvPicPr>
                      <a:picLocks noChangeAspect="1"/>
                    </pic:cNvPicPr>
                  </pic:nvPicPr>
                  <pic:blipFill>
                    <a:blip r:embed="rId31"/>
                    <a:stretch>
                      <a:fillRect/>
                    </a:stretch>
                  </pic:blipFill>
                  <pic:spPr>
                    <a:xfrm>
                      <a:off x="0" y="0"/>
                      <a:ext cx="5037455" cy="6025515"/>
                    </a:xfrm>
                    <a:prstGeom prst="rect">
                      <a:avLst/>
                    </a:prstGeom>
                    <a:noFill/>
                    <a:ln>
                      <a:noFill/>
                    </a:ln>
                  </pic:spPr>
                </pic:pic>
              </a:graphicData>
            </a:graphic>
          </wp:inline>
        </w:drawing>
      </w:r>
    </w:p>
    <w:p w14:paraId="1BCE479D">
      <w:pPr>
        <w:spacing w:line="500" w:lineRule="exact"/>
        <w:ind w:left="0" w:leftChars="0" w:firstLine="0" w:firstLineChars="0"/>
        <w:jc w:val="center"/>
        <w:rPr>
          <w:rFonts w:hint="default" w:ascii="Times New Roman" w:hAnsi="Times New Roman" w:cs="Times New Roman"/>
          <w:color w:val="auto"/>
          <w:sz w:val="24"/>
          <w:highlight w:val="none"/>
          <w:lang w:val="en-US"/>
        </w:rPr>
      </w:pPr>
      <w:r>
        <w:rPr>
          <w:rFonts w:hint="default" w:ascii="Times New Roman" w:hAnsi="Times New Roman" w:eastAsia="黑体" w:cs="Times New Roman"/>
          <w:bCs/>
          <w:color w:val="auto"/>
          <w:kern w:val="2"/>
          <w:sz w:val="24"/>
          <w:szCs w:val="24"/>
          <w:highlight w:val="none"/>
          <w:lang w:val="en-US" w:eastAsia="zh-CN" w:bidi="ar-SA"/>
        </w:rPr>
        <w:t>图1.4-1 黑龙江省主体功能区划图</w:t>
      </w:r>
    </w:p>
    <w:p w14:paraId="410DE2F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，该主要生态系统服务功能为土壤保持、生物多样性保护、林农生产，本项目为肉牛规模化养殖项目，项目的建设可推进</w:t>
      </w:r>
      <w:r>
        <w:rPr>
          <w:rFonts w:hint="default" w:ascii="Times New Roman" w:hAnsi="Times New Roman" w:eastAsia="宋体" w:cs="Times New Roman"/>
          <w:color w:val="auto"/>
          <w:highlight w:val="none"/>
          <w:lang w:val="en-US" w:eastAsia="zh-CN"/>
        </w:rPr>
        <w:t>孙吴县</w:t>
      </w:r>
      <w:r>
        <w:rPr>
          <w:rFonts w:hint="default" w:ascii="Times New Roman" w:hAnsi="Times New Roman" w:eastAsia="宋体" w:cs="Times New Roman"/>
          <w:color w:val="auto"/>
          <w:highlight w:val="none"/>
        </w:rPr>
        <w:t>畜牧产业发展，为</w:t>
      </w:r>
      <w:r>
        <w:rPr>
          <w:rFonts w:hint="default" w:ascii="Times New Roman" w:hAnsi="Times New Roman" w:eastAsia="宋体" w:cs="Times New Roman"/>
          <w:color w:val="auto"/>
          <w:highlight w:val="none"/>
          <w:lang w:val="en-US" w:eastAsia="zh-CN"/>
        </w:rPr>
        <w:t>孙吴县和黑河市</w:t>
      </w:r>
      <w:r>
        <w:rPr>
          <w:rFonts w:hint="default" w:ascii="Times New Roman" w:hAnsi="Times New Roman" w:eastAsia="宋体" w:cs="Times New Roman"/>
          <w:color w:val="auto"/>
          <w:highlight w:val="none"/>
        </w:rPr>
        <w:t>提供健康的肉产品，在施工期加强水土流失防治，可大大减少对生态的影响，符合其发展方向，因此本项目符合《黑龙江省生态功能区划》。</w:t>
      </w:r>
    </w:p>
    <w:p w14:paraId="5770213F">
      <w:pPr>
        <w:pStyle w:val="6"/>
        <w:spacing w:line="500" w:lineRule="exact"/>
        <w:rPr>
          <w:rFonts w:hint="default" w:ascii="Times New Roman" w:hAnsi="Times New Roman" w:eastAsia="黑体" w:cs="Times New Roman"/>
          <w:color w:val="auto"/>
          <w:kern w:val="2"/>
          <w:sz w:val="24"/>
          <w:szCs w:val="22"/>
          <w:highlight w:val="none"/>
          <w:lang w:val="zh-CN" w:eastAsia="zh-CN" w:bidi="ar-SA"/>
        </w:rPr>
      </w:pPr>
      <w:r>
        <w:rPr>
          <w:rFonts w:hint="default" w:ascii="Times New Roman" w:hAnsi="Times New Roman" w:eastAsia="黑体" w:cs="Times New Roman"/>
          <w:color w:val="auto"/>
          <w:kern w:val="2"/>
          <w:sz w:val="24"/>
          <w:szCs w:val="22"/>
          <w:highlight w:val="none"/>
          <w:lang w:val="zh-CN" w:eastAsia="zh-CN" w:bidi="ar-SA"/>
        </w:rPr>
        <w:t>1.4.2.</w:t>
      </w:r>
      <w:r>
        <w:rPr>
          <w:rFonts w:hint="eastAsia" w:cs="Times New Roman"/>
          <w:color w:val="auto"/>
          <w:kern w:val="2"/>
          <w:sz w:val="24"/>
          <w:szCs w:val="22"/>
          <w:highlight w:val="none"/>
          <w:lang w:val="en-US" w:eastAsia="zh-CN" w:bidi="ar-SA"/>
        </w:rPr>
        <w:t>26</w:t>
      </w:r>
      <w:r>
        <w:rPr>
          <w:rFonts w:hint="default" w:ascii="Times New Roman" w:hAnsi="Times New Roman" w:eastAsia="黑体" w:cs="Times New Roman"/>
          <w:color w:val="auto"/>
          <w:kern w:val="2"/>
          <w:sz w:val="24"/>
          <w:szCs w:val="22"/>
          <w:highlight w:val="none"/>
          <w:lang w:val="zh-CN" w:eastAsia="zh-CN" w:bidi="ar-SA"/>
        </w:rPr>
        <w:t>与《</w:t>
      </w:r>
      <w:r>
        <w:rPr>
          <w:rFonts w:hint="default" w:ascii="Times New Roman" w:hAnsi="Times New Roman" w:cs="Times New Roman"/>
          <w:color w:val="auto"/>
          <w:kern w:val="2"/>
          <w:sz w:val="24"/>
          <w:szCs w:val="22"/>
          <w:highlight w:val="none"/>
          <w:lang w:val="en-US" w:eastAsia="zh-CN" w:bidi="ar-SA"/>
        </w:rPr>
        <w:t>中华人民共和国草原法</w:t>
      </w:r>
      <w:r>
        <w:rPr>
          <w:rFonts w:hint="default" w:ascii="Times New Roman" w:hAnsi="Times New Roman" w:eastAsia="黑体" w:cs="Times New Roman"/>
          <w:color w:val="auto"/>
          <w:kern w:val="2"/>
          <w:sz w:val="24"/>
          <w:szCs w:val="22"/>
          <w:highlight w:val="none"/>
          <w:lang w:val="zh-CN" w:eastAsia="zh-CN" w:bidi="ar-SA"/>
        </w:rPr>
        <w:t>》符合性分析</w:t>
      </w:r>
    </w:p>
    <w:p w14:paraId="6A0DEF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第十一条　依法确定给全民所有制单位、集体经济组织等使用的国家所有的草原，由县级以上人民政府登记，核发使用权证，确认草原使用权。未确定使用权的国家所有的草原，由县级以上人民政府登记造册，并负责保护管理。集体所有的草原，由县级人民政府登记，核发所有权证，确认草原所有权。依法改变草原权属的，应当办理草原权属变更登记手续。</w:t>
      </w:r>
    </w:p>
    <w:p w14:paraId="64AA810A">
      <w:pPr>
        <w:pStyle w:val="67"/>
        <w:ind w:firstLine="480"/>
        <w:rPr>
          <w:rFonts w:hint="default" w:ascii="Times New Roman" w:hAnsi="Times New Roman" w:cs="Times New Roman"/>
          <w:color w:val="auto"/>
          <w:highlight w:val="none"/>
          <w:lang w:val="en-US"/>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占用土地类型为设施农业用地，</w:t>
      </w:r>
      <w:r>
        <w:rPr>
          <w:rFonts w:hint="eastAsia" w:eastAsia="宋体" w:cs="Times New Roman"/>
          <w:color w:val="auto"/>
          <w:highlight w:val="none"/>
          <w:lang w:val="en-US" w:eastAsia="zh-CN"/>
        </w:rPr>
        <w:t>见附件6。</w:t>
      </w:r>
    </w:p>
    <w:p w14:paraId="5C0CC0CB">
      <w:pPr>
        <w:pStyle w:val="5"/>
        <w:spacing w:line="500" w:lineRule="exact"/>
        <w:rPr>
          <w:rFonts w:hint="default" w:ascii="Times New Roman" w:hAnsi="Times New Roman" w:cs="Times New Roman"/>
          <w:color w:val="auto"/>
          <w:highlight w:val="none"/>
        </w:rPr>
      </w:pPr>
      <w:bookmarkStart w:id="37" w:name="_Toc16236"/>
      <w:r>
        <w:rPr>
          <w:rFonts w:hint="default" w:ascii="Times New Roman" w:hAnsi="Times New Roman" w:cs="Times New Roman"/>
          <w:color w:val="auto"/>
          <w:highlight w:val="none"/>
        </w:rPr>
        <w:t>1.4.3</w:t>
      </w:r>
      <w:r>
        <w:rPr>
          <w:rFonts w:hint="eastAsia" w:ascii="Times New Roman" w:hAnsi="Times New Roman" w:cs="Times New Roman"/>
          <w:color w:val="auto"/>
          <w:highlight w:val="none"/>
        </w:rPr>
        <w:t>生态环境分区管控</w:t>
      </w:r>
      <w:r>
        <w:rPr>
          <w:rFonts w:hint="default" w:ascii="Times New Roman" w:hAnsi="Times New Roman" w:cs="Times New Roman"/>
          <w:color w:val="auto"/>
          <w:highlight w:val="none"/>
        </w:rPr>
        <w:t>符合性</w:t>
      </w:r>
      <w:r>
        <w:rPr>
          <w:rFonts w:hint="eastAsia" w:ascii="Times New Roman" w:hAnsi="Times New Roman" w:cs="Times New Roman"/>
          <w:color w:val="auto"/>
          <w:highlight w:val="none"/>
          <w:lang w:val="en-US" w:eastAsia="zh-CN"/>
        </w:rPr>
        <w:t>分析</w:t>
      </w:r>
      <w:bookmarkEnd w:id="37"/>
    </w:p>
    <w:p w14:paraId="7AF06B2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自然资源部办公厅关于依据“三区三线”划定成果报批建设项目用地用海有关事宜的函》（自然资办函[2022]2072号）、《黑河市人民政府关于加强“三线一单”生态环境分区管控的实施意见》（黑市政规〔2021〕2号）以及黑龙江省生态环境分区管控数据应用平台出具的分析报告（附件</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，结合本项目施工工艺、排污状况和区域环境及环境质量现状进行调查的基础上，本项目与“三线一单”符合性分析如下。</w:t>
      </w:r>
    </w:p>
    <w:p w14:paraId="73527DED">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1.4.3.1生态保护红线</w:t>
      </w:r>
    </w:p>
    <w:p w14:paraId="2C6195A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14:paraId="76BD9688">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根据黑龙江省生态环境分区管控数据应用平台出具的分析报告（附件</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属于</w:t>
      </w:r>
      <w:r>
        <w:rPr>
          <w:rFonts w:hint="default" w:ascii="Times New Roman" w:hAnsi="Times New Roman" w:eastAsia="宋体" w:cs="Times New Roman"/>
          <w:color w:val="auto"/>
          <w:highlight w:val="none"/>
          <w:lang w:val="en-US" w:eastAsia="zh-CN"/>
        </w:rPr>
        <w:t>优先保护</w:t>
      </w:r>
      <w:r>
        <w:rPr>
          <w:rFonts w:hint="default" w:ascii="Times New Roman" w:hAnsi="Times New Roman" w:eastAsia="宋体" w:cs="Times New Roman"/>
          <w:color w:val="auto"/>
          <w:highlight w:val="none"/>
        </w:rPr>
        <w:t>单元</w:t>
      </w:r>
      <w:r>
        <w:rPr>
          <w:rFonts w:hint="default" w:ascii="Times New Roman" w:hAnsi="Times New Roman" w:eastAsia="宋体" w:cs="Times New Roman"/>
          <w:color w:val="auto"/>
          <w:highlight w:val="none"/>
          <w:lang w:val="en-US" w:eastAsia="zh-CN"/>
        </w:rPr>
        <w:t>及一般管控单元</w:t>
      </w:r>
      <w:r>
        <w:rPr>
          <w:rFonts w:hint="default" w:ascii="Times New Roman" w:hAnsi="Times New Roman" w:eastAsia="宋体" w:cs="Times New Roman"/>
          <w:color w:val="auto"/>
          <w:highlight w:val="none"/>
        </w:rPr>
        <w:t>，项目不占用生态保护红线，符合生态保护红线要求。</w:t>
      </w:r>
    </w:p>
    <w:p w14:paraId="35B265A6">
      <w:pPr>
        <w:pStyle w:val="67"/>
        <w:ind w:firstLine="0" w:firstLineChars="0"/>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1CA36447">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1.4.3.2环境质量底线</w:t>
      </w:r>
    </w:p>
    <w:p w14:paraId="1C97889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08B54B5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对项目所在区域环境质量现状的调查，项目所在区域属于环境空气质量达标区，环境空气质量较好，项目所在区域声环境质量以及地表水质量较好。本项目正常生产情况下，采取本报告提出的环境保护措施后，项目对评价区环境保护目标影响较小，不会降低周边环境质量等级，本项目的建设不会突破当地环境质量底线。</w:t>
      </w:r>
    </w:p>
    <w:p w14:paraId="1E512CC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（3）资源利用上线</w:t>
      </w:r>
    </w:p>
    <w:p w14:paraId="223AF02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资源是环境的载体，资源利用上线是各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1D94364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本项目采用市政供电，能够满足项目供电需要。项目用水由自打水井提供，能够满足本项目新鲜水使用要求，本项目不属于高污染、高能耗、高水耗的建设项目，符合资源利用上线的要求。</w:t>
      </w:r>
    </w:p>
    <w:p w14:paraId="1EDB325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（4）生态环境准入清单</w:t>
      </w:r>
    </w:p>
    <w:p w14:paraId="063E49B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，项目所在区域为</w:t>
      </w:r>
      <w:r>
        <w:rPr>
          <w:rFonts w:hint="default" w:ascii="Times New Roman" w:hAnsi="Times New Roman" w:eastAsia="宋体" w:cs="Times New Roman"/>
          <w:color w:val="auto"/>
          <w:highlight w:val="none"/>
          <w:lang w:val="en-US" w:eastAsia="zh-CN"/>
        </w:rPr>
        <w:t>孙吴县一般生态空间优先保护单元</w:t>
      </w:r>
      <w:r>
        <w:rPr>
          <w:rFonts w:hint="default" w:ascii="Times New Roman" w:hAnsi="Times New Roman" w:eastAsia="宋体" w:cs="Times New Roman"/>
          <w:color w:val="auto"/>
          <w:highlight w:val="none"/>
        </w:rPr>
        <w:t>（环境管控单元编码ZH</w:t>
      </w:r>
      <w:r>
        <w:rPr>
          <w:rFonts w:hint="default" w:ascii="Times New Roman" w:hAnsi="Times New Roman" w:eastAsia="宋体" w:cs="Times New Roman"/>
          <w:color w:val="auto"/>
          <w:highlight w:val="none"/>
          <w:lang w:val="en-US" w:eastAsia="zh-CN"/>
        </w:rPr>
        <w:t>23112410002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及孙吴县其他区域一般管控单元</w:t>
      </w:r>
      <w:r>
        <w:rPr>
          <w:rFonts w:hint="default" w:ascii="Times New Roman" w:hAnsi="Times New Roman" w:eastAsia="宋体" w:cs="Times New Roman"/>
          <w:color w:val="auto"/>
          <w:highlight w:val="none"/>
        </w:rPr>
        <w:t>（环境管控单元编码ZH</w:t>
      </w:r>
      <w:r>
        <w:rPr>
          <w:rFonts w:hint="default" w:ascii="Times New Roman" w:hAnsi="Times New Roman" w:eastAsia="宋体" w:cs="Times New Roman"/>
          <w:color w:val="auto"/>
          <w:highlight w:val="none"/>
          <w:lang w:val="en-US" w:eastAsia="zh-CN"/>
        </w:rPr>
        <w:t>23112430002</w:t>
      </w:r>
      <w:r>
        <w:rPr>
          <w:rFonts w:hint="default" w:ascii="Times New Roman" w:hAnsi="Times New Roman" w:eastAsia="宋体" w:cs="Times New Roman"/>
          <w:color w:val="auto"/>
          <w:highlight w:val="none"/>
        </w:rPr>
        <w:t>）。本项目与</w:t>
      </w:r>
      <w:r>
        <w:rPr>
          <w:rFonts w:hint="default" w:ascii="Times New Roman" w:hAnsi="Times New Roman" w:eastAsia="宋体" w:cs="Times New Roman"/>
          <w:color w:val="auto"/>
          <w:highlight w:val="none"/>
          <w:lang w:val="en-US" w:eastAsia="zh-CN"/>
        </w:rPr>
        <w:t>《黑河市</w:t>
      </w:r>
      <w:r>
        <w:rPr>
          <w:rFonts w:hint="default" w:ascii="Times New Roman" w:hAnsi="Times New Roman" w:eastAsia="宋体" w:cs="Times New Roman"/>
          <w:color w:val="auto"/>
          <w:highlight w:val="none"/>
        </w:rPr>
        <w:t>生态环境准入清单</w:t>
      </w:r>
      <w:r>
        <w:rPr>
          <w:rFonts w:hint="default" w:ascii="Times New Roman" w:hAnsi="Times New Roman" w:eastAsia="宋体" w:cs="Times New Roman"/>
          <w:color w:val="auto"/>
          <w:highlight w:val="none"/>
          <w:lang w:val="en-US" w:eastAsia="zh-CN"/>
        </w:rPr>
        <w:t>》（2023版）</w:t>
      </w:r>
      <w:r>
        <w:rPr>
          <w:rFonts w:hint="default" w:ascii="Times New Roman" w:hAnsi="Times New Roman" w:eastAsia="宋体" w:cs="Times New Roman"/>
          <w:color w:val="auto"/>
          <w:highlight w:val="none"/>
        </w:rPr>
        <w:t>符合性分析见下表。符合性分析见下表。</w:t>
      </w:r>
    </w:p>
    <w:p w14:paraId="10EF300B">
      <w:pPr>
        <w:pStyle w:val="210"/>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3453B288">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本项目与</w:t>
      </w:r>
      <w:r>
        <w:rPr>
          <w:rFonts w:hint="eastAsia" w:cs="Times New Roman"/>
          <w:color w:val="auto"/>
          <w:highlight w:val="none"/>
          <w:lang w:val="en-US" w:eastAsia="zh-CN"/>
        </w:rPr>
        <w:t>黑河</w:t>
      </w:r>
      <w:r>
        <w:rPr>
          <w:rFonts w:hint="default" w:ascii="Times New Roman" w:hAnsi="Times New Roman" w:cs="Times New Roman"/>
          <w:color w:val="auto"/>
          <w:highlight w:val="none"/>
          <w:lang w:val="en-US"/>
        </w:rPr>
        <w:t>市</w:t>
      </w:r>
      <w:r>
        <w:rPr>
          <w:rFonts w:hint="default" w:ascii="Times New Roman" w:hAnsi="Times New Roman" w:cs="Times New Roman"/>
          <w:color w:val="auto"/>
          <w:highlight w:val="none"/>
        </w:rPr>
        <w:t>生态环境准入清单符合性分析</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353"/>
        <w:gridCol w:w="1050"/>
        <w:gridCol w:w="715"/>
        <w:gridCol w:w="6272"/>
        <w:gridCol w:w="2855"/>
      </w:tblGrid>
      <w:tr w14:paraId="3ED22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Align w:val="center"/>
          </w:tcPr>
          <w:p w14:paraId="1802F5A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管控单元编码</w:t>
            </w:r>
          </w:p>
        </w:tc>
        <w:tc>
          <w:tcPr>
            <w:tcW w:w="1353" w:type="dxa"/>
            <w:vAlign w:val="center"/>
          </w:tcPr>
          <w:p w14:paraId="4F7E0D5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环境管控单元名称</w:t>
            </w:r>
          </w:p>
        </w:tc>
        <w:tc>
          <w:tcPr>
            <w:tcW w:w="1050" w:type="dxa"/>
            <w:vAlign w:val="center"/>
          </w:tcPr>
          <w:p w14:paraId="4AF4F60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管控单元类别</w:t>
            </w:r>
          </w:p>
        </w:tc>
        <w:tc>
          <w:tcPr>
            <w:tcW w:w="6987" w:type="dxa"/>
            <w:gridSpan w:val="2"/>
            <w:vAlign w:val="center"/>
          </w:tcPr>
          <w:p w14:paraId="336CA2E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管控要求</w:t>
            </w:r>
          </w:p>
        </w:tc>
        <w:tc>
          <w:tcPr>
            <w:tcW w:w="2855" w:type="dxa"/>
            <w:vAlign w:val="center"/>
          </w:tcPr>
          <w:p w14:paraId="16B2FA7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符合性分析</w:t>
            </w:r>
          </w:p>
        </w:tc>
      </w:tr>
      <w:tr w14:paraId="0977A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restart"/>
            <w:vAlign w:val="center"/>
          </w:tcPr>
          <w:p w14:paraId="2B60B324">
            <w:pPr>
              <w:keepNext w:val="0"/>
              <w:keepLines w:val="0"/>
              <w:widowControl/>
              <w:suppressLineNumbers w:val="0"/>
              <w:ind w:left="0" w:leftChars="0"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ZH23112410002</w:t>
            </w:r>
          </w:p>
        </w:tc>
        <w:tc>
          <w:tcPr>
            <w:tcW w:w="1353" w:type="dxa"/>
            <w:vMerge w:val="restart"/>
            <w:vAlign w:val="center"/>
          </w:tcPr>
          <w:p w14:paraId="7314C2F7">
            <w:pPr>
              <w:keepNext w:val="0"/>
              <w:keepLines w:val="0"/>
              <w:widowControl/>
              <w:suppressLineNumbers w:val="0"/>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 w:val="21"/>
                <w:szCs w:val="21"/>
                <w:highlight w:val="none"/>
                <w:lang w:val="en-US" w:eastAsia="zh-CN" w:bidi="ar"/>
              </w:rPr>
              <w:t>孙吴县一般生态空间</w:t>
            </w:r>
          </w:p>
        </w:tc>
        <w:tc>
          <w:tcPr>
            <w:tcW w:w="1050" w:type="dxa"/>
            <w:vMerge w:val="restart"/>
            <w:vAlign w:val="center"/>
          </w:tcPr>
          <w:p w14:paraId="6E71A44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优先保护单元</w:t>
            </w:r>
          </w:p>
        </w:tc>
        <w:tc>
          <w:tcPr>
            <w:tcW w:w="715" w:type="dxa"/>
            <w:vAlign w:val="center"/>
          </w:tcPr>
          <w:p w14:paraId="63E79C5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空间布局约束</w:t>
            </w:r>
          </w:p>
        </w:tc>
        <w:tc>
          <w:tcPr>
            <w:tcW w:w="6272" w:type="dxa"/>
            <w:vAlign w:val="center"/>
          </w:tcPr>
          <w:p w14:paraId="6367CE82">
            <w:pPr>
              <w:keepNext w:val="0"/>
              <w:keepLines w:val="0"/>
              <w:widowControl/>
              <w:suppressLineNumbers w:val="0"/>
              <w:spacing w:line="240" w:lineRule="auto"/>
              <w:ind w:left="0" w:leftChars="0"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
              </w:rPr>
              <w:t>1.区域准入要求：（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4）已经侵占生态空间的，应建立退出机制、制定治理方案及时间表。2.孙吴县二门山水库饮用水水源同时执行以下准入要求：（1）饮用水地表水源各级保护区及准保护区内均必须遵守下列规定：1）禁止一切破坏水环境生态平衡的活动以及破坏水源林、护岸林、与水源保护相关植被的活动。2）禁止向水域倾倒工业废渣、城市垃圾、粪便及其它废弃物。3）运输有毒有害物质、油类、粪便的船舶和车辆一般不准进入保护区，必须进入者应事先申请并经有关部门批准、登记并设置防渗、防溢、防漏设施。4）禁止使用剧毒和高残留农药，不得滥用化肥，不得使用炸药、毒品捕杀鱼类。5）禁止建设畜禽养殖场、养殖小区。 6）禁止设置排污口。（2）饮用水地表水源各级保护区及准保护区内必须分别遵守下列规定：1）一级保护区内：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 2）二级保护区内：禁止新建、改建、扩建排放污染物的建设项目，已建成的排放污染物的建设项目，由县级以上人民政府责令拆除或者关闭；原有排污口依法拆除或者关闭；禁止设立装卸垃圾、粪便、油类和有毒物品的码头。3）准保护区内：禁止新建、扩建对水体污染严重的建设项目；改建建设项目，不得增加排污量。（3）国务院和省、自治区、直辖市人民政府根据水环境保护的需要，可以规定在饮用水水源保护区内，采取禁止或者限制使用含磷洗涤剂、化肥、农药以及限制种植养殖等措施。（4）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 1）一级保护区内：禁止建设与取水设施无关的建筑物；禁止从事农牧业活动；禁止倾倒、堆放工业废渣及城市垃圾、粪便和其它有害废弃物；禁止输送污水的渠道、管道及输油管道通过本区；禁止建设油库；禁止建立墓地。2）二级保护区内：①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②对于承压含水层地下水水源地：禁止承压水和潜水的混合开采，作好潜水的止水措施。③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w:t>
            </w:r>
          </w:p>
        </w:tc>
        <w:tc>
          <w:tcPr>
            <w:tcW w:w="2855" w:type="dxa"/>
            <w:vAlign w:val="center"/>
          </w:tcPr>
          <w:p w14:paraId="1CD30EE5">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1.本</w:t>
            </w:r>
            <w:r>
              <w:rPr>
                <w:rFonts w:hint="default" w:ascii="Times New Roman" w:hAnsi="Times New Roman" w:eastAsia="宋体" w:cs="Times New Roman"/>
                <w:color w:val="auto"/>
                <w:kern w:val="0"/>
                <w:sz w:val="21"/>
                <w:szCs w:val="21"/>
                <w:highlight w:val="none"/>
                <w:lang w:val="en-US" w:eastAsia="zh-CN" w:bidi="ar"/>
              </w:rPr>
              <w:t>项目位于黑龙江省黑河市孙吴县，为肉牛养殖项目，属于农业开发项目。本项目占用土地类型为设施农业用地，项目已获得用地手续（见附</w:t>
            </w:r>
            <w:r>
              <w:rPr>
                <w:rFonts w:hint="default" w:ascii="Times New Roman" w:hAnsi="Times New Roman" w:eastAsia="宋体" w:cs="Times New Roman"/>
                <w:color w:val="auto"/>
                <w:highlight w:val="none"/>
                <w:lang w:val="en-US" w:eastAsia="zh-CN"/>
              </w:rPr>
              <w:t>件</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w:t>
            </w:r>
          </w:p>
          <w:p w14:paraId="7BA48A13">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本项目距离</w:t>
            </w:r>
            <w:r>
              <w:rPr>
                <w:rFonts w:hint="default" w:ascii="Times New Roman" w:hAnsi="Times New Roman" w:eastAsia="宋体" w:cs="Times New Roman"/>
                <w:color w:val="auto"/>
                <w:kern w:val="0"/>
                <w:sz w:val="21"/>
                <w:szCs w:val="21"/>
                <w:highlight w:val="none"/>
                <w:lang w:val="en-US" w:eastAsia="zh-CN" w:bidi="ar"/>
              </w:rPr>
              <w:t>孙吴县二门山水库饮用水水源保护区15.8km，项目的建设不会对饮用水水源地产生影响。</w:t>
            </w:r>
            <w:r>
              <w:rPr>
                <w:rFonts w:hint="default" w:ascii="Times New Roman" w:hAnsi="Times New Roman" w:eastAsia="宋体" w:cs="Times New Roman"/>
                <w:color w:val="auto"/>
                <w:highlight w:val="none"/>
                <w:lang w:val="en-US" w:eastAsia="zh-CN"/>
              </w:rPr>
              <w:t>同时，</w:t>
            </w:r>
            <w:r>
              <w:rPr>
                <w:rFonts w:hint="default" w:ascii="Times New Roman" w:hAnsi="Times New Roman" w:eastAsia="宋体" w:cs="Times New Roman"/>
                <w:color w:val="auto"/>
                <w:highlight w:val="none"/>
              </w:rPr>
              <w:t>配套与养殖规模和处理工艺相适应的粪污消纳用地，配备必要的粪污收集、贮存、处理、利用设施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粪便</w:t>
            </w:r>
            <w:r>
              <w:rPr>
                <w:rFonts w:hint="default" w:ascii="Times New Roman" w:hAnsi="Times New Roman" w:eastAsia="宋体" w:cs="Times New Roman"/>
                <w:color w:val="auto"/>
                <w:highlight w:val="none"/>
              </w:rPr>
              <w:t>养分</w:t>
            </w:r>
            <w:r>
              <w:rPr>
                <w:rFonts w:hint="default" w:ascii="Times New Roman" w:hAnsi="Times New Roman" w:eastAsia="宋体" w:cs="Times New Roman"/>
                <w:color w:val="auto"/>
                <w:highlight w:val="none"/>
                <w:lang w:val="en-US" w:eastAsia="zh-CN"/>
              </w:rPr>
              <w:t>得到了有效的</w:t>
            </w:r>
            <w:r>
              <w:rPr>
                <w:rFonts w:hint="default" w:ascii="Times New Roman" w:hAnsi="Times New Roman" w:eastAsia="宋体" w:cs="Times New Roman"/>
                <w:color w:val="auto"/>
                <w:highlight w:val="none"/>
              </w:rPr>
              <w:t>综合利用</w:t>
            </w:r>
            <w:r>
              <w:rPr>
                <w:rFonts w:hint="default" w:ascii="Times New Roman" w:hAnsi="Times New Roman" w:eastAsia="宋体" w:cs="Times New Roman"/>
                <w:color w:val="auto"/>
                <w:highlight w:val="none"/>
                <w:lang w:eastAsia="zh-CN"/>
              </w:rPr>
              <w:t>。</w:t>
            </w:r>
          </w:p>
          <w:p w14:paraId="74FEE997">
            <w:pPr>
              <w:pStyle w:val="146"/>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2.本项目属于肉牛养殖场项目，</w:t>
            </w: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《黑河市畜禽养殖污染防治规划（2024-2030年）》，不属于畜禽养殖禁养区</w:t>
            </w:r>
            <w:r>
              <w:rPr>
                <w:rFonts w:hint="default" w:ascii="Times New Roman" w:hAnsi="Times New Roman" w:eastAsia="宋体" w:cs="Times New Roman"/>
                <w:color w:val="auto"/>
                <w:highlight w:val="none"/>
                <w:lang w:eastAsia="zh-CN"/>
              </w:rPr>
              <w:t>。</w:t>
            </w:r>
          </w:p>
          <w:p w14:paraId="6B0FA73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运至堆肥间后采用好氧发酵工艺进行堆肥产生固体粪肥，固体粪肥使用喷粪车作为肥料施用于配套消纳地进行施肥，非施肥季节储存于堆肥间内，减少农业面源污染。</w:t>
            </w:r>
          </w:p>
        </w:tc>
      </w:tr>
      <w:tr w14:paraId="6200F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417FEAE5">
            <w:pPr>
              <w:pStyle w:val="146"/>
              <w:rPr>
                <w:rFonts w:hint="default" w:ascii="Times New Roman" w:hAnsi="Times New Roman" w:eastAsia="宋体" w:cs="Times New Roman"/>
                <w:color w:val="auto"/>
                <w:highlight w:val="none"/>
              </w:rPr>
            </w:pPr>
          </w:p>
        </w:tc>
        <w:tc>
          <w:tcPr>
            <w:tcW w:w="1353" w:type="dxa"/>
            <w:vMerge w:val="continue"/>
            <w:vAlign w:val="center"/>
          </w:tcPr>
          <w:p w14:paraId="1CA1EE2F">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773C3E08">
            <w:pPr>
              <w:pStyle w:val="146"/>
              <w:rPr>
                <w:rFonts w:hint="default" w:ascii="Times New Roman" w:hAnsi="Times New Roman" w:eastAsia="宋体" w:cs="Times New Roman"/>
                <w:color w:val="auto"/>
                <w:highlight w:val="none"/>
              </w:rPr>
            </w:pPr>
          </w:p>
        </w:tc>
        <w:tc>
          <w:tcPr>
            <w:tcW w:w="715" w:type="dxa"/>
            <w:vAlign w:val="center"/>
          </w:tcPr>
          <w:p w14:paraId="45D01DB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污染物排放管控</w:t>
            </w:r>
          </w:p>
        </w:tc>
        <w:tc>
          <w:tcPr>
            <w:tcW w:w="6272" w:type="dxa"/>
            <w:vAlign w:val="center"/>
          </w:tcPr>
          <w:p w14:paraId="53B3471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48784420">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683D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2AB12182">
            <w:pPr>
              <w:pStyle w:val="146"/>
              <w:rPr>
                <w:rFonts w:hint="default" w:ascii="Times New Roman" w:hAnsi="Times New Roman" w:eastAsia="宋体" w:cs="Times New Roman"/>
                <w:color w:val="auto"/>
                <w:highlight w:val="none"/>
              </w:rPr>
            </w:pPr>
          </w:p>
        </w:tc>
        <w:tc>
          <w:tcPr>
            <w:tcW w:w="1353" w:type="dxa"/>
            <w:vMerge w:val="continue"/>
            <w:vAlign w:val="center"/>
          </w:tcPr>
          <w:p w14:paraId="04536564">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29EACDBC">
            <w:pPr>
              <w:pStyle w:val="146"/>
              <w:rPr>
                <w:rFonts w:hint="default" w:ascii="Times New Roman" w:hAnsi="Times New Roman" w:eastAsia="宋体" w:cs="Times New Roman"/>
                <w:color w:val="auto"/>
                <w:highlight w:val="none"/>
              </w:rPr>
            </w:pPr>
          </w:p>
        </w:tc>
        <w:tc>
          <w:tcPr>
            <w:tcW w:w="715" w:type="dxa"/>
            <w:vAlign w:val="center"/>
          </w:tcPr>
          <w:p w14:paraId="08256A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环境风险防控</w:t>
            </w:r>
          </w:p>
        </w:tc>
        <w:tc>
          <w:tcPr>
            <w:tcW w:w="6272" w:type="dxa"/>
            <w:vAlign w:val="center"/>
          </w:tcPr>
          <w:p w14:paraId="0AE2B8D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7FC33819">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5B08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5F730BF7">
            <w:pPr>
              <w:pStyle w:val="146"/>
              <w:rPr>
                <w:rFonts w:hint="default" w:ascii="Times New Roman" w:hAnsi="Times New Roman" w:eastAsia="宋体" w:cs="Times New Roman"/>
                <w:color w:val="auto"/>
                <w:highlight w:val="none"/>
              </w:rPr>
            </w:pPr>
          </w:p>
        </w:tc>
        <w:tc>
          <w:tcPr>
            <w:tcW w:w="1353" w:type="dxa"/>
            <w:vMerge w:val="continue"/>
            <w:vAlign w:val="center"/>
          </w:tcPr>
          <w:p w14:paraId="65502ADC">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545DAAE3">
            <w:pPr>
              <w:pStyle w:val="146"/>
              <w:rPr>
                <w:rFonts w:hint="default" w:ascii="Times New Roman" w:hAnsi="Times New Roman" w:eastAsia="宋体" w:cs="Times New Roman"/>
                <w:color w:val="auto"/>
                <w:highlight w:val="none"/>
              </w:rPr>
            </w:pPr>
          </w:p>
        </w:tc>
        <w:tc>
          <w:tcPr>
            <w:tcW w:w="715" w:type="dxa"/>
            <w:vAlign w:val="center"/>
          </w:tcPr>
          <w:p w14:paraId="1EDC2F2A">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资源开发效率要求</w:t>
            </w:r>
          </w:p>
        </w:tc>
        <w:tc>
          <w:tcPr>
            <w:tcW w:w="6272" w:type="dxa"/>
            <w:vAlign w:val="center"/>
          </w:tcPr>
          <w:p w14:paraId="53C2AC7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17BFD36A">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71C9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restart"/>
            <w:vAlign w:val="center"/>
          </w:tcPr>
          <w:p w14:paraId="0661A8E4">
            <w:pPr>
              <w:keepNext w:val="0"/>
              <w:keepLines w:val="0"/>
              <w:widowControl/>
              <w:suppressLineNumbers w:val="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ZH23112430002</w:t>
            </w:r>
          </w:p>
        </w:tc>
        <w:tc>
          <w:tcPr>
            <w:tcW w:w="1353" w:type="dxa"/>
            <w:vMerge w:val="restart"/>
            <w:vAlign w:val="center"/>
          </w:tcPr>
          <w:p w14:paraId="196BD694">
            <w:pPr>
              <w:keepNext w:val="0"/>
              <w:keepLines w:val="0"/>
              <w:widowControl/>
              <w:suppressLineNumbers w:val="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孙吴县其他区域</w:t>
            </w:r>
          </w:p>
        </w:tc>
        <w:tc>
          <w:tcPr>
            <w:tcW w:w="1050" w:type="dxa"/>
            <w:vMerge w:val="restart"/>
            <w:vAlign w:val="center"/>
          </w:tcPr>
          <w:p w14:paraId="749A9D5F">
            <w:pPr>
              <w:keepNext w:val="0"/>
              <w:keepLines w:val="0"/>
              <w:widowControl/>
              <w:suppressLineNumbers w:val="0"/>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一般管控单元</w:t>
            </w:r>
          </w:p>
        </w:tc>
        <w:tc>
          <w:tcPr>
            <w:tcW w:w="715" w:type="dxa"/>
            <w:shd w:val="clear" w:color="auto" w:fill="auto"/>
            <w:vAlign w:val="center"/>
          </w:tcPr>
          <w:p w14:paraId="06A89964">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空间布局约束</w:t>
            </w:r>
          </w:p>
        </w:tc>
        <w:tc>
          <w:tcPr>
            <w:tcW w:w="6272" w:type="dxa"/>
            <w:vAlign w:val="center"/>
          </w:tcPr>
          <w:p w14:paraId="22BB7A23">
            <w:pPr>
              <w:keepNext w:val="0"/>
              <w:keepLines w:val="0"/>
              <w:widowControl/>
              <w:suppressLineNumbers w:val="0"/>
              <w:spacing w:line="240" w:lineRule="auto"/>
              <w:ind w:left="0" w:leftChars="0" w:firstLine="0" w:firstLineChars="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2855" w:type="dxa"/>
            <w:vAlign w:val="center"/>
          </w:tcPr>
          <w:p w14:paraId="48D77855">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本项目为</w:t>
            </w:r>
            <w:r>
              <w:rPr>
                <w:rFonts w:hint="default" w:ascii="Times New Roman" w:hAnsi="Times New Roman" w:eastAsia="宋体" w:cs="Times New Roman"/>
                <w:color w:val="auto"/>
                <w:highlight w:val="none"/>
              </w:rPr>
              <w:t>畜牧业中的牲畜饲养</w:t>
            </w:r>
            <w:r>
              <w:rPr>
                <w:rFonts w:hint="default" w:ascii="Times New Roman" w:hAnsi="Times New Roman" w:eastAsia="宋体" w:cs="Times New Roman"/>
                <w:color w:val="auto"/>
                <w:highlight w:val="none"/>
                <w:lang w:val="en-US" w:eastAsia="zh-CN"/>
              </w:rPr>
              <w:t>项目，不属于钢铁、化工等行业，不是用淘汰类设备，符合空间布局约束。</w:t>
            </w:r>
          </w:p>
        </w:tc>
      </w:tr>
      <w:tr w14:paraId="7EAE1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58E5734F">
            <w:pPr>
              <w:pStyle w:val="146"/>
              <w:rPr>
                <w:rFonts w:hint="default" w:ascii="Times New Roman" w:hAnsi="Times New Roman" w:eastAsia="宋体" w:cs="Times New Roman"/>
                <w:color w:val="auto"/>
                <w:highlight w:val="none"/>
              </w:rPr>
            </w:pPr>
          </w:p>
        </w:tc>
        <w:tc>
          <w:tcPr>
            <w:tcW w:w="1353" w:type="dxa"/>
            <w:vMerge w:val="continue"/>
            <w:vAlign w:val="center"/>
          </w:tcPr>
          <w:p w14:paraId="6294D964">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2053AF24">
            <w:pPr>
              <w:pStyle w:val="146"/>
              <w:rPr>
                <w:rFonts w:hint="default" w:ascii="Times New Roman" w:hAnsi="Times New Roman" w:eastAsia="宋体" w:cs="Times New Roman"/>
                <w:color w:val="auto"/>
                <w:highlight w:val="none"/>
              </w:rPr>
            </w:pPr>
          </w:p>
        </w:tc>
        <w:tc>
          <w:tcPr>
            <w:tcW w:w="715" w:type="dxa"/>
            <w:shd w:val="clear" w:color="auto" w:fill="auto"/>
            <w:vAlign w:val="center"/>
          </w:tcPr>
          <w:p w14:paraId="56F13FC7">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污染物排放管控</w:t>
            </w:r>
          </w:p>
        </w:tc>
        <w:tc>
          <w:tcPr>
            <w:tcW w:w="6272" w:type="dxa"/>
            <w:vAlign w:val="center"/>
          </w:tcPr>
          <w:p w14:paraId="1722566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7A1CBDA7">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366B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0079A788">
            <w:pPr>
              <w:pStyle w:val="146"/>
              <w:rPr>
                <w:rFonts w:hint="default" w:ascii="Times New Roman" w:hAnsi="Times New Roman" w:eastAsia="宋体" w:cs="Times New Roman"/>
                <w:color w:val="auto"/>
                <w:highlight w:val="none"/>
              </w:rPr>
            </w:pPr>
          </w:p>
        </w:tc>
        <w:tc>
          <w:tcPr>
            <w:tcW w:w="1353" w:type="dxa"/>
            <w:vMerge w:val="continue"/>
            <w:vAlign w:val="center"/>
          </w:tcPr>
          <w:p w14:paraId="6D4A674B">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43729991">
            <w:pPr>
              <w:pStyle w:val="146"/>
              <w:rPr>
                <w:rFonts w:hint="default" w:ascii="Times New Roman" w:hAnsi="Times New Roman" w:eastAsia="宋体" w:cs="Times New Roman"/>
                <w:color w:val="auto"/>
                <w:highlight w:val="none"/>
              </w:rPr>
            </w:pPr>
          </w:p>
        </w:tc>
        <w:tc>
          <w:tcPr>
            <w:tcW w:w="715" w:type="dxa"/>
            <w:shd w:val="clear" w:color="auto" w:fill="auto"/>
            <w:vAlign w:val="center"/>
          </w:tcPr>
          <w:p w14:paraId="0C9D5F0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环境风险防控</w:t>
            </w:r>
          </w:p>
        </w:tc>
        <w:tc>
          <w:tcPr>
            <w:tcW w:w="6272" w:type="dxa"/>
            <w:vAlign w:val="center"/>
          </w:tcPr>
          <w:p w14:paraId="5CEA2FD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6E691D34">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A891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3" w:type="dxa"/>
            <w:vMerge w:val="continue"/>
            <w:vAlign w:val="center"/>
          </w:tcPr>
          <w:p w14:paraId="419E589E">
            <w:pPr>
              <w:pStyle w:val="146"/>
              <w:rPr>
                <w:rFonts w:hint="default" w:ascii="Times New Roman" w:hAnsi="Times New Roman" w:eastAsia="宋体" w:cs="Times New Roman"/>
                <w:color w:val="auto"/>
                <w:highlight w:val="none"/>
              </w:rPr>
            </w:pPr>
          </w:p>
        </w:tc>
        <w:tc>
          <w:tcPr>
            <w:tcW w:w="1353" w:type="dxa"/>
            <w:vMerge w:val="continue"/>
            <w:vAlign w:val="center"/>
          </w:tcPr>
          <w:p w14:paraId="1CD18E57">
            <w:pPr>
              <w:pStyle w:val="146"/>
              <w:rPr>
                <w:rFonts w:hint="default" w:ascii="Times New Roman" w:hAnsi="Times New Roman" w:eastAsia="宋体" w:cs="Times New Roman"/>
                <w:color w:val="auto"/>
                <w:highlight w:val="none"/>
                <w:lang w:eastAsia="zh-CN"/>
              </w:rPr>
            </w:pPr>
          </w:p>
        </w:tc>
        <w:tc>
          <w:tcPr>
            <w:tcW w:w="1050" w:type="dxa"/>
            <w:vMerge w:val="continue"/>
            <w:vAlign w:val="center"/>
          </w:tcPr>
          <w:p w14:paraId="602134C2">
            <w:pPr>
              <w:pStyle w:val="146"/>
              <w:rPr>
                <w:rFonts w:hint="default" w:ascii="Times New Roman" w:hAnsi="Times New Roman" w:eastAsia="宋体" w:cs="Times New Roman"/>
                <w:color w:val="auto"/>
                <w:highlight w:val="none"/>
              </w:rPr>
            </w:pPr>
          </w:p>
        </w:tc>
        <w:tc>
          <w:tcPr>
            <w:tcW w:w="715" w:type="dxa"/>
            <w:shd w:val="clear" w:color="auto" w:fill="auto"/>
            <w:vAlign w:val="center"/>
          </w:tcPr>
          <w:p w14:paraId="6FB28C1A">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资源开发效率要求</w:t>
            </w:r>
          </w:p>
        </w:tc>
        <w:tc>
          <w:tcPr>
            <w:tcW w:w="6272" w:type="dxa"/>
            <w:vAlign w:val="center"/>
          </w:tcPr>
          <w:p w14:paraId="03E0FB8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855" w:type="dxa"/>
            <w:vAlign w:val="center"/>
          </w:tcPr>
          <w:p w14:paraId="4A0AA6A1">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bl>
    <w:p w14:paraId="104E8414">
      <w:pPr>
        <w:pStyle w:val="67"/>
        <w:ind w:firstLine="0" w:firstLineChars="0"/>
        <w:jc w:val="center"/>
        <w:rPr>
          <w:rFonts w:hint="default" w:ascii="Times New Roman" w:hAnsi="Times New Roman" w:cs="Times New Roman"/>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327FBE9C">
      <w:pPr>
        <w:pStyle w:val="5"/>
        <w:spacing w:line="500" w:lineRule="exact"/>
        <w:rPr>
          <w:rFonts w:hint="default" w:ascii="Times New Roman" w:hAnsi="Times New Roman" w:cs="Times New Roman"/>
          <w:color w:val="auto"/>
          <w:highlight w:val="none"/>
        </w:rPr>
      </w:pPr>
      <w:bookmarkStart w:id="38" w:name="_Toc11235"/>
      <w:bookmarkStart w:id="39" w:name="_Toc57713604"/>
      <w:bookmarkStart w:id="40" w:name="_Toc439236473"/>
      <w:bookmarkStart w:id="41" w:name="_Toc472585611"/>
      <w:bookmarkStart w:id="42" w:name="_Toc477190959"/>
      <w:bookmarkStart w:id="43" w:name="_Toc475378597"/>
      <w:r>
        <w:rPr>
          <w:rFonts w:hint="default" w:ascii="Times New Roman" w:hAnsi="Times New Roman" w:cs="Times New Roman"/>
          <w:color w:val="auto"/>
          <w:highlight w:val="none"/>
        </w:rPr>
        <w:t>1.4.4选址合理性分析</w:t>
      </w:r>
      <w:bookmarkEnd w:id="38"/>
      <w:bookmarkEnd w:id="39"/>
    </w:p>
    <w:p w14:paraId="5B1EEDB0">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1.4.4.1相关技术规范相符性</w:t>
      </w:r>
    </w:p>
    <w:p w14:paraId="0116832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，占地类型为</w:t>
      </w:r>
      <w:r>
        <w:rPr>
          <w:rFonts w:hint="default" w:ascii="Times New Roman" w:hAnsi="Times New Roman" w:eastAsia="宋体" w:cs="Times New Roman"/>
          <w:color w:val="auto"/>
          <w:sz w:val="24"/>
          <w:szCs w:val="24"/>
          <w:highlight w:val="none"/>
          <w:lang w:val="en-US" w:eastAsia="zh-CN"/>
        </w:rPr>
        <w:t>设施农业用地</w:t>
      </w:r>
      <w:r>
        <w:rPr>
          <w:rFonts w:hint="default" w:ascii="Times New Roman" w:hAnsi="Times New Roman" w:eastAsia="宋体" w:cs="Times New Roman"/>
          <w:color w:val="auto"/>
          <w:sz w:val="24"/>
          <w:szCs w:val="24"/>
          <w:highlight w:val="none"/>
        </w:rPr>
        <w:t>，本项</w:t>
      </w:r>
      <w:r>
        <w:rPr>
          <w:rFonts w:hint="default" w:ascii="Times New Roman" w:hAnsi="Times New Roman" w:eastAsia="宋体" w:cs="Times New Roman"/>
          <w:color w:val="auto"/>
          <w:highlight w:val="none"/>
        </w:rPr>
        <w:t>目选址合理性分析见下表。</w:t>
      </w:r>
    </w:p>
    <w:p w14:paraId="2AAE78D5">
      <w:pPr>
        <w:pStyle w:val="210"/>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6BC51474">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表1-4-</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本项目选址合理性分析一览表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984"/>
        <w:gridCol w:w="5954"/>
        <w:gridCol w:w="3689"/>
        <w:gridCol w:w="904"/>
      </w:tblGrid>
      <w:tr w14:paraId="219CE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4C8EFBE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749" w:type="pct"/>
            <w:vAlign w:val="center"/>
          </w:tcPr>
          <w:p w14:paraId="6505C68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文件</w:t>
            </w:r>
          </w:p>
        </w:tc>
        <w:tc>
          <w:tcPr>
            <w:tcW w:w="2248" w:type="pct"/>
            <w:vAlign w:val="center"/>
          </w:tcPr>
          <w:p w14:paraId="595C63D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选址要求</w:t>
            </w:r>
          </w:p>
        </w:tc>
        <w:tc>
          <w:tcPr>
            <w:tcW w:w="1393" w:type="pct"/>
            <w:vAlign w:val="center"/>
          </w:tcPr>
          <w:p w14:paraId="25F9BA2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341" w:type="pct"/>
            <w:vAlign w:val="center"/>
          </w:tcPr>
          <w:p w14:paraId="4054256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14:paraId="2FC53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22A09F4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49" w:type="pct"/>
            <w:vAlign w:val="center"/>
          </w:tcPr>
          <w:p w14:paraId="106BD97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《畜禽规模养殖污染防治条例》（国务院令第643号）</w:t>
            </w:r>
          </w:p>
        </w:tc>
        <w:tc>
          <w:tcPr>
            <w:tcW w:w="2248" w:type="pct"/>
            <w:vAlign w:val="center"/>
          </w:tcPr>
          <w:p w14:paraId="5DB5B57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污染防治条例》第二章第十一条：禁止在下列区域内建设畜禽养殖场、养殖小区：①饮用水水源保护区，风景名胜区；②自然保护区的核心区和缓冲区；③城镇居民区、文化教育科学研究区等人口集中区域；④法律、法规规定的其他禁止养殖区域。</w:t>
            </w:r>
          </w:p>
        </w:tc>
        <w:tc>
          <w:tcPr>
            <w:tcW w:w="1393" w:type="pct"/>
            <w:vAlign w:val="center"/>
          </w:tcPr>
          <w:p w14:paraId="39C64BA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本项目的选址不涉及饮用水水源保护区、风景名胜区、自然保护区的核心区和缓冲区；不在城镇居民区、文化教育科学研究区等人口集中区域；不属于当地政府划定的“敏感区”和“禁养区”。</w:t>
            </w:r>
          </w:p>
        </w:tc>
        <w:tc>
          <w:tcPr>
            <w:tcW w:w="341" w:type="pct"/>
            <w:vAlign w:val="center"/>
          </w:tcPr>
          <w:p w14:paraId="677A501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13FA8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2A18B17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749" w:type="pct"/>
            <w:vAlign w:val="center"/>
          </w:tcPr>
          <w:p w14:paraId="560EA0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《畜禽养殖业污染防治技术规范》（HJ/T81-2001）</w:t>
            </w:r>
          </w:p>
        </w:tc>
        <w:tc>
          <w:tcPr>
            <w:tcW w:w="2248" w:type="pct"/>
            <w:vAlign w:val="center"/>
          </w:tcPr>
          <w:p w14:paraId="799A0F4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《畜禽养殖业污染防治技术规范》（HJ/T81-2001）3选址要求：</w:t>
            </w:r>
          </w:p>
          <w:p w14:paraId="15C52C8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3.1禁止在下列区域内建设畜禽养殖场：</w:t>
            </w:r>
          </w:p>
          <w:p w14:paraId="0B32D89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3.1.1生活饮用水水源保护区，风景名胜区、自然保护区的核心区和缓冲区；</w:t>
            </w:r>
          </w:p>
          <w:p w14:paraId="6182B92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3.1.2城市和城镇居民区，包括文教科研区、医疗区、商业区、工业区、游览区等人口集中地区；</w:t>
            </w:r>
          </w:p>
          <w:p w14:paraId="6DA48E9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3.1.3县级人民政府依法划定的禁养区域；</w:t>
            </w:r>
          </w:p>
          <w:p w14:paraId="2E82E8E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3.1.4国家或地方法律、法规规定需特殊保护的其他区域。</w:t>
            </w:r>
          </w:p>
          <w:p w14:paraId="2D27A8C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3.2新建、改建、扩建的畜禽养殖场选址应避开以上禁建区域。在禁建区域附近建设的，应设在禁建区域常年主导风向的下风向或侧风向处，场界与禁建区域边界的最小距离不得小于500m。</w:t>
            </w:r>
          </w:p>
          <w:p w14:paraId="033F3A8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5畜禽粪便的贮存：</w:t>
            </w:r>
          </w:p>
          <w:p w14:paraId="5EA29C0B">
            <w:pPr>
              <w:pStyle w:val="146"/>
              <w:jc w:val="both"/>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5.2贮存设施的位置必须远离各类功能地表水体（距离不得小于400m），并应设在养殖场生产及生活管理区的常年主导风向的下风向或侧风向处。</w:t>
            </w:r>
          </w:p>
        </w:tc>
        <w:tc>
          <w:tcPr>
            <w:tcW w:w="1393" w:type="pct"/>
            <w:vAlign w:val="center"/>
          </w:tcPr>
          <w:p w14:paraId="73CFCA71">
            <w:pPr>
              <w:pStyle w:val="146"/>
              <w:numPr>
                <w:ilvl w:val="0"/>
                <w:numId w:val="4"/>
              </w:numPr>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项目选址不属于生活饮用水源地和地下水补给区、风景名胜区、自然保护区的核心区和缓冲区、城市和城镇居民区等需要特殊保护区域。</w:t>
            </w:r>
          </w:p>
          <w:p w14:paraId="48FBD53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（2）项目远离居民区，远离人员流动较大的道路和村庄，项目四周空旷。项目区域常年主导风向为</w:t>
            </w:r>
            <w:r>
              <w:rPr>
                <w:rFonts w:hint="default" w:ascii="Times New Roman" w:hAnsi="Times New Roman" w:eastAsia="宋体" w:cs="Times New Roman"/>
                <w:color w:val="auto"/>
                <w:highlight w:val="none"/>
                <w:lang w:val="en-US" w:eastAsia="zh-CN"/>
              </w:rPr>
              <w:t>西北北</w:t>
            </w:r>
            <w:r>
              <w:rPr>
                <w:rFonts w:hint="default" w:ascii="Times New Roman" w:hAnsi="Times New Roman" w:eastAsia="宋体" w:cs="Times New Roman"/>
                <w:color w:val="auto"/>
                <w:highlight w:val="none"/>
              </w:rPr>
              <w:t>风，</w:t>
            </w:r>
            <w:r>
              <w:rPr>
                <w:rFonts w:hint="default" w:ascii="Times New Roman" w:hAnsi="Times New Roman" w:eastAsia="宋体" w:cs="Times New Roman"/>
                <w:color w:val="auto"/>
                <w:highlight w:val="none"/>
                <w:lang w:val="en-US" w:eastAsia="zh-CN"/>
              </w:rPr>
              <w:t>距离项目最近的河北屯居民</w:t>
            </w:r>
            <w:r>
              <w:rPr>
                <w:rFonts w:hint="default" w:ascii="Times New Roman" w:hAnsi="Times New Roman" w:eastAsia="宋体" w:cs="Times New Roman"/>
                <w:color w:val="auto"/>
                <w:highlight w:val="none"/>
              </w:rPr>
              <w:t>位于其主导风向的</w:t>
            </w:r>
            <w:r>
              <w:rPr>
                <w:rFonts w:hint="default" w:ascii="Times New Roman" w:hAnsi="Times New Roman" w:eastAsia="宋体" w:cs="Times New Roman"/>
                <w:color w:val="auto"/>
                <w:highlight w:val="none"/>
                <w:lang w:val="en-US" w:eastAsia="zh-CN"/>
              </w:rPr>
              <w:t>上</w:t>
            </w:r>
            <w:r>
              <w:rPr>
                <w:rFonts w:hint="default" w:ascii="Times New Roman" w:hAnsi="Times New Roman" w:eastAsia="宋体" w:cs="Times New Roman"/>
                <w:color w:val="auto"/>
                <w:highlight w:val="none"/>
              </w:rPr>
              <w:t>风向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距离6460m</w:t>
            </w:r>
            <w:r>
              <w:rPr>
                <w:rFonts w:hint="default" w:ascii="Times New Roman" w:hAnsi="Times New Roman" w:eastAsia="宋体" w:cs="Times New Roman"/>
                <w:color w:val="auto"/>
                <w:highlight w:val="none"/>
              </w:rPr>
              <w:t>。</w:t>
            </w:r>
          </w:p>
          <w:p w14:paraId="28D3DED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（3）本项目场区内设置</w:t>
            </w:r>
            <w:r>
              <w:rPr>
                <w:rFonts w:hint="eastAsia" w:eastAsia="宋体" w:cs="Times New Roman"/>
                <w:color w:val="auto"/>
                <w:highlight w:val="none"/>
                <w:lang w:val="en-US" w:eastAsia="zh-CN"/>
              </w:rPr>
              <w:t>化粪池、堆肥间、储粪间</w:t>
            </w:r>
            <w:r>
              <w:rPr>
                <w:rFonts w:hint="default" w:ascii="Times New Roman" w:hAnsi="Times New Roman" w:eastAsia="宋体" w:cs="Times New Roman"/>
                <w:color w:val="auto"/>
                <w:highlight w:val="none"/>
              </w:rPr>
              <w:t>，距离</w:t>
            </w:r>
            <w:r>
              <w:rPr>
                <w:rFonts w:hint="default" w:ascii="Times New Roman" w:hAnsi="Times New Roman" w:eastAsia="宋体" w:cs="Times New Roman"/>
                <w:snapToGrid w:val="0"/>
                <w:color w:val="auto"/>
                <w:highlight w:val="none"/>
              </w:rPr>
              <w:t>最近的地表水体</w:t>
            </w:r>
            <w:r>
              <w:rPr>
                <w:rFonts w:hint="default" w:ascii="Times New Roman" w:hAnsi="Times New Roman" w:eastAsia="宋体" w:cs="Times New Roman"/>
                <w:snapToGrid w:val="0"/>
                <w:color w:val="auto"/>
                <w:highlight w:val="none"/>
                <w:lang w:val="en-US" w:eastAsia="zh-CN"/>
              </w:rPr>
              <w:t>平关河3.53</w:t>
            </w:r>
            <w:r>
              <w:rPr>
                <w:rFonts w:hint="default" w:ascii="Times New Roman" w:hAnsi="Times New Roman" w:eastAsia="宋体" w:cs="Times New Roman"/>
                <w:snapToGrid w:val="0"/>
                <w:color w:val="auto"/>
                <w:highlight w:val="none"/>
              </w:rPr>
              <w:t>km</w:t>
            </w:r>
            <w:r>
              <w:rPr>
                <w:rFonts w:hint="default" w:ascii="Times New Roman" w:hAnsi="Times New Roman" w:eastAsia="宋体" w:cs="Times New Roman"/>
                <w:color w:val="auto"/>
                <w:highlight w:val="none"/>
              </w:rPr>
              <w:t>。</w:t>
            </w:r>
          </w:p>
        </w:tc>
        <w:tc>
          <w:tcPr>
            <w:tcW w:w="341" w:type="pct"/>
            <w:vAlign w:val="center"/>
          </w:tcPr>
          <w:p w14:paraId="6CB1BFB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47324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0AB8C4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749" w:type="pct"/>
            <w:vAlign w:val="center"/>
          </w:tcPr>
          <w:p w14:paraId="5D16E52A">
            <w:pPr>
              <w:autoSpaceDE w:val="0"/>
              <w:autoSpaceDN w:val="0"/>
              <w:snapToGrid/>
              <w:spacing w:line="240" w:lineRule="auto"/>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r>
              <w:rPr>
                <w:rStyle w:val="145"/>
                <w:rFonts w:hint="default" w:ascii="Times New Roman" w:hAnsi="Times New Roman" w:eastAsia="宋体" w:cs="Times New Roman"/>
                <w:color w:val="auto"/>
                <w:highlight w:val="none"/>
              </w:rPr>
              <w:t>畜禽养殖禁养区划定技术指南》（环办水体[2016]99号）</w:t>
            </w:r>
          </w:p>
        </w:tc>
        <w:tc>
          <w:tcPr>
            <w:tcW w:w="2248" w:type="pct"/>
            <w:vAlign w:val="center"/>
          </w:tcPr>
          <w:p w14:paraId="620E9A0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1、饮水水源保护一级保护区内禁止建设养殖场。饮用水水源二级保护区禁止建设有污染物排放的养殖场。</w:t>
            </w:r>
          </w:p>
          <w:p w14:paraId="50852A5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2、自然保护区核心区和缓冲区范围内，禁止建设养殖场。</w:t>
            </w:r>
          </w:p>
          <w:p w14:paraId="2AAFC52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3、风景名胜区的核心景区禁止建设养殖场；其他区域禁止建设有污染物排放的养殖场。</w:t>
            </w:r>
          </w:p>
          <w:p w14:paraId="4BD1BC5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4、根据城镇现行总体规划，动物防疫条件、卫生防护和环境保护要求等，因地制宜，兼顾城镇发展，科学设置边界范围。边界范围内，禁止建设养殖场。</w:t>
            </w:r>
          </w:p>
        </w:tc>
        <w:tc>
          <w:tcPr>
            <w:tcW w:w="1393" w:type="pct"/>
            <w:vAlign w:val="center"/>
          </w:tcPr>
          <w:p w14:paraId="14DC47F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，不位于饮水水源保护保护区、自然保护区核心区和缓冲区、风景名胜区的核心景区、城镇边界范围内。</w:t>
            </w:r>
          </w:p>
        </w:tc>
        <w:tc>
          <w:tcPr>
            <w:tcW w:w="341" w:type="pct"/>
            <w:vAlign w:val="center"/>
          </w:tcPr>
          <w:p w14:paraId="563F3BA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60849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0" w:hRule="atLeast"/>
          <w:jc w:val="center"/>
        </w:trPr>
        <w:tc>
          <w:tcPr>
            <w:tcW w:w="267" w:type="pct"/>
            <w:vAlign w:val="center"/>
          </w:tcPr>
          <w:p w14:paraId="482BED7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749" w:type="pct"/>
            <w:vAlign w:val="center"/>
          </w:tcPr>
          <w:p w14:paraId="453C408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《畜禽粪便无害化处理技术规范》（GB/T36195-2018）</w:t>
            </w:r>
          </w:p>
        </w:tc>
        <w:tc>
          <w:tcPr>
            <w:tcW w:w="2248" w:type="pct"/>
            <w:vAlign w:val="center"/>
          </w:tcPr>
          <w:p w14:paraId="57BF9D5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《畜禽粪便无害化处理技术规范》（GB/T36195-2018）5粪便处理场选址及布局：</w:t>
            </w:r>
          </w:p>
          <w:p w14:paraId="2907F00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5.1不应在下列区域内建设畜禽粪便处理场：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生活饮用水水源保护区、风景名胜区、自然保护区的核心区及缓冲区；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城市和城镇居民区，包括文教科研、医疗、商业和工业等人口集中地区；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县级及县级以上人民政府依法划定的禁养区域；</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国家或地方法律、法规规定需特殊保护的其他区域。</w:t>
            </w:r>
          </w:p>
          <w:p w14:paraId="3CAF1F6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5.4畜禽粪便处理场地应距离功能地表水体400m以上。</w:t>
            </w:r>
          </w:p>
          <w:p w14:paraId="2AAACAB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5.5畜禽粪便处理场区应采取地面硬化、防渗漏、防径流和雨污分流等措施。</w:t>
            </w:r>
          </w:p>
        </w:tc>
        <w:tc>
          <w:tcPr>
            <w:tcW w:w="1393" w:type="pct"/>
            <w:vAlign w:val="center"/>
          </w:tcPr>
          <w:p w14:paraId="3CFD2B6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不在生活饮用水水源保护区、风景名胜区、自然保护区的核心区及缓冲区、城市和城镇居民区、包括文教科研、医疗、商业和工业等人口集中地区、县级及县级以上人民政府依法划定的禁养区域、国家或地方法律、法规规定需特殊保护的其他区域。距离本项目最近地表水体为</w:t>
            </w:r>
            <w:r>
              <w:rPr>
                <w:rFonts w:hint="default" w:ascii="Times New Roman" w:hAnsi="Times New Roman" w:eastAsia="宋体" w:cs="Times New Roman"/>
                <w:color w:val="auto"/>
                <w:highlight w:val="none"/>
                <w:lang w:val="en-US" w:eastAsia="zh-CN"/>
              </w:rPr>
              <w:t>平关河</w:t>
            </w:r>
            <w:r>
              <w:rPr>
                <w:rFonts w:hint="default" w:ascii="Times New Roman" w:hAnsi="Times New Roman" w:eastAsia="宋体" w:cs="Times New Roman"/>
                <w:color w:val="auto"/>
                <w:highlight w:val="none"/>
              </w:rPr>
              <w:t>，位于本项目</w:t>
            </w:r>
            <w:r>
              <w:rPr>
                <w:rFonts w:hint="default" w:ascii="Times New Roman" w:hAnsi="Times New Roman" w:eastAsia="宋体" w:cs="Times New Roman"/>
                <w:color w:val="auto"/>
                <w:highlight w:val="none"/>
                <w:lang w:val="en-US" w:eastAsia="zh-CN"/>
              </w:rPr>
              <w:t>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3.53</w:t>
            </w:r>
            <w:r>
              <w:rPr>
                <w:rFonts w:hint="default" w:ascii="Times New Roman" w:hAnsi="Times New Roman" w:eastAsia="宋体" w:cs="Times New Roman"/>
                <w:color w:val="auto"/>
                <w:highlight w:val="none"/>
              </w:rPr>
              <w:t>km，大于400m。</w:t>
            </w:r>
          </w:p>
        </w:tc>
        <w:tc>
          <w:tcPr>
            <w:tcW w:w="341" w:type="pct"/>
            <w:vAlign w:val="center"/>
          </w:tcPr>
          <w:p w14:paraId="41A71CA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6C7D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0E422C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749" w:type="pct"/>
            <w:vAlign w:val="center"/>
          </w:tcPr>
          <w:p w14:paraId="79419C8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《黑龙江省畜禽禁养区划定技术指南》（黑环函[2016]67号）</w:t>
            </w:r>
          </w:p>
        </w:tc>
        <w:tc>
          <w:tcPr>
            <w:tcW w:w="2248" w:type="pct"/>
            <w:vAlign w:val="center"/>
          </w:tcPr>
          <w:p w14:paraId="5BE4236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畜禽禁养区划定技术指南》（黑环函[2016]67号）以下区域应依法划定为禁区：5.2.1饮用水水源保护区，包括饮用水源一级保护区和二级保护区的陆域范围。已经完成饮用水水源保护区划分的，按照现有陆域边界范围执行，未完成饮用水水源保护区划分的，按照《饮用水水源保护区划分技术规范》中各类饮用水水源保护区划分方法执行。</w:t>
            </w:r>
          </w:p>
          <w:p w14:paraId="03196B5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5.2.2风景名胜区，包括国家级和省级风景名胜区。风景名胜区以国务院及各省级人民政府批准公布的名单为准，范围按照其规划确定的范围执行。</w:t>
            </w:r>
          </w:p>
          <w:p w14:paraId="7DA86FA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5.2.3自然保护区，包括国家级和地方级自然保护区的核心区和缓冲区，按照国务院及县级以上地方人民政府公布的自然保护区范围执行。</w:t>
            </w:r>
          </w:p>
          <w:p w14:paraId="50E0984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5.2.4城镇居民区和文化教育科学研究区，根据城镇现行总体规划，动物防疫条件、卫生防护和大气环境保护距离等要求，因地制宜，兼顾城镇发展，科学设置边界范围。</w:t>
            </w:r>
          </w:p>
          <w:p w14:paraId="27356027">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5.2.5其他法律、法规、行政规章规定禁止畜禽养殖的区域以及确需纳入禁养区范围进行特殊保护的区域，各地根据城乡发展规划和区域污染物总量控制要求和政策规定，科学、可行的划定边界范围。</w:t>
            </w:r>
          </w:p>
        </w:tc>
        <w:tc>
          <w:tcPr>
            <w:tcW w:w="1393" w:type="pct"/>
            <w:vAlign w:val="center"/>
          </w:tcPr>
          <w:p w14:paraId="5C31687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，不在生活饮用水水源保护区、风景名胜区、自然保护区、城镇居民区和文化教育科学研究区、其他法律、法规、行政规章规定禁止畜禽养殖的区域以及</w:t>
            </w:r>
            <w:r>
              <w:rPr>
                <w:rFonts w:hint="default" w:ascii="Times New Roman" w:hAnsi="Times New Roman" w:eastAsia="宋体" w:cs="Times New Roman"/>
                <w:color w:val="auto"/>
                <w:highlight w:val="none"/>
                <w:lang w:val="en-US" w:eastAsia="zh-CN"/>
              </w:rPr>
              <w:t>确需</w:t>
            </w:r>
            <w:r>
              <w:rPr>
                <w:rFonts w:hint="default" w:ascii="Times New Roman" w:hAnsi="Times New Roman" w:eastAsia="宋体" w:cs="Times New Roman"/>
                <w:color w:val="auto"/>
                <w:highlight w:val="none"/>
              </w:rPr>
              <w:t>纳入禁养区范围进行特殊保护的区域内。</w:t>
            </w:r>
          </w:p>
        </w:tc>
        <w:tc>
          <w:tcPr>
            <w:tcW w:w="341" w:type="pct"/>
            <w:vAlign w:val="center"/>
          </w:tcPr>
          <w:p w14:paraId="24FA0A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0F364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17B6F1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749" w:type="pct"/>
            <w:vAlign w:val="center"/>
          </w:tcPr>
          <w:p w14:paraId="55ECE2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《关于做好畜禽规模养殖项目环境影响评价管理工作的通知》（环办环评[2018]31号）</w:t>
            </w:r>
          </w:p>
        </w:tc>
        <w:tc>
          <w:tcPr>
            <w:tcW w:w="2248" w:type="pct"/>
            <w:vAlign w:val="center"/>
          </w:tcPr>
          <w:p w14:paraId="765A73EC">
            <w:pPr>
              <w:autoSpaceDE w:val="0"/>
              <w:autoSpaceDN w:val="0"/>
              <w:snapToGrid/>
              <w:spacing w:line="240" w:lineRule="auto"/>
              <w:ind w:firstLine="0" w:firstLineChars="0"/>
              <w:jc w:val="both"/>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项目环评应充分论证选址的环境合理性，选址应避开当地划定的禁止养殖区域，并与区域主体功能区规划、环境功能区划、土地利用规划、城乡规划、畜牧业发展规划、畜禽养殖污染防治规划等规划相协调。当地未划定禁止养殖区域的，应避开饮用水水源保护区、风景名胜区、自然保护区的核心区和缓冲区、村镇人口集中区域，以及法律、法规规定的禁止养殖区域。</w:t>
            </w:r>
          </w:p>
        </w:tc>
        <w:tc>
          <w:tcPr>
            <w:tcW w:w="1393" w:type="pct"/>
            <w:vAlign w:val="center"/>
          </w:tcPr>
          <w:p w14:paraId="110C15F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，不在当地划定的禁止养殖区域，并与区域主体功能区规划、环境功能区划、土地利用规划、城乡规划、畜牧业发展规划、畜禽养殖污染防治规划等规划相协调。</w:t>
            </w:r>
          </w:p>
        </w:tc>
        <w:tc>
          <w:tcPr>
            <w:tcW w:w="341" w:type="pct"/>
            <w:vAlign w:val="center"/>
          </w:tcPr>
          <w:p w14:paraId="05DF330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14:paraId="5D475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7" w:type="pct"/>
            <w:vAlign w:val="center"/>
          </w:tcPr>
          <w:p w14:paraId="341B57F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749" w:type="pct"/>
            <w:vAlign w:val="center"/>
          </w:tcPr>
          <w:p w14:paraId="0B9A50A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《黑河市畜禽养殖污染防治规划（2024-2030年）》</w:t>
            </w:r>
          </w:p>
        </w:tc>
        <w:tc>
          <w:tcPr>
            <w:tcW w:w="2248" w:type="pct"/>
            <w:vAlign w:val="center"/>
          </w:tcPr>
          <w:p w14:paraId="2A4C4FD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场址所在地不属于当地人民政府依法划定的禁养区域，本项目与划定禁养区位置关系详见</w:t>
            </w:r>
            <w:r>
              <w:rPr>
                <w:rFonts w:hint="default" w:ascii="Times New Roman" w:hAnsi="Times New Roman" w:eastAsia="宋体" w:cs="Times New Roman"/>
                <w:color w:val="auto"/>
                <w:highlight w:val="none"/>
                <w:lang w:val="en-US" w:eastAsia="zh-CN"/>
              </w:rPr>
              <w:t>附图</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w:t>
            </w:r>
          </w:p>
        </w:tc>
        <w:tc>
          <w:tcPr>
            <w:tcW w:w="1393" w:type="pct"/>
            <w:vAlign w:val="center"/>
          </w:tcPr>
          <w:p w14:paraId="78FC569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本项目场界距离</w:t>
            </w:r>
            <w:r>
              <w:rPr>
                <w:rFonts w:hint="default" w:ascii="Times New Roman" w:hAnsi="Times New Roman" w:eastAsia="宋体" w:cs="Times New Roman"/>
                <w:color w:val="auto"/>
                <w:highlight w:val="none"/>
                <w:lang w:val="en-US" w:eastAsia="zh-CN"/>
              </w:rPr>
              <w:t>最近的水源保护区</w:t>
            </w:r>
            <w:r>
              <w:rPr>
                <w:rFonts w:hint="default" w:ascii="Times New Roman" w:hAnsi="Times New Roman" w:eastAsia="宋体" w:cs="Times New Roman"/>
                <w:color w:val="auto"/>
                <w:highlight w:val="none"/>
              </w:rPr>
              <w:t>孙吴县二门山水库饮用水水源</w:t>
            </w:r>
            <w:r>
              <w:rPr>
                <w:rFonts w:hint="default" w:ascii="Times New Roman" w:hAnsi="Times New Roman" w:eastAsia="宋体" w:cs="Times New Roman"/>
                <w:color w:val="auto"/>
                <w:highlight w:val="none"/>
                <w:lang w:val="en-US" w:eastAsia="zh-CN"/>
              </w:rPr>
              <w:t>地保护区15.8</w:t>
            </w:r>
            <w:r>
              <w:rPr>
                <w:rFonts w:hint="default" w:ascii="Times New Roman" w:hAnsi="Times New Roman" w:eastAsia="宋体" w:cs="Times New Roman"/>
                <w:color w:val="auto"/>
                <w:highlight w:val="none"/>
              </w:rPr>
              <w:t>km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本项目的选址不属于当地政府划定的“敏感区”和“禁养区”。</w:t>
            </w:r>
          </w:p>
        </w:tc>
        <w:tc>
          <w:tcPr>
            <w:tcW w:w="341" w:type="pct"/>
            <w:vAlign w:val="center"/>
          </w:tcPr>
          <w:p w14:paraId="474F33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14:paraId="0C515E2C">
      <w:pPr>
        <w:pStyle w:val="67"/>
        <w:ind w:firstLine="199" w:firstLineChars="83"/>
        <w:rPr>
          <w:rFonts w:hint="default" w:ascii="Times New Roman" w:hAnsi="Times New Roman" w:cs="Times New Roman"/>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21C251FF">
      <w:pPr>
        <w:pStyle w:val="67"/>
        <w:ind w:firstLine="480"/>
        <w:rPr>
          <w:rFonts w:hint="default" w:ascii="Times New Roman" w:hAnsi="Times New Roman" w:eastAsia="宋体" w:cs="Times New Roman"/>
          <w:color w:val="auto"/>
          <w:highlight w:val="none"/>
        </w:rPr>
      </w:pPr>
      <w:bookmarkStart w:id="44" w:name="_Toc524431276"/>
      <w:r>
        <w:rPr>
          <w:rFonts w:hint="default" w:ascii="Times New Roman" w:hAnsi="Times New Roman" w:eastAsia="宋体" w:cs="Times New Roman"/>
          <w:color w:val="auto"/>
          <w:highlight w:val="none"/>
        </w:rPr>
        <w:t>根据表1-4-1</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本项目选址符合《畜禽规模养殖污染防治条例》（国务院令第643号）、《畜禽养殖业污染防治技术规范》（HJ/T81-2001）、《畜禽养殖禁养区划定技术指南》（环办水体[2016]99号）、《畜禽粪便无害化处理技术规范》（GB/T36195-2018）、《黑龙江省畜禽禁养区划定技术指南》（黑环函[2016]67号）、《关于做好畜禽规模养殖项目环境影响评价管理工作的通知》（环办环评[2018]31号）、《双城区畜禽禁养区域划分方案》，因此本项目选址可行。</w:t>
      </w:r>
    </w:p>
    <w:p w14:paraId="313B0FD4">
      <w:pPr>
        <w:pStyle w:val="67"/>
        <w:ind w:firstLine="0" w:firstLineChars="0"/>
        <w:jc w:val="center"/>
        <w:rPr>
          <w:rFonts w:hint="default" w:ascii="Times New Roman" w:hAnsi="Times New Roman" w:cs="Times New Roman"/>
          <w:color w:val="auto"/>
          <w:highlight w:val="none"/>
        </w:rPr>
      </w:pPr>
    </w:p>
    <w:p w14:paraId="58943A39">
      <w:pPr>
        <w:pStyle w:val="67"/>
        <w:ind w:firstLine="0" w:firstLineChars="0"/>
        <w:jc w:val="center"/>
        <w:rPr>
          <w:rFonts w:hint="default" w:ascii="Times New Roman" w:hAnsi="Times New Roman" w:cs="Times New Roman"/>
          <w:color w:val="auto"/>
          <w:highlight w:val="none"/>
        </w:rPr>
      </w:pPr>
    </w:p>
    <w:p w14:paraId="4659BFE1">
      <w:pPr>
        <w:pStyle w:val="67"/>
        <w:ind w:firstLine="0" w:firstLineChars="0"/>
        <w:jc w:val="center"/>
        <w:rPr>
          <w:rFonts w:hint="default" w:ascii="Times New Roman" w:hAnsi="Times New Roman" w:cs="Times New Roman"/>
          <w:color w:val="auto"/>
          <w:highlight w:val="none"/>
        </w:rPr>
      </w:pPr>
    </w:p>
    <w:p w14:paraId="7FBE68F2">
      <w:pPr>
        <w:spacing w:line="500" w:lineRule="exact"/>
        <w:ind w:firstLine="0" w:firstLineChars="0"/>
        <w:jc w:val="center"/>
        <w:rPr>
          <w:rFonts w:hint="default" w:ascii="Times New Roman" w:hAnsi="Times New Roman" w:cs="Times New Roman"/>
          <w:color w:val="auto"/>
          <w:highlight w:val="none"/>
        </w:rPr>
      </w:pPr>
    </w:p>
    <w:p w14:paraId="43869EBF">
      <w:pPr>
        <w:spacing w:line="500" w:lineRule="exact"/>
        <w:ind w:firstLine="0" w:firstLineChars="0"/>
        <w:jc w:val="center"/>
        <w:rPr>
          <w:rFonts w:hint="default" w:ascii="Times New Roman" w:hAnsi="Times New Roman" w:cs="Times New Roman"/>
          <w:color w:val="auto"/>
          <w:highlight w:val="none"/>
        </w:rPr>
      </w:pPr>
    </w:p>
    <w:p w14:paraId="6C0C883B">
      <w:pPr>
        <w:spacing w:line="500" w:lineRule="exact"/>
        <w:ind w:firstLine="0" w:firstLineChars="0"/>
        <w:jc w:val="center"/>
        <w:rPr>
          <w:rFonts w:hint="default" w:ascii="Times New Roman" w:hAnsi="Times New Roman" w:cs="Times New Roman"/>
          <w:color w:val="auto"/>
          <w:highlight w:val="none"/>
        </w:rPr>
      </w:pPr>
    </w:p>
    <w:p w14:paraId="62D428E0">
      <w:pPr>
        <w:spacing w:line="500" w:lineRule="exact"/>
        <w:ind w:firstLine="0" w:firstLineChars="0"/>
        <w:jc w:val="center"/>
        <w:rPr>
          <w:rFonts w:hint="default" w:ascii="Times New Roman" w:hAnsi="Times New Roman" w:cs="Times New Roman"/>
          <w:color w:val="auto"/>
          <w:highlight w:val="none"/>
        </w:rPr>
      </w:pPr>
    </w:p>
    <w:p w14:paraId="37988FDE">
      <w:pPr>
        <w:spacing w:line="500" w:lineRule="exact"/>
        <w:ind w:firstLine="0" w:firstLineChars="0"/>
        <w:rPr>
          <w:rFonts w:hint="default" w:ascii="Times New Roman" w:hAnsi="Times New Roman" w:cs="Times New Roman"/>
          <w:color w:val="auto"/>
          <w:highlight w:val="none"/>
        </w:rPr>
      </w:pPr>
    </w:p>
    <w:p w14:paraId="4F6FDF7B">
      <w:pPr>
        <w:spacing w:line="500" w:lineRule="exact"/>
        <w:ind w:firstLine="0" w:firstLineChars="0"/>
        <w:jc w:val="center"/>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0EF238A1">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1.4.3.2选址其他判断依据</w:t>
      </w:r>
    </w:p>
    <w:p w14:paraId="63992F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结合我国的相关法律法规及前述分析内容，本项目选址环境可行性补充分析如下：</w:t>
      </w:r>
    </w:p>
    <w:p w14:paraId="7D8B839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（1）本项目选址位于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，项目占地类型为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w:t>
      </w:r>
    </w:p>
    <w:p w14:paraId="21B0E1E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（2）拟建厂址周围环境良好，路网工程、供电工程都有保证，可满足本项目建设需要。</w:t>
      </w:r>
    </w:p>
    <w:p w14:paraId="66E5C22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（3）从地质条件分析，本项目所在地地质条件较好，崩塌、滑坡、泥石流、地面塌陷、地裂缝、地面沉降等地质灾害的发生可能性不大。</w:t>
      </w:r>
    </w:p>
    <w:p w14:paraId="68C5DC4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（4）从卫生条件分析，该场址地势平坦、向阳、通风条件好，远离主干公路、铁路等交通要道，有利于防疫卫生，减少疾病感染机会，减少汽车、拖拉机等废气、噪声及灰尘对</w:t>
      </w:r>
      <w:r>
        <w:rPr>
          <w:rFonts w:hint="default" w:ascii="Times New Roman" w:hAnsi="Times New Roman" w:eastAsia="宋体" w:cs="Times New Roman"/>
          <w:color w:val="auto"/>
          <w:highlight w:val="none"/>
          <w:lang w:val="en-US" w:eastAsia="zh-CN"/>
        </w:rPr>
        <w:t>牛只</w:t>
      </w:r>
      <w:r>
        <w:rPr>
          <w:rFonts w:hint="default" w:ascii="Times New Roman" w:hAnsi="Times New Roman" w:eastAsia="宋体" w:cs="Times New Roman"/>
          <w:color w:val="auto"/>
          <w:highlight w:val="none"/>
        </w:rPr>
        <w:t>的侵扰。</w:t>
      </w:r>
    </w:p>
    <w:p w14:paraId="78CB4498">
      <w:pPr>
        <w:pStyle w:val="483"/>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（5）</w:t>
      </w:r>
      <w:r>
        <w:rPr>
          <w:rFonts w:hint="default" w:ascii="Times New Roman" w:hAnsi="Times New Roman" w:eastAsia="宋体" w:cs="Times New Roman"/>
          <w:snapToGrid w:val="0"/>
          <w:color w:val="auto"/>
          <w:highlight w:val="none"/>
        </w:rPr>
        <w:t>从环境质量现状分析可知，</w:t>
      </w:r>
      <w:r>
        <w:rPr>
          <w:rFonts w:hint="default" w:ascii="Times New Roman" w:hAnsi="Times New Roman" w:eastAsia="宋体" w:cs="Times New Roman"/>
          <w:snapToGrid w:val="0"/>
          <w:color w:val="auto"/>
          <w:kern w:val="0"/>
          <w:sz w:val="24"/>
          <w:szCs w:val="28"/>
          <w:highlight w:val="none"/>
          <w:lang w:val="en-US" w:eastAsia="zh-Hans"/>
        </w:rPr>
        <w:t>SO</w:t>
      </w:r>
      <w:r>
        <w:rPr>
          <w:rFonts w:hint="default" w:ascii="Times New Roman" w:hAnsi="Times New Roman" w:eastAsia="宋体" w:cs="Times New Roman"/>
          <w:snapToGrid w:val="0"/>
          <w:color w:val="auto"/>
          <w:kern w:val="0"/>
          <w:sz w:val="24"/>
          <w:szCs w:val="28"/>
          <w:highlight w:val="none"/>
          <w:vertAlign w:val="subscript"/>
          <w:lang w:val="en-US" w:eastAsia="zh-Hans"/>
        </w:rPr>
        <w:t>2</w:t>
      </w:r>
      <w:r>
        <w:rPr>
          <w:rFonts w:hint="default" w:ascii="Times New Roman" w:hAnsi="Times New Roman" w:eastAsia="宋体" w:cs="Times New Roman"/>
          <w:snapToGrid w:val="0"/>
          <w:color w:val="auto"/>
          <w:kern w:val="0"/>
          <w:sz w:val="24"/>
          <w:szCs w:val="28"/>
          <w:highlight w:val="none"/>
          <w:lang w:val="en-US" w:eastAsia="zh-Hans"/>
        </w:rPr>
        <w:t>、NO</w:t>
      </w:r>
      <w:r>
        <w:rPr>
          <w:rFonts w:hint="default" w:ascii="Times New Roman" w:hAnsi="Times New Roman" w:eastAsia="宋体" w:cs="Times New Roman"/>
          <w:snapToGrid w:val="0"/>
          <w:color w:val="auto"/>
          <w:kern w:val="0"/>
          <w:sz w:val="24"/>
          <w:szCs w:val="28"/>
          <w:highlight w:val="none"/>
          <w:vertAlign w:val="subscript"/>
          <w:lang w:val="en-US" w:eastAsia="zh-Hans"/>
        </w:rPr>
        <w:t>2</w:t>
      </w:r>
      <w:r>
        <w:rPr>
          <w:rFonts w:hint="default" w:ascii="Times New Roman" w:hAnsi="Times New Roman" w:eastAsia="宋体" w:cs="Times New Roman"/>
          <w:snapToGrid w:val="0"/>
          <w:color w:val="auto"/>
          <w:kern w:val="0"/>
          <w:sz w:val="24"/>
          <w:szCs w:val="28"/>
          <w:highlight w:val="none"/>
          <w:lang w:val="en-US" w:eastAsia="zh-Hans"/>
        </w:rPr>
        <w:t>、PM</w:t>
      </w:r>
      <w:r>
        <w:rPr>
          <w:rFonts w:hint="default" w:ascii="Times New Roman" w:hAnsi="Times New Roman" w:eastAsia="宋体" w:cs="Times New Roman"/>
          <w:snapToGrid w:val="0"/>
          <w:color w:val="auto"/>
          <w:kern w:val="0"/>
          <w:sz w:val="24"/>
          <w:szCs w:val="28"/>
          <w:highlight w:val="none"/>
          <w:vertAlign w:val="subscript"/>
          <w:lang w:val="en-US" w:eastAsia="zh-Hans"/>
        </w:rPr>
        <w:t>10</w:t>
      </w:r>
      <w:r>
        <w:rPr>
          <w:rFonts w:hint="default" w:ascii="Times New Roman" w:hAnsi="Times New Roman" w:eastAsia="宋体" w:cs="Times New Roman"/>
          <w:snapToGrid w:val="0"/>
          <w:color w:val="auto"/>
          <w:kern w:val="0"/>
          <w:sz w:val="24"/>
          <w:szCs w:val="28"/>
          <w:highlight w:val="none"/>
          <w:lang w:val="en-US" w:eastAsia="zh-Hans"/>
        </w:rPr>
        <w:t>、PM</w:t>
      </w:r>
      <w:r>
        <w:rPr>
          <w:rFonts w:hint="default" w:ascii="Times New Roman" w:hAnsi="Times New Roman" w:eastAsia="宋体" w:cs="Times New Roman"/>
          <w:snapToGrid w:val="0"/>
          <w:color w:val="auto"/>
          <w:kern w:val="0"/>
          <w:sz w:val="24"/>
          <w:szCs w:val="28"/>
          <w:highlight w:val="none"/>
          <w:vertAlign w:val="subscript"/>
          <w:lang w:val="en-US" w:eastAsia="zh-Hans"/>
        </w:rPr>
        <w:t>2.5</w:t>
      </w:r>
      <w:r>
        <w:rPr>
          <w:rFonts w:hint="eastAsia" w:cs="Times New Roman"/>
          <w:snapToGrid w:val="0"/>
          <w:color w:val="auto"/>
          <w:kern w:val="0"/>
          <w:sz w:val="24"/>
          <w:szCs w:val="28"/>
          <w:highlight w:val="none"/>
          <w:vertAlign w:val="baseline"/>
          <w:lang w:val="en-US" w:eastAsia="zh-CN"/>
        </w:rPr>
        <w:t>、</w:t>
      </w:r>
      <w:r>
        <w:rPr>
          <w:rFonts w:hint="default" w:ascii="Times New Roman" w:hAnsi="Times New Roman" w:eastAsia="宋体" w:cs="Times New Roman"/>
          <w:snapToGrid w:val="0"/>
          <w:color w:val="auto"/>
          <w:kern w:val="0"/>
          <w:sz w:val="24"/>
          <w:szCs w:val="28"/>
          <w:highlight w:val="none"/>
          <w:lang w:val="en-US" w:eastAsia="zh-Hans"/>
        </w:rPr>
        <w:t>CO</w:t>
      </w:r>
      <w:r>
        <w:rPr>
          <w:rFonts w:hint="eastAsia" w:cs="Times New Roman"/>
          <w:snapToGrid w:val="0"/>
          <w:color w:val="auto"/>
          <w:kern w:val="0"/>
          <w:sz w:val="24"/>
          <w:szCs w:val="28"/>
          <w:highlight w:val="none"/>
          <w:lang w:val="en-US" w:eastAsia="zh-CN"/>
        </w:rPr>
        <w:t>、</w:t>
      </w:r>
      <w:r>
        <w:rPr>
          <w:rFonts w:hint="default" w:ascii="Times New Roman" w:hAnsi="Times New Roman" w:eastAsia="宋体" w:cs="Times New Roman"/>
          <w:snapToGrid w:val="0"/>
          <w:color w:val="auto"/>
          <w:kern w:val="0"/>
          <w:sz w:val="24"/>
          <w:szCs w:val="28"/>
          <w:highlight w:val="none"/>
          <w:lang w:val="en-US" w:eastAsia="zh-Hans"/>
        </w:rPr>
        <w:t>O</w:t>
      </w:r>
      <w:r>
        <w:rPr>
          <w:rFonts w:hint="default" w:ascii="Times New Roman" w:hAnsi="Times New Roman" w:eastAsia="宋体" w:cs="Times New Roman"/>
          <w:snapToGrid w:val="0"/>
          <w:color w:val="auto"/>
          <w:kern w:val="0"/>
          <w:sz w:val="24"/>
          <w:szCs w:val="28"/>
          <w:highlight w:val="none"/>
          <w:vertAlign w:val="subscript"/>
          <w:lang w:val="en-US" w:eastAsia="zh-Hans"/>
        </w:rPr>
        <w:t>3</w:t>
      </w:r>
      <w:r>
        <w:rPr>
          <w:rFonts w:hint="eastAsia" w:cs="Times New Roman"/>
          <w:color w:val="auto"/>
          <w:highlight w:val="none"/>
          <w:lang w:val="en-US" w:eastAsia="zh-CN"/>
        </w:rPr>
        <w:t>各污染物</w:t>
      </w:r>
      <w:r>
        <w:rPr>
          <w:rFonts w:hint="default" w:ascii="Times New Roman" w:hAnsi="Times New Roman" w:eastAsia="宋体" w:cs="Times New Roman"/>
          <w:snapToGrid w:val="0"/>
          <w:color w:val="auto"/>
          <w:highlight w:val="none"/>
        </w:rPr>
        <w:t>均能达到《环境空气质量标准》（GB3095-20</w:t>
      </w:r>
      <w:r>
        <w:rPr>
          <w:rFonts w:hint="eastAsia"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w:t>
      </w:r>
      <w:r>
        <w:rPr>
          <w:rFonts w:hint="eastAsia" w:cs="Times New Roman"/>
          <w:snapToGrid w:val="0"/>
          <w:color w:val="auto"/>
          <w:highlight w:val="none"/>
          <w:lang w:val="en-US" w:eastAsia="zh-CN"/>
        </w:rPr>
        <w:t>过渡阶段浓度限值</w:t>
      </w:r>
      <w:r>
        <w:rPr>
          <w:rFonts w:hint="default" w:ascii="Times New Roman" w:hAnsi="Times New Roman" w:eastAsia="宋体" w:cs="Times New Roman"/>
          <w:snapToGrid w:val="0"/>
          <w:color w:val="auto"/>
          <w:highlight w:val="none"/>
        </w:rPr>
        <w:t>二级</w:t>
      </w:r>
      <w:r>
        <w:rPr>
          <w:rFonts w:hint="eastAsia" w:cs="Times New Roman"/>
          <w:snapToGrid w:val="0"/>
          <w:color w:val="auto"/>
          <w:highlight w:val="none"/>
          <w:lang w:val="en-US" w:eastAsia="zh-CN"/>
        </w:rPr>
        <w:t>标准</w:t>
      </w:r>
      <w:r>
        <w:rPr>
          <w:rFonts w:hint="default" w:ascii="Times New Roman" w:hAnsi="Times New Roman" w:eastAsia="宋体" w:cs="Times New Roman"/>
          <w:snapToGrid w:val="0"/>
          <w:color w:val="auto"/>
          <w:highlight w:val="none"/>
        </w:rPr>
        <w:t>要求</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TSP能达到</w:t>
      </w:r>
      <w:r>
        <w:rPr>
          <w:rFonts w:hint="default" w:ascii="Times New Roman" w:hAnsi="Times New Roman" w:eastAsia="宋体" w:cs="Times New Roman"/>
          <w:snapToGrid w:val="0"/>
          <w:color w:val="auto"/>
          <w:highlight w:val="none"/>
        </w:rPr>
        <w:t>《环境空气质量标准》（GB3095-20</w:t>
      </w:r>
      <w:r>
        <w:rPr>
          <w:rFonts w:hint="eastAsia"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w:t>
      </w:r>
      <w:r>
        <w:rPr>
          <w:rFonts w:hint="eastAsia" w:cs="Times New Roman"/>
          <w:snapToGrid w:val="0"/>
          <w:color w:val="auto"/>
          <w:highlight w:val="none"/>
          <w:lang w:val="en-US" w:eastAsia="zh-CN"/>
        </w:rPr>
        <w:t>二级标准浓度限值；</w:t>
      </w:r>
      <w:r>
        <w:rPr>
          <w:rFonts w:hint="default" w:ascii="Times New Roman" w:hAnsi="Times New Roman" w:eastAsia="宋体" w:cs="Times New Roman"/>
          <w:snapToGrid w:val="0"/>
          <w:color w:val="auto"/>
          <w:highlight w:val="none"/>
        </w:rPr>
        <w:t>氨气满足《环境影响评价技术导则 大气环境》（HJ2.2-2018）附录D其他污染物空气质量浓度参考限值要求，</w:t>
      </w:r>
      <w:r>
        <w:rPr>
          <w:rFonts w:hint="eastAsia" w:cs="Times New Roman"/>
          <w:snapToGrid w:val="0"/>
          <w:color w:val="auto"/>
          <w:highlight w:val="none"/>
          <w:lang w:val="en-US" w:eastAsia="zh-CN"/>
        </w:rPr>
        <w:t>硫化氢、</w:t>
      </w:r>
      <w:r>
        <w:rPr>
          <w:rFonts w:hint="default" w:ascii="Times New Roman" w:hAnsi="Times New Roman" w:eastAsia="宋体" w:cs="Times New Roman"/>
          <w:snapToGrid w:val="0"/>
          <w:color w:val="auto"/>
          <w:highlight w:val="none"/>
        </w:rPr>
        <w:t>臭气浓度未检出</w:t>
      </w:r>
      <w:r>
        <w:rPr>
          <w:rFonts w:hint="eastAsia" w:cs="Times New Roman"/>
          <w:snapToGrid w:val="0"/>
          <w:color w:val="auto"/>
          <w:highlight w:val="none"/>
          <w:lang w:eastAsia="zh-CN"/>
        </w:rPr>
        <w:t>。</w:t>
      </w:r>
      <w:r>
        <w:rPr>
          <w:rFonts w:hint="default" w:ascii="Times New Roman" w:hAnsi="Times New Roman" w:eastAsia="宋体" w:cs="Times New Roman"/>
          <w:color w:val="auto"/>
          <w:highlight w:val="none"/>
        </w:rPr>
        <w:t>项目所在区域涉及地表水体为</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根据黑河市生态环境局发布的国考地表水月报，对水温、pH值、导电率、溶解氧、高锰酸盐指数、氨氮、总磷等指标进行检测，202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月至202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年12月逊别拉河</w:t>
      </w:r>
      <w:r>
        <w:rPr>
          <w:rFonts w:hint="eastAsia" w:cs="Times New Roman"/>
          <w:color w:val="auto"/>
          <w:highlight w:val="none"/>
          <w:lang w:val="en-US" w:eastAsia="zh-CN"/>
        </w:rPr>
        <w:t>逊河镇</w:t>
      </w:r>
      <w:r>
        <w:rPr>
          <w:rFonts w:hint="default" w:ascii="Times New Roman" w:hAnsi="Times New Roman" w:cs="Times New Roman"/>
          <w:color w:val="auto"/>
          <w:highlight w:val="none"/>
          <w:lang w:val="en-US" w:eastAsia="zh-CN"/>
        </w:rPr>
        <w:t>断面水质状况良好，仅</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月和8月水质现状不能满足III类标准，主要是由于河流两岸农田使用农药，造成水质超标，其他月份均能够达到水功能区划标准（Ⅲ类）</w:t>
      </w:r>
      <w:r>
        <w:rPr>
          <w:rFonts w:hint="default" w:ascii="Times New Roman" w:hAnsi="Times New Roman" w:eastAsia="宋体" w:cs="Times New Roman"/>
          <w:snapToGrid w:val="0"/>
          <w:color w:val="auto"/>
          <w:highlight w:val="none"/>
        </w:rPr>
        <w:t>；根据监测结果分析可知，项目地下水各项水质指标</w:t>
      </w:r>
      <w:r>
        <w:rPr>
          <w:rFonts w:hint="default" w:ascii="Times New Roman" w:hAnsi="Times New Roman" w:eastAsia="宋体" w:cs="Times New Roman"/>
          <w:snapToGrid w:val="0"/>
          <w:color w:val="auto"/>
          <w:highlight w:val="none"/>
          <w:lang w:val="en-US" w:eastAsia="zh-CN"/>
        </w:rPr>
        <w:t>均</w:t>
      </w:r>
      <w:r>
        <w:rPr>
          <w:rFonts w:hint="default" w:ascii="Times New Roman" w:hAnsi="Times New Roman" w:eastAsia="宋体" w:cs="Times New Roman"/>
          <w:snapToGrid w:val="0"/>
          <w:color w:val="auto"/>
          <w:highlight w:val="none"/>
        </w:rPr>
        <w:t>满足《地下水质量标准》（GB/T14848-2017）中的Ⅲ类标准要求。综上，项目周边环境均符合《畜禽养殖产地环境评价规范》（HJ568-2010）中的标准要求，适合建设养殖场。</w:t>
      </w:r>
    </w:p>
    <w:p w14:paraId="105683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综上所述，从环境保护角度分析，本项目选址合理。</w:t>
      </w:r>
    </w:p>
    <w:p w14:paraId="62146EB1">
      <w:pPr>
        <w:pStyle w:val="4"/>
        <w:rPr>
          <w:rFonts w:hint="default" w:ascii="Times New Roman" w:hAnsi="Times New Roman" w:cs="Times New Roman"/>
          <w:color w:val="auto"/>
          <w:highlight w:val="none"/>
        </w:rPr>
      </w:pPr>
      <w:bookmarkStart w:id="45" w:name="_Toc30495"/>
      <w:r>
        <w:rPr>
          <w:rFonts w:hint="default" w:ascii="Times New Roman" w:hAnsi="Times New Roman" w:cs="Times New Roman"/>
          <w:color w:val="auto"/>
          <w:highlight w:val="none"/>
        </w:rPr>
        <w:t>1.5主要关注环境问题及影响</w:t>
      </w:r>
      <w:bookmarkEnd w:id="45"/>
    </w:p>
    <w:p w14:paraId="50C989D5">
      <w:pPr>
        <w:pStyle w:val="5"/>
        <w:spacing w:line="500" w:lineRule="exact"/>
        <w:rPr>
          <w:rFonts w:hint="default" w:ascii="Times New Roman" w:hAnsi="Times New Roman" w:cs="Times New Roman"/>
          <w:color w:val="auto"/>
          <w:highlight w:val="none"/>
        </w:rPr>
      </w:pPr>
      <w:bookmarkStart w:id="46" w:name="_Toc9461"/>
      <w:r>
        <w:rPr>
          <w:rFonts w:hint="default" w:ascii="Times New Roman" w:hAnsi="Times New Roman" w:cs="Times New Roman"/>
          <w:color w:val="auto"/>
          <w:highlight w:val="none"/>
        </w:rPr>
        <w:t>1.5.1废气对环境的影响</w:t>
      </w:r>
      <w:bookmarkEnd w:id="46"/>
    </w:p>
    <w:p w14:paraId="054FD8A4">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本项目废气主要为牛舍、堆肥间</w:t>
      </w:r>
      <w:r>
        <w:rPr>
          <w:rFonts w:hint="eastAsia" w:eastAsia="宋体" w:cs="Times New Roman"/>
          <w:color w:val="auto"/>
          <w:highlight w:val="none"/>
          <w:lang w:eastAsia="zh-CN"/>
        </w:rPr>
        <w:t>、</w:t>
      </w:r>
      <w:r>
        <w:rPr>
          <w:rFonts w:hint="eastAsia" w:eastAsia="宋体" w:cs="Times New Roman"/>
          <w:color w:val="auto"/>
          <w:highlight w:val="none"/>
          <w:lang w:val="en-US" w:eastAsia="zh-CN"/>
        </w:rPr>
        <w:t>青贮窖、储粪间</w:t>
      </w:r>
      <w:r>
        <w:rPr>
          <w:rFonts w:hint="default" w:ascii="Times New Roman" w:hAnsi="Times New Roman" w:eastAsia="宋体" w:cs="Times New Roman"/>
          <w:color w:val="auto"/>
          <w:highlight w:val="none"/>
        </w:rPr>
        <w:t>产生的恶臭气体（主要污染物为NH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S、臭气浓度）</w:t>
      </w:r>
      <w:r>
        <w:rPr>
          <w:rFonts w:hint="default" w:ascii="Times New Roman" w:hAnsi="Times New Roman" w:eastAsia="宋体" w:cs="Times New Roman"/>
          <w:color w:val="auto"/>
          <w:highlight w:val="none"/>
          <w:lang w:val="en-US" w:eastAsia="zh-CN"/>
        </w:rPr>
        <w:t>。重点分析废气中污染因子、污染源强、治理措施的其可行性及对周边大气环境的影响</w:t>
      </w:r>
      <w:r>
        <w:rPr>
          <w:rFonts w:hint="default" w:ascii="Times New Roman" w:hAnsi="Times New Roman" w:eastAsia="宋体" w:cs="Times New Roman"/>
          <w:color w:val="auto"/>
          <w:highlight w:val="none"/>
        </w:rPr>
        <w:t>。</w:t>
      </w:r>
    </w:p>
    <w:p w14:paraId="5C64434A">
      <w:pPr>
        <w:pStyle w:val="5"/>
        <w:spacing w:line="500" w:lineRule="exact"/>
        <w:rPr>
          <w:rFonts w:hint="default" w:ascii="Times New Roman" w:hAnsi="Times New Roman" w:cs="Times New Roman"/>
          <w:color w:val="auto"/>
          <w:highlight w:val="none"/>
        </w:rPr>
      </w:pPr>
      <w:bookmarkStart w:id="47" w:name="_Toc26752"/>
      <w:r>
        <w:rPr>
          <w:rFonts w:hint="default" w:ascii="Times New Roman" w:hAnsi="Times New Roman" w:cs="Times New Roman"/>
          <w:color w:val="auto"/>
          <w:highlight w:val="none"/>
        </w:rPr>
        <w:t>1.5.2废水对环境的影响</w:t>
      </w:r>
      <w:bookmarkEnd w:id="47"/>
    </w:p>
    <w:p w14:paraId="7E2CB312">
      <w:pPr>
        <w:pStyle w:val="67"/>
        <w:ind w:firstLine="480"/>
        <w:rPr>
          <w:rFonts w:hint="default" w:ascii="Times New Roman" w:hAnsi="Times New Roman" w:cs="Times New Roman"/>
          <w:snapToGrid/>
          <w:color w:val="auto"/>
          <w:highlight w:val="none"/>
          <w:lang w:val="en-US"/>
        </w:rPr>
      </w:pPr>
      <w:r>
        <w:rPr>
          <w:rFonts w:hint="default" w:ascii="Times New Roman" w:hAnsi="Times New Roman" w:eastAsia="宋体" w:cs="Times New Roman"/>
          <w:color w:val="auto"/>
          <w:highlight w:val="none"/>
          <w:lang w:val="zh-CN"/>
        </w:rPr>
        <w:t>本项目采取雨污分流制，雨水采用明沟排放，初期雨水经厂区四周排水沟汇入一座2300m³初期雨水收集池，经沉淀处理后回用于厂区洒水降尘，不外排；生活污水排入化粪池，定期外运，不外排。项目牛尿采用生物垫料吸收法，无养殖废水产生，无地面冲洗废水。将青贮窖渗滤液与精料按比例配合饲喂肉牛。堆肥间渗滤液定期喷洒至粪肥表面翻耕搅拌。消毒用水全部损耗。采取以上措施，本项目无养殖废水产生。</w:t>
      </w:r>
    </w:p>
    <w:p w14:paraId="338938C1">
      <w:pPr>
        <w:pStyle w:val="5"/>
        <w:spacing w:line="500" w:lineRule="exact"/>
        <w:rPr>
          <w:rFonts w:hint="default" w:ascii="Times New Roman" w:hAnsi="Times New Roman" w:cs="Times New Roman"/>
          <w:color w:val="auto"/>
          <w:highlight w:val="none"/>
        </w:rPr>
      </w:pPr>
      <w:bookmarkStart w:id="48" w:name="_Toc933"/>
      <w:r>
        <w:rPr>
          <w:rFonts w:hint="default" w:ascii="Times New Roman" w:hAnsi="Times New Roman" w:cs="Times New Roman"/>
          <w:color w:val="auto"/>
          <w:highlight w:val="none"/>
        </w:rPr>
        <w:t>1.5.3地下水环境影响</w:t>
      </w:r>
      <w:bookmarkEnd w:id="48"/>
    </w:p>
    <w:p w14:paraId="5C280FEB">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本项目对地下水环境产生影响的包括</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rPr>
        <w:t>化粪池、堆肥间、</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，重点分析项目建设对区域地下水环境影响，关注场区内的防渗措施，防止对区域地下水环境造成不利影响。</w:t>
      </w:r>
    </w:p>
    <w:p w14:paraId="36F39960">
      <w:pPr>
        <w:pStyle w:val="5"/>
        <w:spacing w:line="500" w:lineRule="exact"/>
        <w:rPr>
          <w:rFonts w:hint="default" w:ascii="Times New Roman" w:hAnsi="Times New Roman" w:cs="Times New Roman"/>
          <w:color w:val="auto"/>
          <w:highlight w:val="none"/>
        </w:rPr>
      </w:pPr>
      <w:bookmarkStart w:id="49" w:name="_Toc23066"/>
      <w:r>
        <w:rPr>
          <w:rFonts w:hint="default" w:ascii="Times New Roman" w:hAnsi="Times New Roman" w:cs="Times New Roman"/>
          <w:color w:val="auto"/>
          <w:highlight w:val="none"/>
        </w:rPr>
        <w:t>1.5.4噪声对环境的影响</w:t>
      </w:r>
      <w:bookmarkEnd w:id="49"/>
    </w:p>
    <w:p w14:paraId="65B411C8">
      <w:pPr>
        <w:pStyle w:val="67"/>
        <w:ind w:firstLine="480"/>
        <w:rPr>
          <w:rFonts w:hint="default" w:ascii="Times New Roman" w:hAnsi="Times New Roman" w:eastAsia="宋体" w:cs="Times New Roman"/>
          <w:color w:val="auto"/>
          <w:sz w:val="23"/>
          <w:szCs w:val="23"/>
          <w:highlight w:val="none"/>
        </w:rPr>
      </w:pPr>
      <w:r>
        <w:rPr>
          <w:rFonts w:hint="default" w:ascii="Times New Roman" w:hAnsi="Times New Roman" w:eastAsia="宋体" w:cs="Times New Roman"/>
          <w:color w:val="auto"/>
          <w:highlight w:val="none"/>
        </w:rPr>
        <w:t>本</w:t>
      </w:r>
      <w:r>
        <w:rPr>
          <w:rFonts w:hint="default" w:ascii="Times New Roman" w:hAnsi="Times New Roman" w:eastAsia="宋体" w:cs="Times New Roman"/>
          <w:color w:val="auto"/>
          <w:highlight w:val="none"/>
          <w:lang w:eastAsia="zh-CN"/>
        </w:rPr>
        <w:t>项目噪声源为牛叫声、水泵、风机等运行产生的设备噪声等，主要关注项目场界噪声是否可以达到相应的标准要求，重点分析噪声控制措施的可行性及场界的达标可行性。</w:t>
      </w:r>
    </w:p>
    <w:p w14:paraId="14521148">
      <w:pPr>
        <w:pStyle w:val="5"/>
        <w:spacing w:line="500" w:lineRule="exact"/>
        <w:rPr>
          <w:rFonts w:hint="default" w:ascii="Times New Roman" w:hAnsi="Times New Roman" w:cs="Times New Roman"/>
          <w:color w:val="auto"/>
          <w:highlight w:val="none"/>
        </w:rPr>
      </w:pPr>
      <w:bookmarkStart w:id="50" w:name="_Toc4996"/>
      <w:r>
        <w:rPr>
          <w:rFonts w:hint="default" w:ascii="Times New Roman" w:hAnsi="Times New Roman" w:cs="Times New Roman"/>
          <w:color w:val="auto"/>
          <w:highlight w:val="none"/>
        </w:rPr>
        <w:t>1.5.5固体废物对环境的影响</w:t>
      </w:r>
      <w:bookmarkEnd w:id="50"/>
    </w:p>
    <w:p w14:paraId="2AA8091B">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本工程产生固废主要为</w:t>
      </w:r>
      <w:r>
        <w:rPr>
          <w:rFonts w:hint="eastAsia" w:eastAsia="宋体" w:cs="Times New Roman"/>
          <w:color w:val="auto"/>
          <w:highlight w:val="none"/>
          <w:lang w:val="en-US" w:eastAsia="zh-CN"/>
        </w:rPr>
        <w:t>含粪污废垫料</w:t>
      </w:r>
      <w:r>
        <w:rPr>
          <w:rFonts w:hint="default" w:ascii="Times New Roman" w:hAnsi="Times New Roman" w:eastAsia="宋体" w:cs="Times New Roman"/>
          <w:color w:val="auto"/>
          <w:highlight w:val="none"/>
        </w:rPr>
        <w:t>、病死牛尸体、</w:t>
      </w:r>
      <w:r>
        <w:rPr>
          <w:rFonts w:hint="eastAsia" w:eastAsia="宋体" w:cs="Times New Roman"/>
          <w:color w:val="auto"/>
          <w:highlight w:val="none"/>
          <w:lang w:val="en-US" w:eastAsia="zh-CN"/>
        </w:rPr>
        <w:t>废活性炭、</w:t>
      </w:r>
      <w:r>
        <w:rPr>
          <w:rFonts w:hint="default" w:ascii="Times New Roman" w:hAnsi="Times New Roman" w:eastAsia="宋体" w:cs="Times New Roman"/>
          <w:color w:val="auto"/>
          <w:highlight w:val="none"/>
        </w:rPr>
        <w:t>医疗废物和生活垃圾等。重点分析固废的产生情况、暂存设施设置的规模要求及处置措施是否符合环保要求。</w:t>
      </w:r>
    </w:p>
    <w:p w14:paraId="73F85968">
      <w:pPr>
        <w:pStyle w:val="5"/>
        <w:spacing w:line="500" w:lineRule="exact"/>
        <w:rPr>
          <w:rFonts w:hint="default" w:ascii="Times New Roman" w:hAnsi="Times New Roman" w:cs="Times New Roman"/>
          <w:color w:val="auto"/>
          <w:highlight w:val="none"/>
        </w:rPr>
      </w:pPr>
      <w:bookmarkStart w:id="51" w:name="_Toc21402"/>
      <w:r>
        <w:rPr>
          <w:rFonts w:hint="default" w:ascii="Times New Roman" w:hAnsi="Times New Roman" w:cs="Times New Roman"/>
          <w:color w:val="auto"/>
          <w:highlight w:val="none"/>
        </w:rPr>
        <w:t>1.5.6环境风险</w:t>
      </w:r>
      <w:bookmarkEnd w:id="51"/>
    </w:p>
    <w:p w14:paraId="0129F320">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根据《建设项目环境风险评价技术导则》（HJ169-2018）附录B进行分析判定，本项目危险物质主要为</w:t>
      </w:r>
      <w:r>
        <w:rPr>
          <w:rFonts w:hint="default" w:ascii="Times New Roman" w:hAnsi="Times New Roman" w:eastAsia="宋体" w:cs="Times New Roman"/>
          <w:color w:val="auto"/>
          <w:highlight w:val="none"/>
          <w:lang w:val="en-US" w:eastAsia="zh-CN"/>
        </w:rPr>
        <w:t>消毒剂</w:t>
      </w:r>
      <w:r>
        <w:rPr>
          <w:rFonts w:hint="eastAsia" w:ascii="Times New Roman" w:hAnsi="Times New Roman" w:eastAsia="宋体" w:cs="Times New Roman"/>
          <w:color w:val="auto"/>
          <w:highlight w:val="none"/>
          <w:lang w:val="en-US" w:eastAsia="zh-CN"/>
        </w:rPr>
        <w:t>（次氯酸钠）</w:t>
      </w:r>
      <w:r>
        <w:rPr>
          <w:rFonts w:hint="eastAsia" w:eastAsia="宋体" w:cs="Times New Roman"/>
          <w:color w:val="auto"/>
          <w:highlight w:val="none"/>
          <w:lang w:val="en-US" w:eastAsia="zh-CN"/>
        </w:rPr>
        <w:t>、</w:t>
      </w:r>
      <w:r>
        <w:rPr>
          <w:rFonts w:hint="eastAsia" w:eastAsia="宋体" w:cs="Times New Roman"/>
          <w:snapToGrid w:val="0"/>
          <w:color w:val="auto"/>
          <w:highlight w:val="none"/>
          <w:lang w:val="en-US" w:eastAsia="zh-CN"/>
        </w:rPr>
        <w:t>CODcr浓度≥10000mg/L的有机废液及NH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r>
        <w:rPr>
          <w:rFonts w:hint="default" w:ascii="Times New Roman" w:hAnsi="Times New Roman" w:eastAsia="宋体" w:cs="Times New Roman"/>
          <w:color w:val="auto"/>
          <w:highlight w:val="none"/>
        </w:rPr>
        <w:t>，经计算</w:t>
      </w:r>
      <w:r>
        <w:rPr>
          <w:rFonts w:hint="default" w:ascii="Times New Roman" w:hAnsi="Times New Roman" w:eastAsia="宋体" w:cs="Times New Roman"/>
          <w:i/>
          <w:color w:val="auto"/>
          <w:highlight w:val="none"/>
        </w:rPr>
        <w:t>Q</w:t>
      </w:r>
      <w:r>
        <w:rPr>
          <w:rFonts w:hint="eastAsia" w:eastAsia="宋体" w:cs="Times New Roman"/>
          <w:color w:val="auto"/>
          <w:highlight w:val="none"/>
          <w:lang w:val="en-US" w:eastAsia="zh-CN"/>
        </w:rPr>
        <w:t>值为5.44</w:t>
      </w:r>
      <w:r>
        <w:rPr>
          <w:rFonts w:hint="default" w:ascii="Times New Roman" w:hAnsi="Times New Roman" w:eastAsia="宋体" w:cs="Times New Roman"/>
          <w:color w:val="auto"/>
          <w:highlight w:val="none"/>
        </w:rPr>
        <w:t>，</w:t>
      </w:r>
      <w:r>
        <w:rPr>
          <w:rFonts w:hint="eastAsia" w:eastAsia="宋体" w:cs="Times New Roman"/>
          <w:snapToGrid w:val="0"/>
          <w:color w:val="auto"/>
          <w:highlight w:val="none"/>
          <w:lang w:val="en-US" w:eastAsia="zh-CN"/>
        </w:rPr>
        <w:t>经</w:t>
      </w:r>
      <w:r>
        <w:rPr>
          <w:rFonts w:hint="default" w:eastAsia="宋体" w:cs="Times New Roman"/>
          <w:snapToGrid w:val="0"/>
          <w:color w:val="auto"/>
          <w:highlight w:val="none"/>
          <w:lang w:val="en-US" w:eastAsia="zh-CN"/>
        </w:rPr>
        <w:t>环境风险评价工作等级划分</w:t>
      </w:r>
      <w:r>
        <w:rPr>
          <w:rFonts w:hint="eastAsia" w:eastAsia="宋体" w:cs="Times New Roman"/>
          <w:snapToGrid w:val="0"/>
          <w:color w:val="auto"/>
          <w:highlight w:val="none"/>
          <w:lang w:val="en-US" w:eastAsia="zh-CN"/>
        </w:rPr>
        <w:t>，本</w:t>
      </w:r>
      <w:r>
        <w:rPr>
          <w:rFonts w:hint="default" w:eastAsia="宋体" w:cs="Times New Roman"/>
          <w:snapToGrid w:val="0"/>
          <w:color w:val="auto"/>
          <w:highlight w:val="none"/>
          <w:lang w:val="en-US" w:eastAsia="zh-CN"/>
        </w:rPr>
        <w:t>项目风险潜势为</w:t>
      </w:r>
      <w:r>
        <w:rPr>
          <w:rFonts w:hint="default" w:eastAsia="宋体" w:cs="Times New Roman"/>
          <w:snapToGrid w:val="0"/>
          <w:color w:val="auto"/>
          <w:highlight w:val="none"/>
          <w:lang w:val="en-US" w:eastAsia="zh-CN"/>
        </w:rPr>
        <w:fldChar w:fldCharType="begin"/>
      </w:r>
      <w:r>
        <w:rPr>
          <w:rFonts w:hint="default" w:eastAsia="宋体" w:cs="Times New Roman"/>
          <w:snapToGrid w:val="0"/>
          <w:color w:val="auto"/>
          <w:highlight w:val="none"/>
          <w:lang w:val="en-US" w:eastAsia="zh-CN"/>
        </w:rPr>
        <w:instrText xml:space="preserve"> = 1 \* ROMAN </w:instrText>
      </w:r>
      <w:r>
        <w:rPr>
          <w:rFonts w:hint="default" w:eastAsia="宋体" w:cs="Times New Roman"/>
          <w:snapToGrid w:val="0"/>
          <w:color w:val="auto"/>
          <w:highlight w:val="none"/>
          <w:lang w:val="en-US" w:eastAsia="zh-CN"/>
        </w:rPr>
        <w:fldChar w:fldCharType="separate"/>
      </w:r>
      <w:r>
        <w:rPr>
          <w:rFonts w:hint="default" w:eastAsia="宋体" w:cs="Times New Roman"/>
          <w:snapToGrid w:val="0"/>
          <w:color w:val="auto"/>
          <w:highlight w:val="none"/>
          <w:lang w:val="en-US" w:eastAsia="zh-CN"/>
        </w:rPr>
        <w:t>I</w:t>
      </w:r>
      <w:r>
        <w:rPr>
          <w:rFonts w:hint="default" w:eastAsia="宋体" w:cs="Times New Roman"/>
          <w:snapToGrid w:val="0"/>
          <w:color w:val="auto"/>
          <w:highlight w:val="none"/>
          <w:lang w:val="en-US" w:eastAsia="zh-CN"/>
        </w:rPr>
        <w:fldChar w:fldCharType="end"/>
      </w:r>
      <w:r>
        <w:rPr>
          <w:rFonts w:hint="default" w:eastAsia="宋体" w:cs="Times New Roman"/>
          <w:snapToGrid w:val="0"/>
          <w:color w:val="auto"/>
          <w:highlight w:val="none"/>
          <w:lang w:val="en-US" w:eastAsia="zh-CN"/>
        </w:rPr>
        <w:t>，</w:t>
      </w:r>
      <w:r>
        <w:rPr>
          <w:rFonts w:hint="eastAsia" w:eastAsia="宋体" w:cs="Times New Roman"/>
          <w:snapToGrid w:val="0"/>
          <w:color w:val="auto"/>
          <w:highlight w:val="none"/>
          <w:lang w:val="en-US" w:eastAsia="zh-CN"/>
        </w:rPr>
        <w:t>则应</w:t>
      </w:r>
      <w:r>
        <w:rPr>
          <w:rFonts w:hint="default" w:eastAsia="宋体" w:cs="Times New Roman"/>
          <w:snapToGrid w:val="0"/>
          <w:color w:val="auto"/>
          <w:highlight w:val="none"/>
          <w:lang w:val="en-US" w:eastAsia="zh-CN"/>
        </w:rPr>
        <w:t>开展简单分析。</w:t>
      </w:r>
    </w:p>
    <w:p w14:paraId="1CDF4F1F">
      <w:pPr>
        <w:pStyle w:val="5"/>
        <w:spacing w:line="500" w:lineRule="exact"/>
        <w:rPr>
          <w:rFonts w:hint="default" w:ascii="Times New Roman" w:hAnsi="Times New Roman" w:cs="Times New Roman"/>
          <w:color w:val="auto"/>
          <w:highlight w:val="none"/>
        </w:rPr>
      </w:pPr>
      <w:bookmarkStart w:id="52" w:name="_Toc9799"/>
      <w:r>
        <w:rPr>
          <w:rFonts w:hint="default" w:ascii="Times New Roman" w:hAnsi="Times New Roman" w:cs="Times New Roman"/>
          <w:color w:val="auto"/>
          <w:highlight w:val="none"/>
        </w:rPr>
        <w:t>1.5.7土壤环境的影响</w:t>
      </w:r>
      <w:bookmarkEnd w:id="52"/>
    </w:p>
    <w:p w14:paraId="6C413E8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本项目为肉牛养殖</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，养殖废水泄漏会对土壤造成污染，重点关注场区内的防渗措施，防止对区域土壤环境造成不利影响。</w:t>
      </w:r>
    </w:p>
    <w:p w14:paraId="7336D753">
      <w:pPr>
        <w:pStyle w:val="5"/>
        <w:spacing w:line="500" w:lineRule="exact"/>
        <w:rPr>
          <w:rFonts w:hint="default" w:ascii="Times New Roman" w:hAnsi="Times New Roman" w:cs="Times New Roman"/>
          <w:color w:val="auto"/>
          <w:highlight w:val="none"/>
        </w:rPr>
      </w:pPr>
      <w:bookmarkStart w:id="53" w:name="_Toc11680"/>
      <w:r>
        <w:rPr>
          <w:rFonts w:hint="default" w:ascii="Times New Roman" w:hAnsi="Times New Roman" w:cs="Times New Roman"/>
          <w:color w:val="auto"/>
          <w:highlight w:val="none"/>
        </w:rPr>
        <w:t>1.5.8对生态环境的影响</w:t>
      </w:r>
      <w:bookmarkEnd w:id="53"/>
    </w:p>
    <w:p w14:paraId="056C6A8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重点分析本项目</w:t>
      </w:r>
      <w:r>
        <w:rPr>
          <w:rFonts w:hint="eastAsia" w:eastAsia="宋体" w:cs="Times New Roman"/>
          <w:color w:val="auto"/>
          <w:highlight w:val="none"/>
          <w:lang w:val="en-US" w:eastAsia="zh-CN"/>
        </w:rPr>
        <w:t>的建设产生的污染物</w:t>
      </w:r>
      <w:r>
        <w:rPr>
          <w:rFonts w:hint="default" w:ascii="Times New Roman" w:hAnsi="Times New Roman" w:eastAsia="宋体" w:cs="Times New Roman"/>
          <w:color w:val="auto"/>
          <w:highlight w:val="none"/>
        </w:rPr>
        <w:t>对生态环境产生</w:t>
      </w:r>
      <w:r>
        <w:rPr>
          <w:rFonts w:hint="eastAsia" w:eastAsia="宋体" w:cs="Times New Roman"/>
          <w:color w:val="auto"/>
          <w:highlight w:val="none"/>
          <w:lang w:val="en-US" w:eastAsia="zh-CN"/>
        </w:rPr>
        <w:t>的</w:t>
      </w:r>
      <w:r>
        <w:rPr>
          <w:rFonts w:hint="default" w:ascii="Times New Roman" w:hAnsi="Times New Roman" w:eastAsia="宋体" w:cs="Times New Roman"/>
          <w:color w:val="auto"/>
          <w:highlight w:val="none"/>
        </w:rPr>
        <w:t>影响。</w:t>
      </w:r>
    </w:p>
    <w:p w14:paraId="672F8BEC">
      <w:pPr>
        <w:pStyle w:val="4"/>
        <w:rPr>
          <w:rFonts w:hint="default" w:ascii="Times New Roman" w:hAnsi="Times New Roman" w:cs="Times New Roman"/>
          <w:color w:val="auto"/>
          <w:highlight w:val="none"/>
        </w:rPr>
      </w:pPr>
      <w:bookmarkStart w:id="54" w:name="_Toc12520"/>
      <w:r>
        <w:rPr>
          <w:rFonts w:hint="default" w:ascii="Times New Roman" w:hAnsi="Times New Roman" w:cs="Times New Roman"/>
          <w:color w:val="auto"/>
          <w:highlight w:val="none"/>
        </w:rPr>
        <w:t>1.6环境影响评价主要结论</w:t>
      </w:r>
      <w:bookmarkEnd w:id="54"/>
    </w:p>
    <w:p w14:paraId="29DFEF01">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的建设符合国家产业政策；项目选址符合规划，选址可行；拟采用的各项环保设施合理、可靠、有效，可以保证各项污染物长期稳定达标排放，总体上对评价区域环境影响较小，不会造成区域环境功能的改变。因此在下一步工程设计和建设中，在严格落实环评中的污染控制措施和各项环境保护对策建议的前提下，从环保角度来讲，本项目建设是可行的。</w:t>
      </w:r>
    </w:p>
    <w:p w14:paraId="37F526D4">
      <w:pPr>
        <w:pStyle w:val="67"/>
        <w:ind w:firstLine="480"/>
        <w:rPr>
          <w:rFonts w:hint="default" w:ascii="Times New Roman" w:hAnsi="Times New Roman" w:cs="Times New Roman"/>
          <w:color w:val="auto"/>
          <w:highlight w:val="none"/>
        </w:rPr>
        <w:sectPr>
          <w:pgSz w:w="11906" w:h="16838"/>
          <w:pgMar w:top="1440" w:right="1800" w:bottom="1440" w:left="1800" w:header="851" w:footer="964" w:gutter="0"/>
          <w:pgBorders>
            <w:top w:val="none" w:sz="0" w:space="0"/>
            <w:left w:val="none" w:sz="0" w:space="0"/>
            <w:bottom w:val="none" w:sz="0" w:space="0"/>
            <w:right w:val="none" w:sz="0" w:space="0"/>
          </w:pgBorders>
          <w:cols w:space="720" w:num="1"/>
          <w:docGrid w:type="lines" w:linePitch="326" w:charSpace="0"/>
        </w:sectPr>
      </w:pPr>
    </w:p>
    <w:p w14:paraId="594FC6C9">
      <w:pPr>
        <w:pStyle w:val="3"/>
        <w:spacing w:line="500" w:lineRule="exact"/>
        <w:rPr>
          <w:rFonts w:hint="default" w:ascii="Times New Roman" w:hAnsi="Times New Roman" w:cs="Times New Roman"/>
          <w:color w:val="auto"/>
          <w:highlight w:val="none"/>
        </w:rPr>
      </w:pPr>
      <w:bookmarkStart w:id="55" w:name="_Toc57713605"/>
      <w:bookmarkStart w:id="56" w:name="_Toc21705"/>
      <w:r>
        <w:rPr>
          <w:rFonts w:hint="default" w:ascii="Times New Roman" w:hAnsi="Times New Roman" w:cs="Times New Roman"/>
          <w:color w:val="auto"/>
          <w:highlight w:val="none"/>
        </w:rPr>
        <w:t>2总则</w:t>
      </w:r>
      <w:bookmarkEnd w:id="44"/>
      <w:bookmarkEnd w:id="55"/>
      <w:bookmarkEnd w:id="56"/>
    </w:p>
    <w:p w14:paraId="19F9FE33">
      <w:pPr>
        <w:pStyle w:val="4"/>
        <w:rPr>
          <w:rFonts w:hint="default" w:ascii="Times New Roman" w:hAnsi="Times New Roman" w:cs="Times New Roman"/>
          <w:color w:val="auto"/>
          <w:highlight w:val="none"/>
        </w:rPr>
      </w:pPr>
      <w:bookmarkStart w:id="57" w:name="_Toc524431277"/>
      <w:bookmarkStart w:id="58" w:name="_Toc57713606"/>
      <w:bookmarkStart w:id="59" w:name="_Toc13038"/>
      <w:r>
        <w:rPr>
          <w:rFonts w:hint="default" w:ascii="Times New Roman" w:hAnsi="Times New Roman" w:cs="Times New Roman"/>
          <w:color w:val="auto"/>
          <w:highlight w:val="none"/>
        </w:rPr>
        <w:t>2.1评价目的</w:t>
      </w:r>
      <w:bookmarkEnd w:id="57"/>
      <w:bookmarkEnd w:id="58"/>
      <w:bookmarkEnd w:id="59"/>
    </w:p>
    <w:p w14:paraId="7A9CE25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根据本工程特性及工程所在地的环境特点，确定本报告的编制目的：</w:t>
      </w:r>
    </w:p>
    <w:p w14:paraId="120248C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（1）贯彻“预防为主，防治结合，综合利用”环境管理方针，要求在开发建设活动实施之前预计可能产生的环境污染与破坏，再据此采取防治对策，做到防患于未然。</w:t>
      </w:r>
    </w:p>
    <w:p w14:paraId="033045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（2）本次环评将在对本项目工程分析的基础上，分析论证本项目“三废”排放情况及从环保角度确认工艺过程的先进性，为环境影响预测提供基础数据，并为今后的环境管理工作提供科学依据。</w:t>
      </w:r>
    </w:p>
    <w:p w14:paraId="04C75BC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（3）通过对建设地点及周围环境的综合现状调查和现场监测，了解和掌握该地区的环境质量现状及污染现状，并确定环境保护目标。</w:t>
      </w:r>
    </w:p>
    <w:p w14:paraId="7D9E421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（4）采用适当的预测模式，预测和评价工程投产后对该地区的环境影响程度和范围，提出经济上合理，技术上可行的环境保护措施。</w:t>
      </w:r>
    </w:p>
    <w:p w14:paraId="32D9107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（5）通过对环境、经济的损益分析，论证本工程社会效益、环境效益和经济效益的统一性。</w:t>
      </w:r>
    </w:p>
    <w:p w14:paraId="65728F9F">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（6）从环境功能规划、环境容量及周围环境敏感保护目标等方面，论证本项目选址的合理性，为项目实现优化选址、合理布局、最佳设计提供科学依据。</w:t>
      </w:r>
    </w:p>
    <w:p w14:paraId="7E759A7B">
      <w:pPr>
        <w:pStyle w:val="4"/>
        <w:rPr>
          <w:rFonts w:hint="default" w:ascii="Times New Roman" w:hAnsi="Times New Roman" w:cs="Times New Roman"/>
          <w:color w:val="auto"/>
          <w:highlight w:val="none"/>
        </w:rPr>
      </w:pPr>
      <w:bookmarkStart w:id="60" w:name="_Toc524431278"/>
      <w:bookmarkStart w:id="61" w:name="_Toc597"/>
      <w:bookmarkStart w:id="62" w:name="_Toc57713607"/>
      <w:r>
        <w:rPr>
          <w:rFonts w:hint="default" w:ascii="Times New Roman" w:hAnsi="Times New Roman" w:cs="Times New Roman"/>
          <w:color w:val="auto"/>
          <w:highlight w:val="none"/>
        </w:rPr>
        <w:t>2.2评价原则</w:t>
      </w:r>
      <w:bookmarkEnd w:id="60"/>
      <w:bookmarkEnd w:id="61"/>
      <w:bookmarkEnd w:id="62"/>
    </w:p>
    <w:p w14:paraId="1F80EA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突出环境影响评价的源头预防作用，坚持保护和改善环境质量。</w:t>
      </w:r>
    </w:p>
    <w:p w14:paraId="148B4F5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（1）依法评价</w:t>
      </w:r>
    </w:p>
    <w:p w14:paraId="453512E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贯彻执行我国环境保护相关法律法规、标准、政策和规划等，优化项目建设，服务环境管理。</w:t>
      </w:r>
    </w:p>
    <w:p w14:paraId="0647947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（2）科学评价</w:t>
      </w:r>
    </w:p>
    <w:p w14:paraId="3EA315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规范环境影响评价方法，科学分析项目建设对环境质量的影响。</w:t>
      </w:r>
    </w:p>
    <w:p w14:paraId="5FC0E72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（3）突出重点</w:t>
      </w:r>
    </w:p>
    <w:p w14:paraId="7B1B299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根据建设项目的工程内容及其特点，明确与环境要素间的作用效应关系，充分利用符合时效的数据资料及成果，对建设项目主要环境影响予以重点分析和评价。</w:t>
      </w:r>
    </w:p>
    <w:p w14:paraId="37BF91E7">
      <w:pPr>
        <w:pStyle w:val="4"/>
        <w:rPr>
          <w:rFonts w:hint="default" w:ascii="Times New Roman" w:hAnsi="Times New Roman" w:cs="Times New Roman"/>
          <w:color w:val="auto"/>
          <w:highlight w:val="none"/>
        </w:rPr>
      </w:pPr>
      <w:bookmarkStart w:id="63" w:name="_Toc524431279"/>
      <w:bookmarkStart w:id="64" w:name="_Toc57713608"/>
      <w:bookmarkStart w:id="65" w:name="_Toc16648"/>
      <w:r>
        <w:rPr>
          <w:rFonts w:hint="default" w:ascii="Times New Roman" w:hAnsi="Times New Roman" w:cs="Times New Roman"/>
          <w:color w:val="auto"/>
          <w:highlight w:val="none"/>
        </w:rPr>
        <w:t>2.3编制依据</w:t>
      </w:r>
      <w:bookmarkEnd w:id="63"/>
      <w:bookmarkEnd w:id="64"/>
      <w:bookmarkEnd w:id="65"/>
    </w:p>
    <w:p w14:paraId="728FC939">
      <w:pPr>
        <w:pStyle w:val="5"/>
        <w:spacing w:line="500" w:lineRule="exact"/>
        <w:rPr>
          <w:rFonts w:hint="default" w:ascii="Times New Roman" w:hAnsi="Times New Roman" w:cs="Times New Roman"/>
          <w:color w:val="auto"/>
          <w:highlight w:val="none"/>
        </w:rPr>
      </w:pPr>
      <w:bookmarkStart w:id="66" w:name="_Toc57713609"/>
      <w:bookmarkStart w:id="67" w:name="_Toc524431280"/>
      <w:bookmarkStart w:id="68" w:name="_Toc5459"/>
      <w:r>
        <w:rPr>
          <w:rFonts w:hint="default" w:ascii="Times New Roman" w:hAnsi="Times New Roman" w:cs="Times New Roman"/>
          <w:color w:val="auto"/>
          <w:highlight w:val="none"/>
        </w:rPr>
        <w:t>2.3.1相关法律、法规</w:t>
      </w:r>
      <w:bookmarkEnd w:id="66"/>
      <w:bookmarkEnd w:id="67"/>
      <w:bookmarkEnd w:id="68"/>
    </w:p>
    <w:p w14:paraId="77D14AFE">
      <w:pPr>
        <w:pStyle w:val="67"/>
        <w:ind w:firstLine="480"/>
        <w:rPr>
          <w:rFonts w:hint="default" w:ascii="Times New Roman" w:hAnsi="Times New Roman" w:eastAsia="宋体" w:cs="Times New Roman"/>
          <w:color w:val="auto"/>
          <w:highlight w:val="none"/>
        </w:rPr>
      </w:pPr>
      <w:bookmarkStart w:id="69" w:name="_Hlk44576277"/>
      <w:bookmarkStart w:id="70" w:name="_Toc524431281"/>
      <w:r>
        <w:rPr>
          <w:rFonts w:hint="default" w:ascii="Times New Roman" w:hAnsi="Times New Roman" w:eastAsia="宋体" w:cs="Times New Roman"/>
          <w:color w:val="auto"/>
          <w:highlight w:val="none"/>
        </w:rPr>
        <w:t>（1）《中华人民共和国环境保护法》（2014年4月24日修订）；</w:t>
      </w:r>
    </w:p>
    <w:p w14:paraId="61EB102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（2）《中华人民共和国水污染防治法》（2017年6月27日修订）；</w:t>
      </w:r>
    </w:p>
    <w:p w14:paraId="7BBFBE3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（3）《中华人民共和国大气污染防治法》（2018年10月26日修订）；</w:t>
      </w:r>
    </w:p>
    <w:p w14:paraId="5A7669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（4）《中华人民共和国噪声污染防治法》（2022年6月5日施行）；</w:t>
      </w:r>
    </w:p>
    <w:p w14:paraId="3B53480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（5）《中华人民共和国环境影响评价法》（2018年12月29日修订）；</w:t>
      </w:r>
    </w:p>
    <w:p w14:paraId="4BDD34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（6）《中华人民共和国固体废物污染环境防治法》（2020年4月29日修订）；</w:t>
      </w:r>
    </w:p>
    <w:p w14:paraId="60D9192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（7）《中华人民共和国土壤污染防治法》（2019年1月1日施行）；</w:t>
      </w:r>
    </w:p>
    <w:p w14:paraId="4EDCDD8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（8）《中华人民共和国畜牧法》（2023年3月1日施行）；</w:t>
      </w:r>
    </w:p>
    <w:p w14:paraId="105CD2E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（9）《中华人民共和国动物防疫法》（2021年1月22日修订）；</w:t>
      </w:r>
    </w:p>
    <w:p w14:paraId="4085BF3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（10）《中华人民共和国清洁生产促进法》（2012年7月1日施行）；</w:t>
      </w:r>
    </w:p>
    <w:p w14:paraId="1528D5F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（11）《中华人民共和国循环经济促进法》（2018年10月26日修订）；</w:t>
      </w:r>
    </w:p>
    <w:p w14:paraId="24FF1E3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（12）《中华人民共和国水土保持法》（2011年3月1日实施）；</w:t>
      </w:r>
    </w:p>
    <w:p w14:paraId="49C89E4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（13）《中华人民共和国节约能源法》（2018年10月26日修订）；</w:t>
      </w:r>
    </w:p>
    <w:p w14:paraId="5D58ED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（14）《中华人民共和国土地管理法》（2019年8月26日修订）；</w:t>
      </w:r>
    </w:p>
    <w:p w14:paraId="76DA4E7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（15）《中华人民共和国水法》（2016年7月2日修正）；</w:t>
      </w:r>
    </w:p>
    <w:p w14:paraId="65C46582">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（16）《中华人民共和国城乡规划法》（2019年4月23日施行）</w:t>
      </w:r>
      <w:r>
        <w:rPr>
          <w:rFonts w:hint="default" w:ascii="Times New Roman" w:hAnsi="Times New Roman" w:eastAsia="宋体" w:cs="Times New Roman"/>
          <w:color w:val="auto"/>
          <w:highlight w:val="none"/>
          <w:lang w:eastAsia="zh-CN"/>
        </w:rPr>
        <w:t>；</w:t>
      </w:r>
    </w:p>
    <w:p w14:paraId="31A89561">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中华人民共和国草原法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2013年6月29日施行</w:t>
      </w:r>
      <w:r>
        <w:rPr>
          <w:rFonts w:hint="default" w:ascii="Times New Roman" w:hAnsi="Times New Roman" w:eastAsia="宋体" w:cs="Times New Roman"/>
          <w:color w:val="auto"/>
          <w:highlight w:val="none"/>
          <w:lang w:eastAsia="zh-CN"/>
        </w:rPr>
        <w:t>）。</w:t>
      </w:r>
    </w:p>
    <w:p w14:paraId="032B8FB2">
      <w:pPr>
        <w:pStyle w:val="5"/>
        <w:spacing w:line="500" w:lineRule="exact"/>
        <w:rPr>
          <w:rFonts w:hint="default" w:ascii="Times New Roman" w:hAnsi="Times New Roman" w:cs="Times New Roman"/>
          <w:color w:val="auto"/>
          <w:highlight w:val="none"/>
        </w:rPr>
      </w:pPr>
      <w:bookmarkStart w:id="71" w:name="_Toc26653"/>
      <w:r>
        <w:rPr>
          <w:rFonts w:hint="default" w:ascii="Times New Roman" w:hAnsi="Times New Roman" w:cs="Times New Roman"/>
          <w:color w:val="auto"/>
          <w:highlight w:val="none"/>
        </w:rPr>
        <w:t>2.3.2行政法规及部门规章</w:t>
      </w:r>
      <w:bookmarkEnd w:id="71"/>
    </w:p>
    <w:p w14:paraId="35E4CC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（1）《建设项目环境保护管理条例》（国务院令第682号，2017年7月16日修订）；</w:t>
      </w:r>
    </w:p>
    <w:p w14:paraId="1F717B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（2）《建设项目环境影响评价分类管理名录》（2021年版，2021年01月01日施行）；</w:t>
      </w:r>
    </w:p>
    <w:p w14:paraId="63D08AC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（3）《环境影响评价公众参与办法》（生态环境部令第4号，2019年1月1日施行）；</w:t>
      </w:r>
    </w:p>
    <w:p w14:paraId="208E0CA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（4）《产业结构调整指导目录（2024年本）》；</w:t>
      </w:r>
    </w:p>
    <w:p w14:paraId="0049CB0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（5）《关于进一步加强环境影响评价管理防范环境风险的通知》（环发[2012]77号）；</w:t>
      </w:r>
    </w:p>
    <w:p w14:paraId="18133C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（6）《关于切实加强风险防范严格环境影响评价管理的通知》（环发[2012]98号）；</w:t>
      </w:r>
    </w:p>
    <w:p w14:paraId="6CCD234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（7）《国务院办公厅关于印发控制污染物排放许可制实施方案的通知》（国办发[2016]81号）；</w:t>
      </w:r>
    </w:p>
    <w:p w14:paraId="22E574E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（8）《国务院关于落实科学发展观加强环境保护的决定》（国发[2005]39号）；</w:t>
      </w:r>
    </w:p>
    <w:p w14:paraId="5AF2AF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（9）《关于切实加强风险防范严格环境影响评价管理的通知》（环发[2012]98号）；</w:t>
      </w:r>
    </w:p>
    <w:p w14:paraId="28824CA8">
      <w:pPr>
        <w:pStyle w:val="67"/>
        <w:ind w:firstLine="480"/>
        <w:rPr>
          <w:rFonts w:hint="default" w:ascii="Times New Roman" w:hAnsi="Times New Roman" w:eastAsia="宋体" w:cs="Times New Roman"/>
          <w:color w:val="auto"/>
          <w:highlight w:val="none"/>
        </w:rPr>
      </w:pPr>
      <w:bookmarkStart w:id="72" w:name="_Hlk522443451"/>
      <w:r>
        <w:rPr>
          <w:rFonts w:hint="default" w:ascii="Times New Roman" w:hAnsi="Times New Roman" w:eastAsia="宋体" w:cs="Times New Roman"/>
          <w:color w:val="auto"/>
          <w:highlight w:val="none"/>
        </w:rPr>
        <w:t>（10）《关于做好环境影响评价制度与排污许可制衔接相关工作的通知》（环办环评[2017]84号）</w:t>
      </w:r>
      <w:bookmarkEnd w:id="72"/>
      <w:r>
        <w:rPr>
          <w:rFonts w:hint="default" w:ascii="Times New Roman" w:hAnsi="Times New Roman" w:eastAsia="宋体" w:cs="Times New Roman"/>
          <w:color w:val="auto"/>
          <w:highlight w:val="none"/>
        </w:rPr>
        <w:t>；</w:t>
      </w:r>
    </w:p>
    <w:p w14:paraId="379A859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（11）《国家突发环境事件应急预案》（国办函[2014]119号，2014年12月29日起实施）；</w:t>
      </w:r>
    </w:p>
    <w:p w14:paraId="038C9F3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r>
        <w:rPr>
          <w:rFonts w:hint="default" w:ascii="Times New Roman" w:hAnsi="Times New Roman" w:eastAsia="宋体" w:cs="Times New Roman"/>
          <w:color w:val="auto"/>
          <w:highlight w:val="none"/>
          <w:lang w:val="en-US" w:eastAsia="zh-CN"/>
        </w:rPr>
        <w:t>企业事业单位突发环境事件应急预案备案管理办法（试行）</w:t>
      </w:r>
      <w:r>
        <w:rPr>
          <w:rFonts w:hint="default" w:ascii="Times New Roman" w:hAnsi="Times New Roman" w:eastAsia="宋体" w:cs="Times New Roman"/>
          <w:color w:val="auto"/>
          <w:highlight w:val="none"/>
        </w:rPr>
        <w:t>》（环发[201</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号）；</w:t>
      </w:r>
    </w:p>
    <w:p w14:paraId="73578DB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（13）《关于印发</w:t>
      </w:r>
      <w:r>
        <w:rPr>
          <w:rFonts w:hint="default" w:ascii="Times New Roman" w:hAnsi="Times New Roman" w:eastAsia="宋体" w:cs="Times New Roman"/>
          <w:color w:val="auto"/>
          <w:highlight w:val="none"/>
          <w:lang w:val="en-US" w:eastAsia="zh-CN"/>
        </w:rPr>
        <w:t>&lt;</w:t>
      </w:r>
      <w:r>
        <w:rPr>
          <w:rFonts w:hint="default" w:ascii="Times New Roman" w:hAnsi="Times New Roman" w:eastAsia="宋体" w:cs="Times New Roman"/>
          <w:color w:val="auto"/>
          <w:highlight w:val="none"/>
        </w:rPr>
        <w:t>建设项目主要污染物排放总量指标审核及管理暂行办法的通知》（环发[2014]197号）；</w:t>
      </w:r>
    </w:p>
    <w:p w14:paraId="4E9FA5A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（14）《国务院关于印发水污染防治行动计划的通知》（国发[2015]17号）；</w:t>
      </w:r>
    </w:p>
    <w:p w14:paraId="0881C9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（15）《国务院关于印发大气污染防治行动计划的通知》（国发[2013]37号）；</w:t>
      </w:r>
    </w:p>
    <w:p w14:paraId="6CC38D1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（16）《国务院关于印发土壤污染防治行动计划的通知》（国发[2016]31号）；</w:t>
      </w:r>
    </w:p>
    <w:p w14:paraId="3317E43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（17）《关于实施“三线一单”生态环境分区管控的指导意见（试行）》（环环评[2021]10号）；</w:t>
      </w:r>
    </w:p>
    <w:p w14:paraId="336C863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（18）《国家危险废物名录》（202</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年版）；</w:t>
      </w:r>
    </w:p>
    <w:p w14:paraId="2C06EF0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（19）《建设项目危险废物环境影响评价指南》（2017年10月1日）；</w:t>
      </w:r>
    </w:p>
    <w:p w14:paraId="7B65DB0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（20）《畜禽规模养殖污染防治条例》（国务院令第643号，自2014年1月1日）。</w:t>
      </w:r>
    </w:p>
    <w:p w14:paraId="727E70B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）《农业部关于加快推进畜禽标准化规模养殖的意见》（农牧发[2010]6号），2010年3月22日；</w:t>
      </w:r>
    </w:p>
    <w:p w14:paraId="593C209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）《国务院办公厅关于加快推进畜禽养殖废弃物资源化利用的意见》（国办发[2017]48号）；</w:t>
      </w:r>
    </w:p>
    <w:p w14:paraId="5F7903F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）《关于做好畜禽规模养殖项目环境影响评价管理工作的通知》（环办环评[2018]31号）；</w:t>
      </w:r>
    </w:p>
    <w:p w14:paraId="4EC40E0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）《关于印发畜禽养殖禁养区划定技术指南的通知》（环办水体环评[2016]99）；</w:t>
      </w:r>
    </w:p>
    <w:p w14:paraId="3F3A293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）《关于印发畜禽粪污土地承载力测算技术指南的通知》（农业部办公厅文件农办农[2018]1号）；</w:t>
      </w:r>
    </w:p>
    <w:p w14:paraId="2B810B4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3"/>
          <w:szCs w:val="23"/>
          <w:highlight w:val="none"/>
        </w:rPr>
        <w:t>《农业农村部办公厅生态环境部办公厅关于印发畜禽养殖场（户）粪污处理设施建设技术指南的通知</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3"/>
          <w:szCs w:val="23"/>
          <w:highlight w:val="none"/>
        </w:rPr>
        <w:t>（农办牧</w:t>
      </w:r>
      <w:r>
        <w:rPr>
          <w:rFonts w:hint="default" w:ascii="Times New Roman" w:hAnsi="Times New Roman" w:eastAsia="宋体" w:cs="Times New Roman"/>
          <w:color w:val="auto"/>
          <w:highlight w:val="none"/>
        </w:rPr>
        <w:t>[2022]</w:t>
      </w:r>
      <w:r>
        <w:rPr>
          <w:rFonts w:hint="default" w:ascii="Times New Roman" w:hAnsi="Times New Roman" w:eastAsia="宋体" w:cs="Times New Roman"/>
          <w:color w:val="auto"/>
          <w:sz w:val="23"/>
          <w:szCs w:val="23"/>
          <w:highlight w:val="none"/>
        </w:rPr>
        <w:t>19号）；</w:t>
      </w:r>
    </w:p>
    <w:p w14:paraId="1DA5496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）《关于进一步明确畜禽粪污还田利用要求强化养殖污染监管的通知》</w:t>
      </w:r>
      <w:r>
        <w:rPr>
          <w:rFonts w:hint="default" w:ascii="Times New Roman" w:hAnsi="Times New Roman" w:eastAsia="宋体" w:cs="Times New Roman"/>
          <w:color w:val="auto"/>
          <w:sz w:val="23"/>
          <w:szCs w:val="23"/>
          <w:highlight w:val="none"/>
        </w:rPr>
        <w:t>（</w:t>
      </w:r>
      <w:r>
        <w:rPr>
          <w:rFonts w:hint="default" w:ascii="Times New Roman" w:hAnsi="Times New Roman" w:eastAsia="宋体" w:cs="Times New Roman"/>
          <w:color w:val="auto"/>
          <w:highlight w:val="none"/>
        </w:rPr>
        <w:t>农办牧[2020]23</w:t>
      </w:r>
      <w:r>
        <w:rPr>
          <w:rFonts w:hint="default" w:ascii="Times New Roman" w:hAnsi="Times New Roman" w:eastAsia="宋体" w:cs="Times New Roman"/>
          <w:color w:val="auto"/>
          <w:sz w:val="23"/>
          <w:szCs w:val="23"/>
          <w:highlight w:val="none"/>
        </w:rPr>
        <w:t>）；</w:t>
      </w:r>
    </w:p>
    <w:p w14:paraId="0290C9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）《畜禽规模养殖场粪污资源化利用设施建设规范（试行）》（农办牧[2018]2号）；</w:t>
      </w:r>
    </w:p>
    <w:p w14:paraId="27732F82">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29</w:t>
      </w:r>
      <w:r>
        <w:rPr>
          <w:rFonts w:hint="default" w:ascii="Times New Roman" w:hAnsi="Times New Roman" w:eastAsia="宋体" w:cs="Times New Roman"/>
          <w:color w:val="auto"/>
          <w:highlight w:val="none"/>
        </w:rPr>
        <w:t>）《动物防疫条件审查办法》（2022年第8号，2022年12月1日起施行）；</w:t>
      </w:r>
    </w:p>
    <w:p w14:paraId="2CB2E0B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）《关于加强农业面源污染防治的实施意见》（黑政办规[2018]26号）；</w:t>
      </w:r>
    </w:p>
    <w:p w14:paraId="59FB444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）《病死畜禽和病害畜禽产品无害化处理管理办法》（中华人民共和国农业农村部令2022年第3号）；</w:t>
      </w:r>
    </w:p>
    <w:p w14:paraId="30D6314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）《关于加强重点行业建设项目区域削减措施监督管理的通知》（环办环评[2020]36号）。</w:t>
      </w:r>
    </w:p>
    <w:p w14:paraId="3A37AAB9">
      <w:pPr>
        <w:pStyle w:val="5"/>
        <w:spacing w:line="500" w:lineRule="exact"/>
        <w:rPr>
          <w:rFonts w:hint="default" w:ascii="Times New Roman" w:hAnsi="Times New Roman" w:cs="Times New Roman"/>
          <w:color w:val="auto"/>
          <w:highlight w:val="none"/>
        </w:rPr>
      </w:pPr>
      <w:bookmarkStart w:id="73" w:name="_Toc114241071"/>
      <w:bookmarkStart w:id="74" w:name="_Toc23305"/>
      <w:r>
        <w:rPr>
          <w:rFonts w:hint="default" w:ascii="Times New Roman" w:hAnsi="Times New Roman" w:cs="Times New Roman"/>
          <w:color w:val="auto"/>
          <w:highlight w:val="none"/>
        </w:rPr>
        <w:t>2.3.3地方有关环境保护的规划和规定</w:t>
      </w:r>
      <w:bookmarkEnd w:id="73"/>
      <w:bookmarkEnd w:id="74"/>
    </w:p>
    <w:p w14:paraId="516421E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（1）《黑龙江省人民政府关于印发黑龙江省主体功能区规划的通知》（黑政发[2012]29号）；</w:t>
      </w:r>
    </w:p>
    <w:p w14:paraId="4F7E4B2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（2）关于转发《水利部国家发展和改革委员会环境保护部关于印发全国重要江河湖泊水功能区划（2011-2030年）的通知》的通知，黑水发[2012]359号；</w:t>
      </w:r>
    </w:p>
    <w:p w14:paraId="13C64C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（3）《黑龙江省主体功能区规划》；</w:t>
      </w:r>
    </w:p>
    <w:p w14:paraId="1CB7E7D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（4）《黑龙江省生态功能区划》；</w:t>
      </w:r>
    </w:p>
    <w:p w14:paraId="12414B8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）《黑龙江省人民政府关于实施“三线一单”生态环境分区管控的意见》（黑政发[2020]14号，2020年12月16日起施行）；</w:t>
      </w:r>
    </w:p>
    <w:p w14:paraId="47E363C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）《黑龙江省国民经济和社会发展第十四个五年规划和二○三五年远景目标纲要》（2021年3月2日）；</w:t>
      </w:r>
    </w:p>
    <w:p w14:paraId="20F6DCC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7</w:t>
      </w:r>
      <w:r>
        <w:rPr>
          <w:rFonts w:hint="default" w:ascii="Times New Roman" w:hAnsi="Times New Roman" w:eastAsia="宋体" w:cs="Times New Roman"/>
          <w:color w:val="auto"/>
          <w:highlight w:val="none"/>
        </w:rPr>
        <w:t>）《黑龙江省水污染防治工作方案》（黑政发[2016]3号）；</w:t>
      </w:r>
    </w:p>
    <w:p w14:paraId="1952811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rPr>
        <w:t>）《黑龙江省土壤污染防治实施方案》（黑政发[2016]46号）；</w:t>
      </w:r>
    </w:p>
    <w:p w14:paraId="067D0A2A">
      <w:pPr>
        <w:pStyle w:val="67"/>
        <w:ind w:firstLine="480"/>
        <w:rPr>
          <w:rFonts w:hint="default" w:ascii="Times New Roman" w:hAnsi="Times New Roman" w:eastAsia="宋体" w:cs="Times New Roman"/>
          <w:color w:val="auto"/>
          <w:highlight w:val="none"/>
        </w:rPr>
      </w:pPr>
      <w:bookmarkStart w:id="75" w:name="_Hlk43387889"/>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9</w:t>
      </w:r>
      <w:r>
        <w:rPr>
          <w:rFonts w:hint="default" w:ascii="Times New Roman" w:hAnsi="Times New Roman" w:eastAsia="宋体" w:cs="Times New Roman"/>
          <w:color w:val="auto"/>
          <w:highlight w:val="none"/>
        </w:rPr>
        <w:t>）《黑龙江省人民政府关于印发黑龙江省大气污染防治行动计划实施细则的通知》（黑政发[2014]1号）；</w:t>
      </w:r>
    </w:p>
    <w:p w14:paraId="23BE97CF">
      <w:pPr>
        <w:pStyle w:val="67"/>
        <w:ind w:firstLine="480"/>
        <w:rPr>
          <w:rFonts w:hint="default" w:ascii="Times New Roman" w:hAnsi="Times New Roman" w:eastAsia="宋体" w:cs="Times New Roman"/>
          <w:color w:val="auto"/>
          <w:highlight w:val="none"/>
        </w:rPr>
      </w:pPr>
      <w:bookmarkStart w:id="76" w:name="_Hlk47631175"/>
      <w:bookmarkStart w:id="77" w:name="_Hlk44576301"/>
      <w:r>
        <w:rPr>
          <w:rFonts w:hint="default" w:ascii="Times New Roman" w:hAnsi="Times New Roman" w:eastAsia="宋体" w:cs="Times New Roman"/>
          <w:color w:val="auto"/>
          <w:highlight w:val="none"/>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rPr>
        <w:t>）《关于印发2015年黑龙江省自然生态和农村环境保护工作要点的通知》（黑环办[2015]51号）；</w:t>
      </w:r>
    </w:p>
    <w:p w14:paraId="5CB2966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）《黑龙江省畜禽养殖废弃物资源化利用工作方案》（黑政办规[2017]77号）；</w:t>
      </w:r>
    </w:p>
    <w:p w14:paraId="11C19A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）《关于加快畜牧业高质量发展的意见和黑龙江省加快畜牧业高质量发展若干政策措施的通知》（黑政办规〔2022〕14号）；</w:t>
      </w:r>
    </w:p>
    <w:p w14:paraId="3D303498">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13</w:t>
      </w:r>
      <w:r>
        <w:rPr>
          <w:rFonts w:hint="default" w:ascii="Times New Roman" w:hAnsi="Times New Roman" w:eastAsia="宋体" w:cs="Times New Roman"/>
          <w:color w:val="auto"/>
          <w:highlight w:val="none"/>
        </w:rPr>
        <w:t>）《黑龙江省畜禽养殖废弃物资源化利用工作方案》（黑政办规[2017]77号）</w:t>
      </w:r>
      <w:r>
        <w:rPr>
          <w:rFonts w:hint="default" w:ascii="Times New Roman" w:hAnsi="Times New Roman" w:eastAsia="宋体" w:cs="Times New Roman"/>
          <w:color w:val="auto"/>
          <w:highlight w:val="none"/>
          <w:lang w:eastAsia="zh-CN"/>
        </w:rPr>
        <w:t>；</w:t>
      </w:r>
    </w:p>
    <w:p w14:paraId="13CDB164">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lang w:eastAsia="zh-CN"/>
        </w:rPr>
        <w:t>）《黑龙江省黑土地保护利用条例》；</w:t>
      </w:r>
    </w:p>
    <w:p w14:paraId="58E649A6">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eastAsia" w:eastAsia="宋体" w:cs="Times New Roman"/>
          <w:color w:val="auto"/>
          <w:highlight w:val="none"/>
          <w:lang w:val="en-US" w:eastAsia="zh-CN"/>
        </w:rPr>
        <w:t>15</w:t>
      </w:r>
      <w:r>
        <w:rPr>
          <w:rFonts w:hint="default" w:ascii="Times New Roman" w:hAnsi="Times New Roman" w:eastAsia="宋体" w:cs="Times New Roman"/>
          <w:color w:val="auto"/>
          <w:highlight w:val="none"/>
          <w:lang w:eastAsia="zh-CN"/>
        </w:rPr>
        <w:t>）《黑龙江省黑土地保护工程实施方案（2021-2025年）》黑政办规〔2021〕40号；</w:t>
      </w:r>
    </w:p>
    <w:bookmarkEnd w:id="69"/>
    <w:bookmarkEnd w:id="75"/>
    <w:bookmarkEnd w:id="76"/>
    <w:bookmarkEnd w:id="77"/>
    <w:p w14:paraId="289BD693">
      <w:pPr>
        <w:pStyle w:val="5"/>
        <w:spacing w:line="500" w:lineRule="exact"/>
        <w:rPr>
          <w:rFonts w:hint="default" w:ascii="Times New Roman" w:hAnsi="Times New Roman" w:cs="Times New Roman"/>
          <w:color w:val="auto"/>
          <w:highlight w:val="none"/>
        </w:rPr>
      </w:pPr>
      <w:bookmarkStart w:id="78" w:name="_Toc57713610"/>
      <w:bookmarkStart w:id="79" w:name="_Toc30743"/>
      <w:r>
        <w:rPr>
          <w:rFonts w:hint="default" w:ascii="Times New Roman" w:hAnsi="Times New Roman" w:cs="Times New Roman"/>
          <w:color w:val="auto"/>
          <w:highlight w:val="none"/>
        </w:rPr>
        <w:t>2.3.4相关技术规范</w:t>
      </w:r>
      <w:bookmarkEnd w:id="70"/>
      <w:bookmarkEnd w:id="78"/>
      <w:bookmarkEnd w:id="79"/>
    </w:p>
    <w:p w14:paraId="693D79AC">
      <w:pPr>
        <w:pStyle w:val="67"/>
        <w:ind w:firstLine="480"/>
        <w:rPr>
          <w:rFonts w:hint="default" w:ascii="Times New Roman" w:hAnsi="Times New Roman" w:eastAsia="宋体" w:cs="Times New Roman"/>
          <w:color w:val="auto"/>
          <w:highlight w:val="none"/>
        </w:rPr>
      </w:pPr>
      <w:bookmarkStart w:id="80" w:name="_Hlk44576289"/>
      <w:bookmarkStart w:id="81" w:name="_Toc524431282"/>
      <w:r>
        <w:rPr>
          <w:rFonts w:hint="default" w:ascii="Times New Roman" w:hAnsi="Times New Roman" w:eastAsia="宋体" w:cs="Times New Roman"/>
          <w:color w:val="auto"/>
          <w:highlight w:val="none"/>
        </w:rPr>
        <w:t>（1）《建设项目环境影响评价技术导则 总纲》（HJ2.1-2016）；</w:t>
      </w:r>
    </w:p>
    <w:p w14:paraId="0385560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（2）《环境影响评价技术导则 大气环境》（HJ2.2-2018）；</w:t>
      </w:r>
    </w:p>
    <w:p w14:paraId="5DF9C47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（3）《环境影响评价技术导则 地表水环境》（HJ2.3-2018）；</w:t>
      </w:r>
    </w:p>
    <w:p w14:paraId="02E39BB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（4）《环境影响评价技术导则 声环境》（HJ2.4-2021）；</w:t>
      </w:r>
    </w:p>
    <w:p w14:paraId="6BDA44D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（5）《环境影响评价技术导则 地下水环境》（HJ610-2016）；</w:t>
      </w:r>
    </w:p>
    <w:p w14:paraId="5BAF9DC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（6）《环境影响评价技术导则 土壤影响（试行）》（HJ964-2018）；</w:t>
      </w:r>
    </w:p>
    <w:p w14:paraId="7521BE4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（7）《环境影响评价技术导则 生态影响》（HJ19-2022）；</w:t>
      </w:r>
    </w:p>
    <w:p w14:paraId="14FE330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（8）《建设项目环境风险评价技术导则》（HJ169-2018）；</w:t>
      </w:r>
    </w:p>
    <w:p w14:paraId="02212CC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（9）《排污许可证申请与核发技术规范 畜禽养殖行业》（HJ1029-2019）；</w:t>
      </w:r>
    </w:p>
    <w:p w14:paraId="791279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（10）《污染源源强核算技术指南 准则》（HJ884-2018）；</w:t>
      </w:r>
    </w:p>
    <w:p w14:paraId="76D94E9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（11）《排污位自行监测技术指南总则》（HJ819-2017）；</w:t>
      </w:r>
    </w:p>
    <w:bookmarkEnd w:id="80"/>
    <w:p w14:paraId="7DE0DB77">
      <w:pPr>
        <w:pStyle w:val="67"/>
        <w:ind w:firstLine="480"/>
        <w:rPr>
          <w:rFonts w:hint="default" w:ascii="Times New Roman" w:hAnsi="Times New Roman" w:eastAsia="宋体" w:cs="Times New Roman"/>
          <w:color w:val="auto"/>
          <w:highlight w:val="none"/>
        </w:rPr>
      </w:pPr>
      <w:bookmarkStart w:id="82" w:name="_Toc57713611"/>
      <w:r>
        <w:rPr>
          <w:rFonts w:hint="default" w:ascii="Times New Roman" w:hAnsi="Times New Roman" w:eastAsia="宋体" w:cs="Times New Roman"/>
          <w:color w:val="auto"/>
          <w:highlight w:val="none"/>
        </w:rPr>
        <w:t>（12）《畜禽养殖产地环境评价规范》（HJ568-2010）；</w:t>
      </w:r>
    </w:p>
    <w:p w14:paraId="0FA1B74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（13）《畜禽养殖业污染治理工程技术规范》（HJ497-2009）；</w:t>
      </w:r>
    </w:p>
    <w:p w14:paraId="6098DDE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（14）《畜禽养殖业污染防治技术规范》（HJ/T81-2001）；</w:t>
      </w:r>
    </w:p>
    <w:p w14:paraId="4B6EE8C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（15）《畜禽粪便无害化处理技术规范》（NY/T1168-2006）；</w:t>
      </w:r>
    </w:p>
    <w:p w14:paraId="2DE5AB0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（16）《畜禽粪便还田技术规范》（GB/T25246-2010)；</w:t>
      </w:r>
    </w:p>
    <w:p w14:paraId="0B76A0D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（17）《病死及病害动物无害化处理技术规范》（农医发[2017]25号）；</w:t>
      </w:r>
    </w:p>
    <w:p w14:paraId="3C67D63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（18）《建筑设计防火规范》（GB50016-2014）（2018年修订）；</w:t>
      </w:r>
    </w:p>
    <w:p w14:paraId="075C996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（19）《严寒和寒冷地区居住建筑节能设计标准》（JGJ26-2018）；</w:t>
      </w:r>
    </w:p>
    <w:p w14:paraId="2D3C64C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（20）《危险废物贮存污染控制标准》（GB18597-2023）；</w:t>
      </w:r>
    </w:p>
    <w:p w14:paraId="4E7C045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（21）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规模畜禽养殖场污染防治最佳可行技术指南（试行）</w:t>
      </w:r>
      <w:r>
        <w:rPr>
          <w:rFonts w:hint="default" w:ascii="Times New Roman" w:hAnsi="Times New Roman" w:eastAsia="宋体" w:cs="Times New Roman"/>
          <w:color w:val="auto"/>
          <w:highlight w:val="none"/>
        </w:rPr>
        <w:t>》（HJ-BAT-10）；</w:t>
      </w:r>
    </w:p>
    <w:p w14:paraId="352E428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（22）《重大动物疫情应急条例》（2005年11月16日）；</w:t>
      </w:r>
    </w:p>
    <w:p w14:paraId="696D0FC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（23）《排污单位自行监测技术指南 畜禽养殖行业》（HJ1252-2022）。</w:t>
      </w:r>
    </w:p>
    <w:p w14:paraId="53C8D56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（24）《危险废物收集 贮存 运输技术规范》（HJ2025-2012）</w:t>
      </w:r>
    </w:p>
    <w:p w14:paraId="4A581A2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（25）《危险废物转移管理办法》（生态环境部、公安部、交通运输部令第23号公布，自2022年1月1日起施行）；</w:t>
      </w:r>
    </w:p>
    <w:p w14:paraId="3465A90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）《建设项目危险废物环境影响评价指南》（公告2017年第43号）；</w:t>
      </w:r>
    </w:p>
    <w:p w14:paraId="6373DB3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eastAsia" w:eastAsia="宋体" w:cs="Times New Roman"/>
          <w:color w:val="auto"/>
          <w:highlight w:val="none"/>
          <w:lang w:val="en-US" w:eastAsia="zh-CN"/>
        </w:rPr>
        <w:t>7</w:t>
      </w:r>
      <w:r>
        <w:rPr>
          <w:rFonts w:hint="default" w:ascii="Times New Roman" w:hAnsi="Times New Roman" w:eastAsia="宋体" w:cs="Times New Roman"/>
          <w:color w:val="auto"/>
          <w:highlight w:val="none"/>
        </w:rPr>
        <w:t>）《危险废物识别标志设置技术规范》（HJ1276-2022）；</w:t>
      </w:r>
    </w:p>
    <w:p w14:paraId="3F4A491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固体废物分类与代码目录》（2024年1月19日）</w:t>
      </w:r>
      <w:r>
        <w:rPr>
          <w:rFonts w:hint="default" w:ascii="Times New Roman" w:hAnsi="Times New Roman" w:eastAsia="宋体" w:cs="Times New Roman"/>
          <w:color w:val="auto"/>
          <w:highlight w:val="none"/>
        </w:rPr>
        <w:t>；</w:t>
      </w:r>
    </w:p>
    <w:p w14:paraId="7D1BB21A">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29</w:t>
      </w:r>
      <w:r>
        <w:rPr>
          <w:rFonts w:hint="default" w:ascii="Times New Roman" w:hAnsi="Times New Roman" w:eastAsia="宋体" w:cs="Times New Roman"/>
          <w:color w:val="auto"/>
          <w:highlight w:val="none"/>
        </w:rPr>
        <w:t>）《一般工业固体废物贮存和填埋污染控制标准》（GB18599-2020）。</w:t>
      </w:r>
    </w:p>
    <w:bookmarkEnd w:id="81"/>
    <w:bookmarkEnd w:id="82"/>
    <w:p w14:paraId="46C7C35D">
      <w:pPr>
        <w:pStyle w:val="4"/>
        <w:rPr>
          <w:rFonts w:hint="default" w:ascii="Times New Roman" w:hAnsi="Times New Roman" w:cs="Times New Roman"/>
          <w:snapToGrid w:val="0"/>
          <w:color w:val="auto"/>
          <w:highlight w:val="none"/>
        </w:rPr>
      </w:pPr>
      <w:bookmarkStart w:id="83" w:name="_Toc524431283"/>
      <w:bookmarkStart w:id="84" w:name="_Toc22633"/>
      <w:bookmarkStart w:id="85" w:name="_Toc57713612"/>
      <w:r>
        <w:rPr>
          <w:rFonts w:hint="default" w:ascii="Times New Roman" w:hAnsi="Times New Roman" w:cs="Times New Roman"/>
          <w:snapToGrid w:val="0"/>
          <w:color w:val="auto"/>
          <w:highlight w:val="none"/>
        </w:rPr>
        <w:t>2.4环境影响识别与评价因子筛选</w:t>
      </w:r>
      <w:bookmarkEnd w:id="83"/>
      <w:bookmarkEnd w:id="84"/>
      <w:bookmarkEnd w:id="85"/>
    </w:p>
    <w:p w14:paraId="0D7C9263">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根据本项目的特征、阶段（建设期、生产期）和所处区域的环境特征，全面分析判别项目建设对环境可能产生影响的因素、影响途径，初步估算影响程度。通过筛选确定本次评价重点和评价因子。</w:t>
      </w:r>
    </w:p>
    <w:p w14:paraId="0070A8F3">
      <w:pPr>
        <w:pStyle w:val="5"/>
        <w:spacing w:line="500" w:lineRule="exact"/>
        <w:rPr>
          <w:rFonts w:hint="default" w:ascii="Times New Roman" w:hAnsi="Times New Roman" w:cs="Times New Roman"/>
          <w:color w:val="auto"/>
          <w:highlight w:val="none"/>
        </w:rPr>
      </w:pPr>
      <w:bookmarkStart w:id="86" w:name="_Toc524431284"/>
      <w:bookmarkStart w:id="87" w:name="_Toc1583"/>
      <w:bookmarkStart w:id="88" w:name="_Toc57713613"/>
      <w:r>
        <w:rPr>
          <w:rFonts w:hint="default" w:ascii="Times New Roman" w:hAnsi="Times New Roman" w:cs="Times New Roman"/>
          <w:color w:val="auto"/>
          <w:highlight w:val="none"/>
        </w:rPr>
        <w:t>2.4.1环境影响因素识别</w:t>
      </w:r>
      <w:bookmarkEnd w:id="86"/>
      <w:bookmarkEnd w:id="87"/>
      <w:bookmarkEnd w:id="88"/>
    </w:p>
    <w:p w14:paraId="6DF59EC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项目的生产工艺和排污特征，结合拟选厂址的自然环境特点、环境质量现状，在充分分析本项目建设内容的基础上，识别建设项目实施可能对自然环境和社会环境产生的影响，以及各种影响与规划决策因素（选址、定位、规模、布局、基础设施等）的关系，具体见下表。</w:t>
      </w:r>
    </w:p>
    <w:p w14:paraId="68985342">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表2-4-1环境影响因素识别一览表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1136"/>
        <w:gridCol w:w="847"/>
        <w:gridCol w:w="851"/>
        <w:gridCol w:w="851"/>
        <w:gridCol w:w="851"/>
        <w:gridCol w:w="852"/>
        <w:gridCol w:w="710"/>
        <w:gridCol w:w="884"/>
        <w:gridCol w:w="758"/>
      </w:tblGrid>
      <w:tr w14:paraId="3B875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1025" w:type="pct"/>
            <w:gridSpan w:val="2"/>
            <w:tcBorders>
              <w:top w:val="single" w:color="auto" w:sz="12" w:space="0"/>
              <w:bottom w:val="single" w:color="auto" w:sz="4" w:space="0"/>
              <w:right w:val="single" w:color="auto" w:sz="4" w:space="0"/>
              <w:tl2br w:val="single" w:color="auto" w:sz="4" w:space="0"/>
            </w:tcBorders>
            <w:vAlign w:val="center"/>
          </w:tcPr>
          <w:p w14:paraId="637DA7AB">
            <w:pPr>
              <w:pStyle w:val="146"/>
              <w:rPr>
                <w:rFonts w:hint="default" w:ascii="Times New Roman" w:hAnsi="Times New Roman" w:eastAsia="宋体" w:cs="Times New Roman"/>
                <w:snapToGrid w:val="0"/>
                <w:color w:val="auto"/>
                <w:highlight w:val="none"/>
              </w:rPr>
            </w:pPr>
            <w:bookmarkStart w:id="89" w:name="_Hlk57378605"/>
            <w:r>
              <w:rPr>
                <w:rFonts w:hint="default" w:ascii="Times New Roman" w:hAnsi="Times New Roman" w:eastAsia="宋体" w:cs="Times New Roman"/>
                <w:snapToGrid w:val="0"/>
                <w:color w:val="auto"/>
                <w:highlight w:val="none"/>
              </w:rPr>
              <w:t>环境要素</w:t>
            </w:r>
          </w:p>
          <w:p w14:paraId="0C768A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污染因素</w:t>
            </w:r>
          </w:p>
        </w:tc>
        <w:tc>
          <w:tcPr>
            <w:tcW w:w="510" w:type="pct"/>
            <w:tcBorders>
              <w:left w:val="single" w:color="auto" w:sz="4" w:space="0"/>
            </w:tcBorders>
            <w:vAlign w:val="center"/>
          </w:tcPr>
          <w:p w14:paraId="3F25A7E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p>
          <w:p w14:paraId="247B6D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w:t>
            </w:r>
          </w:p>
        </w:tc>
        <w:tc>
          <w:tcPr>
            <w:tcW w:w="512" w:type="pct"/>
            <w:vAlign w:val="center"/>
          </w:tcPr>
          <w:p w14:paraId="07A7A2E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水环境</w:t>
            </w:r>
          </w:p>
        </w:tc>
        <w:tc>
          <w:tcPr>
            <w:tcW w:w="512" w:type="pct"/>
            <w:vAlign w:val="center"/>
          </w:tcPr>
          <w:p w14:paraId="2DF4B53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512" w:type="pct"/>
            <w:vAlign w:val="center"/>
          </w:tcPr>
          <w:p w14:paraId="143235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w:t>
            </w:r>
          </w:p>
          <w:p w14:paraId="0B1179D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废物</w:t>
            </w:r>
          </w:p>
        </w:tc>
        <w:tc>
          <w:tcPr>
            <w:tcW w:w="513" w:type="pct"/>
            <w:vAlign w:val="center"/>
          </w:tcPr>
          <w:p w14:paraId="2B9274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生态</w:t>
            </w:r>
          </w:p>
          <w:p w14:paraId="195792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p>
        </w:tc>
        <w:tc>
          <w:tcPr>
            <w:tcW w:w="427" w:type="pct"/>
            <w:vAlign w:val="center"/>
          </w:tcPr>
          <w:p w14:paraId="1FC6BC0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人群健康</w:t>
            </w:r>
          </w:p>
        </w:tc>
        <w:tc>
          <w:tcPr>
            <w:tcW w:w="532" w:type="pct"/>
            <w:vAlign w:val="center"/>
          </w:tcPr>
          <w:p w14:paraId="1CC167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土壤</w:t>
            </w:r>
          </w:p>
          <w:p w14:paraId="7B4D34C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p>
        </w:tc>
        <w:tc>
          <w:tcPr>
            <w:tcW w:w="456" w:type="pct"/>
            <w:vAlign w:val="center"/>
          </w:tcPr>
          <w:p w14:paraId="56B7103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环境风险</w:t>
            </w:r>
          </w:p>
        </w:tc>
      </w:tr>
      <w:tr w14:paraId="4F773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restart"/>
            <w:tcBorders>
              <w:top w:val="single" w:color="auto" w:sz="4" w:space="0"/>
              <w:tl2br w:val="nil"/>
            </w:tcBorders>
            <w:vAlign w:val="center"/>
          </w:tcPr>
          <w:p w14:paraId="77A3488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w:t>
            </w:r>
          </w:p>
        </w:tc>
        <w:tc>
          <w:tcPr>
            <w:tcW w:w="684" w:type="pct"/>
            <w:tcBorders>
              <w:top w:val="single" w:color="auto" w:sz="4" w:space="0"/>
              <w:tl2br w:val="nil"/>
            </w:tcBorders>
            <w:vAlign w:val="center"/>
          </w:tcPr>
          <w:p w14:paraId="20DD4E4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场地平整</w:t>
            </w:r>
          </w:p>
        </w:tc>
        <w:tc>
          <w:tcPr>
            <w:tcW w:w="510" w:type="pct"/>
            <w:vAlign w:val="center"/>
          </w:tcPr>
          <w:p w14:paraId="7301789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-3S</w:t>
            </w:r>
          </w:p>
        </w:tc>
        <w:tc>
          <w:tcPr>
            <w:tcW w:w="512" w:type="pct"/>
            <w:vAlign w:val="center"/>
          </w:tcPr>
          <w:p w14:paraId="053784C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2BE3A6A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7FCA13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3" w:type="pct"/>
            <w:vAlign w:val="center"/>
          </w:tcPr>
          <w:p w14:paraId="33FC0FB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427" w:type="pct"/>
            <w:vAlign w:val="center"/>
          </w:tcPr>
          <w:p w14:paraId="77CC2B1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32" w:type="pct"/>
            <w:vAlign w:val="center"/>
          </w:tcPr>
          <w:p w14:paraId="4B5E55F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456" w:type="pct"/>
            <w:vAlign w:val="center"/>
          </w:tcPr>
          <w:p w14:paraId="79AF98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r>
      <w:tr w14:paraId="39E034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0" w:type="auto"/>
            <w:vMerge w:val="continue"/>
            <w:tcBorders>
              <w:tl2br w:val="nil"/>
            </w:tcBorders>
            <w:vAlign w:val="center"/>
          </w:tcPr>
          <w:p w14:paraId="39EF892F">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26D67B6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施工建设</w:t>
            </w:r>
          </w:p>
        </w:tc>
        <w:tc>
          <w:tcPr>
            <w:tcW w:w="510" w:type="pct"/>
            <w:vAlign w:val="center"/>
          </w:tcPr>
          <w:p w14:paraId="3366FE0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2" w:type="pct"/>
            <w:vAlign w:val="center"/>
          </w:tcPr>
          <w:p w14:paraId="2FDB7A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4B7466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2" w:type="pct"/>
            <w:vAlign w:val="center"/>
          </w:tcPr>
          <w:p w14:paraId="34AA4D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3" w:type="pct"/>
            <w:vAlign w:val="center"/>
          </w:tcPr>
          <w:p w14:paraId="398774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427" w:type="pct"/>
            <w:vAlign w:val="center"/>
          </w:tcPr>
          <w:p w14:paraId="359F5C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32" w:type="pct"/>
            <w:vAlign w:val="center"/>
          </w:tcPr>
          <w:p w14:paraId="337EA4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56" w:type="pct"/>
            <w:vAlign w:val="center"/>
          </w:tcPr>
          <w:p w14:paraId="290BA79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r>
      <w:tr w14:paraId="4DAD4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continue"/>
            <w:tcBorders>
              <w:tl2br w:val="nil"/>
            </w:tcBorders>
            <w:vAlign w:val="center"/>
          </w:tcPr>
          <w:p w14:paraId="409D724E">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729B3D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物料运输</w:t>
            </w:r>
          </w:p>
        </w:tc>
        <w:tc>
          <w:tcPr>
            <w:tcW w:w="510" w:type="pct"/>
            <w:vAlign w:val="center"/>
          </w:tcPr>
          <w:p w14:paraId="3A71442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72ED74B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4C658E8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tcPr>
          <w:p w14:paraId="07F35A3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3" w:type="pct"/>
          </w:tcPr>
          <w:p w14:paraId="0E72F7A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27" w:type="pct"/>
            <w:vAlign w:val="center"/>
          </w:tcPr>
          <w:p w14:paraId="710AED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32" w:type="pct"/>
            <w:vAlign w:val="center"/>
          </w:tcPr>
          <w:p w14:paraId="55EF61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56" w:type="pct"/>
            <w:vAlign w:val="center"/>
          </w:tcPr>
          <w:p w14:paraId="67DC157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6D43D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continue"/>
            <w:tcBorders>
              <w:tl2br w:val="nil"/>
            </w:tcBorders>
            <w:vAlign w:val="center"/>
          </w:tcPr>
          <w:p w14:paraId="09249804">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30B23C7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污水管线</w:t>
            </w:r>
          </w:p>
        </w:tc>
        <w:tc>
          <w:tcPr>
            <w:tcW w:w="510" w:type="pct"/>
            <w:vAlign w:val="center"/>
          </w:tcPr>
          <w:p w14:paraId="48ADC4F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4D151E0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4DF6D3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2" w:type="pct"/>
            <w:vAlign w:val="center"/>
          </w:tcPr>
          <w:p w14:paraId="0FFB331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c>
          <w:tcPr>
            <w:tcW w:w="513" w:type="pct"/>
            <w:vAlign w:val="center"/>
          </w:tcPr>
          <w:p w14:paraId="301CA59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27" w:type="pct"/>
            <w:vAlign w:val="center"/>
          </w:tcPr>
          <w:p w14:paraId="1A74B94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32" w:type="pct"/>
            <w:vAlign w:val="center"/>
          </w:tcPr>
          <w:p w14:paraId="5D11FF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56" w:type="pct"/>
            <w:vAlign w:val="center"/>
          </w:tcPr>
          <w:p w14:paraId="592C8A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r>
      <w:tr w14:paraId="1006C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restart"/>
            <w:tcBorders>
              <w:tl2br w:val="nil"/>
            </w:tcBorders>
            <w:vAlign w:val="center"/>
          </w:tcPr>
          <w:p w14:paraId="0428F01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运营期</w:t>
            </w:r>
          </w:p>
        </w:tc>
        <w:tc>
          <w:tcPr>
            <w:tcW w:w="684" w:type="pct"/>
            <w:tcBorders>
              <w:tl2br w:val="nil"/>
            </w:tcBorders>
            <w:vAlign w:val="center"/>
          </w:tcPr>
          <w:p w14:paraId="0EE430B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物料运输</w:t>
            </w:r>
          </w:p>
        </w:tc>
        <w:tc>
          <w:tcPr>
            <w:tcW w:w="510" w:type="pct"/>
            <w:vAlign w:val="center"/>
          </w:tcPr>
          <w:p w14:paraId="7C7B168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2" w:type="pct"/>
            <w:vAlign w:val="center"/>
          </w:tcPr>
          <w:p w14:paraId="435B434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3D834E7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2" w:type="pct"/>
            <w:vAlign w:val="center"/>
          </w:tcPr>
          <w:p w14:paraId="70B866C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3" w:type="pct"/>
            <w:vAlign w:val="center"/>
          </w:tcPr>
          <w:p w14:paraId="372AAF5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27" w:type="pct"/>
            <w:vAlign w:val="center"/>
          </w:tcPr>
          <w:p w14:paraId="2C7FDBF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32" w:type="pct"/>
            <w:vAlign w:val="center"/>
          </w:tcPr>
          <w:p w14:paraId="7529BF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56" w:type="pct"/>
            <w:vAlign w:val="center"/>
          </w:tcPr>
          <w:p w14:paraId="450AF89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09617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341" w:type="pct"/>
            <w:vMerge w:val="continue"/>
            <w:tcBorders>
              <w:tl2br w:val="nil"/>
            </w:tcBorders>
            <w:vAlign w:val="center"/>
          </w:tcPr>
          <w:p w14:paraId="4FFA780A">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3882DC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职工生活</w:t>
            </w:r>
          </w:p>
        </w:tc>
        <w:tc>
          <w:tcPr>
            <w:tcW w:w="510" w:type="pct"/>
            <w:vAlign w:val="center"/>
          </w:tcPr>
          <w:p w14:paraId="7088A37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512" w:type="pct"/>
            <w:vAlign w:val="center"/>
          </w:tcPr>
          <w:p w14:paraId="6A2FAA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2" w:type="pct"/>
            <w:vAlign w:val="center"/>
          </w:tcPr>
          <w:p w14:paraId="4647D97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11A5F73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3" w:type="pct"/>
            <w:vAlign w:val="center"/>
          </w:tcPr>
          <w:p w14:paraId="176B4F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27" w:type="pct"/>
            <w:vAlign w:val="center"/>
          </w:tcPr>
          <w:p w14:paraId="54436F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32" w:type="pct"/>
            <w:vAlign w:val="center"/>
          </w:tcPr>
          <w:p w14:paraId="37ECA5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56" w:type="pct"/>
          </w:tcPr>
          <w:p w14:paraId="231BC5A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3AE20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341" w:type="pct"/>
            <w:vMerge w:val="continue"/>
            <w:tcBorders>
              <w:tl2br w:val="nil"/>
            </w:tcBorders>
            <w:vAlign w:val="center"/>
          </w:tcPr>
          <w:p w14:paraId="52062D32">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100A403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废气排放</w:t>
            </w:r>
          </w:p>
        </w:tc>
        <w:tc>
          <w:tcPr>
            <w:tcW w:w="510" w:type="pct"/>
            <w:vAlign w:val="center"/>
          </w:tcPr>
          <w:p w14:paraId="3C25E07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2" w:type="pct"/>
            <w:vAlign w:val="center"/>
          </w:tcPr>
          <w:p w14:paraId="5B433A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4CF5E524">
            <w:pPr>
              <w:pStyle w:val="146"/>
              <w:rPr>
                <w:rFonts w:hint="eastAsia" w:ascii="Times New Roman" w:hAnsi="Times New Roman" w:eastAsia="宋体" w:cs="Times New Roman"/>
                <w:snapToGrid w:val="0"/>
                <w:color w:val="auto"/>
                <w:highlight w:val="none"/>
                <w:lang w:eastAsia="zh-CN"/>
              </w:rPr>
            </w:pPr>
            <w:r>
              <w:rPr>
                <w:rFonts w:hint="eastAsia" w:eastAsia="宋体" w:cs="Times New Roman"/>
                <w:color w:val="auto"/>
                <w:highlight w:val="none"/>
                <w:lang w:val="en-US" w:eastAsia="zh-CN"/>
              </w:rPr>
              <w:t>/</w:t>
            </w:r>
          </w:p>
        </w:tc>
        <w:tc>
          <w:tcPr>
            <w:tcW w:w="512" w:type="pct"/>
            <w:vAlign w:val="center"/>
          </w:tcPr>
          <w:p w14:paraId="618C7A50">
            <w:pPr>
              <w:pStyle w:val="146"/>
              <w:rPr>
                <w:rFonts w:hint="eastAsia" w:ascii="Times New Roman" w:hAnsi="Times New Roman" w:eastAsia="宋体" w:cs="Times New Roman"/>
                <w:snapToGrid w:val="0"/>
                <w:color w:val="auto"/>
                <w:highlight w:val="none"/>
                <w:lang w:eastAsia="zh-CN"/>
              </w:rPr>
            </w:pPr>
            <w:r>
              <w:rPr>
                <w:rFonts w:hint="eastAsia" w:eastAsia="宋体" w:cs="Times New Roman"/>
                <w:color w:val="auto"/>
                <w:highlight w:val="none"/>
                <w:lang w:val="en-US" w:eastAsia="zh-CN"/>
              </w:rPr>
              <w:t>/</w:t>
            </w:r>
          </w:p>
        </w:tc>
        <w:tc>
          <w:tcPr>
            <w:tcW w:w="513" w:type="pct"/>
            <w:vAlign w:val="center"/>
          </w:tcPr>
          <w:p w14:paraId="23B7719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427" w:type="pct"/>
            <w:vAlign w:val="center"/>
          </w:tcPr>
          <w:p w14:paraId="091C0F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532" w:type="pct"/>
            <w:vAlign w:val="center"/>
          </w:tcPr>
          <w:p w14:paraId="5E23584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56" w:type="pct"/>
          </w:tcPr>
          <w:p w14:paraId="38FD8CD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3D38D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341" w:type="pct"/>
            <w:vMerge w:val="continue"/>
            <w:tcBorders>
              <w:tl2br w:val="nil"/>
            </w:tcBorders>
            <w:vAlign w:val="center"/>
          </w:tcPr>
          <w:p w14:paraId="41EBE0E6">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47F473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废水排放</w:t>
            </w:r>
          </w:p>
        </w:tc>
        <w:tc>
          <w:tcPr>
            <w:tcW w:w="510" w:type="pct"/>
            <w:vAlign w:val="center"/>
          </w:tcPr>
          <w:p w14:paraId="675033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512" w:type="pct"/>
            <w:vAlign w:val="center"/>
          </w:tcPr>
          <w:p w14:paraId="37D27C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7348D7D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2" w:type="pct"/>
            <w:vAlign w:val="center"/>
          </w:tcPr>
          <w:p w14:paraId="79CBF8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13" w:type="pct"/>
            <w:vAlign w:val="center"/>
          </w:tcPr>
          <w:p w14:paraId="4D8276E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27" w:type="pct"/>
            <w:vAlign w:val="center"/>
          </w:tcPr>
          <w:p w14:paraId="0C20132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32" w:type="pct"/>
            <w:vAlign w:val="center"/>
          </w:tcPr>
          <w:p w14:paraId="67DDE9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456" w:type="pct"/>
          </w:tcPr>
          <w:p w14:paraId="6FFFB84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1038A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341" w:type="pct"/>
            <w:vMerge w:val="continue"/>
            <w:tcBorders>
              <w:tl2br w:val="nil"/>
            </w:tcBorders>
            <w:vAlign w:val="center"/>
          </w:tcPr>
          <w:p w14:paraId="7234B7E9">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3A7564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固废产生</w:t>
            </w:r>
          </w:p>
        </w:tc>
        <w:tc>
          <w:tcPr>
            <w:tcW w:w="510" w:type="pct"/>
            <w:vAlign w:val="center"/>
          </w:tcPr>
          <w:p w14:paraId="626B25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512" w:type="pct"/>
            <w:vAlign w:val="center"/>
          </w:tcPr>
          <w:p w14:paraId="20EE19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40A0F20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600621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-2L</w:t>
            </w:r>
          </w:p>
        </w:tc>
        <w:tc>
          <w:tcPr>
            <w:tcW w:w="513" w:type="pct"/>
            <w:vAlign w:val="center"/>
          </w:tcPr>
          <w:p w14:paraId="528CFD9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27" w:type="pct"/>
            <w:vAlign w:val="center"/>
          </w:tcPr>
          <w:p w14:paraId="143CCD3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532" w:type="pct"/>
            <w:vAlign w:val="center"/>
          </w:tcPr>
          <w:p w14:paraId="37B77E9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-1L</w:t>
            </w:r>
          </w:p>
        </w:tc>
        <w:tc>
          <w:tcPr>
            <w:tcW w:w="456" w:type="pct"/>
          </w:tcPr>
          <w:p w14:paraId="6ECBAF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6A216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 w:hRule="atLeast"/>
          <w:jc w:val="center"/>
        </w:trPr>
        <w:tc>
          <w:tcPr>
            <w:tcW w:w="341" w:type="pct"/>
            <w:vMerge w:val="continue"/>
            <w:tcBorders>
              <w:tl2br w:val="nil"/>
            </w:tcBorders>
            <w:vAlign w:val="center"/>
          </w:tcPr>
          <w:p w14:paraId="085575A7">
            <w:pPr>
              <w:pStyle w:val="146"/>
              <w:rPr>
                <w:rFonts w:hint="default" w:ascii="Times New Roman" w:hAnsi="Times New Roman" w:eastAsia="宋体" w:cs="Times New Roman"/>
                <w:snapToGrid w:val="0"/>
                <w:color w:val="auto"/>
                <w:highlight w:val="none"/>
              </w:rPr>
            </w:pPr>
          </w:p>
        </w:tc>
        <w:tc>
          <w:tcPr>
            <w:tcW w:w="684" w:type="pct"/>
            <w:tcBorders>
              <w:tl2br w:val="nil"/>
            </w:tcBorders>
            <w:vAlign w:val="center"/>
          </w:tcPr>
          <w:p w14:paraId="30763D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事故风险</w:t>
            </w:r>
          </w:p>
        </w:tc>
        <w:tc>
          <w:tcPr>
            <w:tcW w:w="510" w:type="pct"/>
            <w:vAlign w:val="center"/>
          </w:tcPr>
          <w:p w14:paraId="28AF35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2" w:type="pct"/>
            <w:vAlign w:val="center"/>
          </w:tcPr>
          <w:p w14:paraId="3AE4CC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2" w:type="pct"/>
            <w:vAlign w:val="center"/>
          </w:tcPr>
          <w:p w14:paraId="39547EB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w:t>
            </w:r>
          </w:p>
        </w:tc>
        <w:tc>
          <w:tcPr>
            <w:tcW w:w="512" w:type="pct"/>
            <w:vAlign w:val="center"/>
          </w:tcPr>
          <w:p w14:paraId="7CFBA1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13" w:type="pct"/>
            <w:vAlign w:val="center"/>
          </w:tcPr>
          <w:p w14:paraId="0AFAF46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427" w:type="pct"/>
            <w:vAlign w:val="center"/>
          </w:tcPr>
          <w:p w14:paraId="5FDD032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532" w:type="pct"/>
            <w:vAlign w:val="center"/>
          </w:tcPr>
          <w:p w14:paraId="7C86D0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-2S</w:t>
            </w:r>
          </w:p>
        </w:tc>
        <w:tc>
          <w:tcPr>
            <w:tcW w:w="456" w:type="pct"/>
          </w:tcPr>
          <w:p w14:paraId="5072D49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-1S</w:t>
            </w:r>
          </w:p>
        </w:tc>
      </w:tr>
      <w:tr w14:paraId="15DE4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2" w:hRule="atLeast"/>
          <w:jc w:val="center"/>
        </w:trPr>
        <w:tc>
          <w:tcPr>
            <w:tcW w:w="5000" w:type="pct"/>
            <w:gridSpan w:val="10"/>
            <w:tcBorders>
              <w:bottom w:val="single" w:color="auto" w:sz="12" w:space="0"/>
              <w:tl2br w:val="nil"/>
            </w:tcBorders>
            <w:vAlign w:val="center"/>
          </w:tcPr>
          <w:p w14:paraId="409CF72B">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注：表中“+”表示有利影响，“-”表示不利影响；“1”表示轻微影响，“2”表示中等影响，“3”表示重大影响；“L”表示长期影响，“S”表示短期影响，“</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snapToGrid w:val="0"/>
                <w:color w:val="auto"/>
                <w:highlight w:val="none"/>
              </w:rPr>
              <w:t>”表示无相互作用。</w:t>
            </w:r>
          </w:p>
        </w:tc>
      </w:tr>
      <w:bookmarkEnd w:id="89"/>
    </w:tbl>
    <w:p w14:paraId="334BFD8F">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2.4.1.1施工期</w:t>
      </w:r>
    </w:p>
    <w:p w14:paraId="63D8720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（1）废气</w:t>
      </w:r>
    </w:p>
    <w:p w14:paraId="5E44592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建筑施工中土石方的开挖、运输施工活动等会造成扬尘，污染大气环境；机械及施工车辆排放废气将对环境造成一定影响。</w:t>
      </w:r>
    </w:p>
    <w:p w14:paraId="74D7CB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（2）废水</w:t>
      </w:r>
    </w:p>
    <w:p w14:paraId="6AD147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施工期产生的生产、生活污水，若不进行妥善处理，将对周边地表水环境产生不良影响。</w:t>
      </w:r>
    </w:p>
    <w:p w14:paraId="3D03123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（3）噪声</w:t>
      </w:r>
    </w:p>
    <w:p w14:paraId="6A2CB81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施工过程中车辆行驶、土建施工和设备安装等噪声，会对周围声环境产生一定影响；</w:t>
      </w:r>
    </w:p>
    <w:p w14:paraId="49A58D0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（4）固体废物</w:t>
      </w:r>
    </w:p>
    <w:p w14:paraId="6C75557E">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施工人员生活垃圾、建筑垃圾、弃土如不妥善处置，将对周围环境造成影响；项目施工过程中将造成一定的水土流失，对生态环境也会产生一定的影响。</w:t>
      </w:r>
    </w:p>
    <w:p w14:paraId="74062C28">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2.4.1.2运营期</w:t>
      </w:r>
    </w:p>
    <w:p w14:paraId="34D0C2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（1）废气</w:t>
      </w:r>
    </w:p>
    <w:p w14:paraId="4A78419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牛舍、堆肥间</w:t>
      </w:r>
      <w:r>
        <w:rPr>
          <w:rFonts w:hint="eastAsia" w:eastAsia="宋体" w:cs="Times New Roman"/>
          <w:color w:val="auto"/>
          <w:highlight w:val="none"/>
          <w:lang w:val="en-US" w:eastAsia="zh-CN"/>
        </w:rPr>
        <w:t>恶臭</w:t>
      </w:r>
      <w:r>
        <w:rPr>
          <w:rFonts w:hint="eastAsia" w:eastAsia="宋体" w:cs="Times New Roman"/>
          <w:color w:val="auto"/>
          <w:highlight w:val="none"/>
          <w:lang w:eastAsia="zh-CN"/>
        </w:rPr>
        <w:t>、</w:t>
      </w:r>
      <w:r>
        <w:rPr>
          <w:rFonts w:hint="eastAsia" w:eastAsia="宋体" w:cs="Times New Roman"/>
          <w:color w:val="auto"/>
          <w:highlight w:val="none"/>
          <w:lang w:val="en-US" w:eastAsia="zh-CN"/>
        </w:rPr>
        <w:t>储粪间、青贮窖异味</w:t>
      </w:r>
      <w:r>
        <w:rPr>
          <w:rFonts w:hint="default" w:ascii="Times New Roman" w:hAnsi="Times New Roman" w:eastAsia="宋体" w:cs="Times New Roman"/>
          <w:color w:val="auto"/>
          <w:highlight w:val="none"/>
        </w:rPr>
        <w:t>等将会对大气环境产生一定的影响。</w:t>
      </w:r>
    </w:p>
    <w:p w14:paraId="5DF565B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（2）废水</w:t>
      </w:r>
    </w:p>
    <w:p w14:paraId="2041D634">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生活污水</w:t>
      </w:r>
      <w:r>
        <w:rPr>
          <w:rFonts w:hint="eastAsia" w:eastAsia="宋体" w:cs="Times New Roman"/>
          <w:color w:val="auto"/>
          <w:szCs w:val="24"/>
          <w:highlight w:val="none"/>
          <w:lang w:eastAsia="zh-CN"/>
        </w:rPr>
        <w:t>、</w:t>
      </w:r>
      <w:r>
        <w:rPr>
          <w:rFonts w:hint="eastAsia" w:eastAsia="宋体" w:cs="Times New Roman"/>
          <w:color w:val="auto"/>
          <w:szCs w:val="24"/>
          <w:highlight w:val="none"/>
          <w:lang w:val="en-US" w:eastAsia="zh-CN"/>
        </w:rPr>
        <w:t>初期雨水</w:t>
      </w:r>
      <w:r>
        <w:rPr>
          <w:rFonts w:hint="default" w:ascii="Times New Roman" w:hAnsi="Times New Roman" w:eastAsia="宋体" w:cs="Times New Roman"/>
          <w:color w:val="auto"/>
          <w:szCs w:val="24"/>
          <w:highlight w:val="none"/>
        </w:rPr>
        <w:t>如不妥善处置，将对地表水、土壤和地下水产生一定的影响。</w:t>
      </w:r>
    </w:p>
    <w:p w14:paraId="65D3188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（3）噪声</w:t>
      </w:r>
    </w:p>
    <w:p w14:paraId="15D27ED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牛叫、设备噪声将会对周边声环境产生一定的影响。</w:t>
      </w:r>
    </w:p>
    <w:p w14:paraId="18DAA8B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（4）固体废物</w:t>
      </w:r>
    </w:p>
    <w:p w14:paraId="296BDD44">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废垫料</w:t>
      </w:r>
      <w:r>
        <w:rPr>
          <w:rFonts w:hint="default" w:ascii="Times New Roman" w:hAnsi="Times New Roman" w:eastAsia="宋体" w:cs="Times New Roman"/>
          <w:color w:val="auto"/>
          <w:highlight w:val="none"/>
        </w:rPr>
        <w:t>、病死牛尸体、医疗废物</w:t>
      </w:r>
      <w:r>
        <w:rPr>
          <w:rFonts w:hint="eastAsia" w:eastAsia="宋体" w:cs="Times New Roman"/>
          <w:color w:val="auto"/>
          <w:highlight w:val="none"/>
          <w:lang w:eastAsia="zh-CN"/>
        </w:rPr>
        <w:t>、</w:t>
      </w:r>
      <w:r>
        <w:rPr>
          <w:rFonts w:hint="eastAsia" w:eastAsia="宋体" w:cs="Times New Roman"/>
          <w:color w:val="auto"/>
          <w:highlight w:val="none"/>
          <w:lang w:val="en-US" w:eastAsia="zh-CN"/>
        </w:rPr>
        <w:t>废活性炭</w:t>
      </w:r>
      <w:r>
        <w:rPr>
          <w:rFonts w:hint="default" w:ascii="Times New Roman" w:hAnsi="Times New Roman" w:eastAsia="宋体" w:cs="Times New Roman"/>
          <w:color w:val="auto"/>
          <w:highlight w:val="none"/>
        </w:rPr>
        <w:t>和生活垃圾等，如不妥善处理，向外排放，将对周边环境产生一定影响。</w:t>
      </w:r>
    </w:p>
    <w:p w14:paraId="6AF18D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（5）生态环境</w:t>
      </w:r>
    </w:p>
    <w:p w14:paraId="53B00200">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项目永久占地将改变土地利用类型，对动植物、景观生态产生一定影响。</w:t>
      </w:r>
    </w:p>
    <w:p w14:paraId="4F6D984B">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表2-4-2环境影响因素识别一览表</w:t>
      </w:r>
    </w:p>
    <w:tbl>
      <w:tblPr>
        <w:tblStyle w:val="47"/>
        <w:tblW w:w="47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57"/>
        <w:gridCol w:w="3045"/>
        <w:gridCol w:w="3258"/>
      </w:tblGrid>
      <w:tr w14:paraId="24721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04" w:type="pct"/>
            <w:gridSpan w:val="2"/>
            <w:vAlign w:val="center"/>
          </w:tcPr>
          <w:p w14:paraId="44BB0F0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tc>
        <w:tc>
          <w:tcPr>
            <w:tcW w:w="1930" w:type="pct"/>
            <w:vAlign w:val="center"/>
          </w:tcPr>
          <w:p w14:paraId="4897CC6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污染来源</w:t>
            </w:r>
          </w:p>
        </w:tc>
        <w:tc>
          <w:tcPr>
            <w:tcW w:w="2065" w:type="pct"/>
            <w:vAlign w:val="center"/>
          </w:tcPr>
          <w:p w14:paraId="32BB42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污染因子</w:t>
            </w:r>
          </w:p>
        </w:tc>
      </w:tr>
      <w:tr w14:paraId="13048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restart"/>
            <w:vAlign w:val="center"/>
          </w:tcPr>
          <w:p w14:paraId="2F7F1D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w:t>
            </w:r>
          </w:p>
        </w:tc>
        <w:tc>
          <w:tcPr>
            <w:tcW w:w="734" w:type="pct"/>
            <w:vAlign w:val="center"/>
          </w:tcPr>
          <w:p w14:paraId="3CB591C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1930" w:type="pct"/>
            <w:vAlign w:val="center"/>
          </w:tcPr>
          <w:p w14:paraId="6375A1B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施工活动、机械及施工车辆</w:t>
            </w:r>
          </w:p>
        </w:tc>
        <w:tc>
          <w:tcPr>
            <w:tcW w:w="2065" w:type="pct"/>
            <w:vAlign w:val="center"/>
          </w:tcPr>
          <w:p w14:paraId="5995B63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TSP、CO、NO</w:t>
            </w:r>
            <w:r>
              <w:rPr>
                <w:rFonts w:hint="default" w:ascii="Times New Roman" w:hAnsi="Times New Roman" w:eastAsia="宋体" w:cs="Times New Roman"/>
                <w:snapToGrid w:val="0"/>
                <w:color w:val="auto"/>
                <w:highlight w:val="none"/>
                <w:vertAlign w:val="subscript"/>
              </w:rPr>
              <w:t>x</w:t>
            </w:r>
          </w:p>
        </w:tc>
      </w:tr>
      <w:tr w14:paraId="167837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32450038">
            <w:pPr>
              <w:pStyle w:val="146"/>
              <w:rPr>
                <w:rFonts w:hint="default" w:ascii="Times New Roman" w:hAnsi="Times New Roman" w:eastAsia="宋体" w:cs="Times New Roman"/>
                <w:snapToGrid w:val="0"/>
                <w:color w:val="auto"/>
                <w:highlight w:val="none"/>
              </w:rPr>
            </w:pPr>
          </w:p>
        </w:tc>
        <w:tc>
          <w:tcPr>
            <w:tcW w:w="734" w:type="pct"/>
            <w:vAlign w:val="center"/>
          </w:tcPr>
          <w:p w14:paraId="3DAA5D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1930" w:type="pct"/>
            <w:vAlign w:val="center"/>
          </w:tcPr>
          <w:p w14:paraId="5FF6A8D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施工活动和施工人员生活</w:t>
            </w:r>
          </w:p>
        </w:tc>
        <w:tc>
          <w:tcPr>
            <w:tcW w:w="2065" w:type="pct"/>
            <w:vAlign w:val="center"/>
          </w:tcPr>
          <w:p w14:paraId="7E0DE7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COD、BOD</w:t>
            </w:r>
            <w:r>
              <w:rPr>
                <w:rFonts w:hint="default" w:ascii="Times New Roman" w:hAnsi="Times New Roman" w:eastAsia="宋体" w:cs="Times New Roman"/>
                <w:snapToGrid w:val="0"/>
                <w:color w:val="auto"/>
                <w:highlight w:val="none"/>
                <w:vertAlign w:val="subscript"/>
              </w:rPr>
              <w:t>5</w:t>
            </w:r>
            <w:r>
              <w:rPr>
                <w:rFonts w:hint="default" w:ascii="Times New Roman" w:hAnsi="Times New Roman" w:eastAsia="宋体" w:cs="Times New Roman"/>
                <w:snapToGrid w:val="0"/>
                <w:color w:val="auto"/>
                <w:highlight w:val="none"/>
              </w:rPr>
              <w:t>、氨氮、SS、石油类</w:t>
            </w:r>
          </w:p>
        </w:tc>
      </w:tr>
      <w:tr w14:paraId="75F5F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5A698D6F">
            <w:pPr>
              <w:pStyle w:val="146"/>
              <w:rPr>
                <w:rFonts w:hint="default" w:ascii="Times New Roman" w:hAnsi="Times New Roman" w:eastAsia="宋体" w:cs="Times New Roman"/>
                <w:snapToGrid w:val="0"/>
                <w:color w:val="auto"/>
                <w:highlight w:val="none"/>
              </w:rPr>
            </w:pPr>
          </w:p>
        </w:tc>
        <w:tc>
          <w:tcPr>
            <w:tcW w:w="734" w:type="pct"/>
            <w:vAlign w:val="center"/>
          </w:tcPr>
          <w:p w14:paraId="414C632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930" w:type="pct"/>
            <w:vAlign w:val="center"/>
          </w:tcPr>
          <w:p w14:paraId="40EA83B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施工活动和机械设备</w:t>
            </w:r>
          </w:p>
        </w:tc>
        <w:tc>
          <w:tcPr>
            <w:tcW w:w="2065" w:type="pct"/>
            <w:vAlign w:val="center"/>
          </w:tcPr>
          <w:p w14:paraId="0020F2D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等效连续A声级Leq（A）</w:t>
            </w:r>
          </w:p>
        </w:tc>
      </w:tr>
      <w:tr w14:paraId="7A467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4EB02D1F">
            <w:pPr>
              <w:pStyle w:val="146"/>
              <w:rPr>
                <w:rFonts w:hint="default" w:ascii="Times New Roman" w:hAnsi="Times New Roman" w:eastAsia="宋体" w:cs="Times New Roman"/>
                <w:snapToGrid w:val="0"/>
                <w:color w:val="auto"/>
                <w:highlight w:val="none"/>
              </w:rPr>
            </w:pPr>
          </w:p>
        </w:tc>
        <w:tc>
          <w:tcPr>
            <w:tcW w:w="734" w:type="pct"/>
            <w:vAlign w:val="center"/>
          </w:tcPr>
          <w:p w14:paraId="0304EC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1930" w:type="pct"/>
            <w:vAlign w:val="center"/>
          </w:tcPr>
          <w:p w14:paraId="2F05EA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建筑物施工和施工人员生活</w:t>
            </w:r>
          </w:p>
        </w:tc>
        <w:tc>
          <w:tcPr>
            <w:tcW w:w="2065" w:type="pct"/>
            <w:vAlign w:val="center"/>
          </w:tcPr>
          <w:p w14:paraId="62FA42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建筑垃圾、施工人员生活垃圾</w:t>
            </w:r>
          </w:p>
        </w:tc>
      </w:tr>
      <w:tr w14:paraId="2CD55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40826121">
            <w:pPr>
              <w:pStyle w:val="146"/>
              <w:rPr>
                <w:rFonts w:hint="default" w:ascii="Times New Roman" w:hAnsi="Times New Roman" w:eastAsia="宋体" w:cs="Times New Roman"/>
                <w:snapToGrid w:val="0"/>
                <w:color w:val="auto"/>
                <w:highlight w:val="none"/>
              </w:rPr>
            </w:pPr>
          </w:p>
        </w:tc>
        <w:tc>
          <w:tcPr>
            <w:tcW w:w="734" w:type="pct"/>
            <w:vAlign w:val="center"/>
          </w:tcPr>
          <w:p w14:paraId="4D3FD9D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水土流失</w:t>
            </w:r>
          </w:p>
        </w:tc>
        <w:tc>
          <w:tcPr>
            <w:tcW w:w="1930" w:type="pct"/>
            <w:vAlign w:val="center"/>
          </w:tcPr>
          <w:p w14:paraId="3EC6B8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土石方开挖等</w:t>
            </w:r>
          </w:p>
        </w:tc>
        <w:tc>
          <w:tcPr>
            <w:tcW w:w="2065" w:type="pct"/>
            <w:vAlign w:val="center"/>
          </w:tcPr>
          <w:p w14:paraId="36CE471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61AE2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restart"/>
            <w:vAlign w:val="center"/>
          </w:tcPr>
          <w:p w14:paraId="32005C1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运营期</w:t>
            </w:r>
          </w:p>
        </w:tc>
        <w:tc>
          <w:tcPr>
            <w:tcW w:w="734" w:type="pct"/>
            <w:vAlign w:val="center"/>
          </w:tcPr>
          <w:p w14:paraId="2F66C7A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1930" w:type="pct"/>
            <w:vAlign w:val="center"/>
          </w:tcPr>
          <w:p w14:paraId="01BD762D">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牛舍、堆肥间恶臭</w:t>
            </w:r>
            <w:r>
              <w:rPr>
                <w:rFonts w:hint="eastAsia" w:eastAsia="宋体" w:cs="Times New Roman"/>
                <w:snapToGrid w:val="0"/>
                <w:color w:val="auto"/>
                <w:highlight w:val="none"/>
                <w:lang w:eastAsia="zh-CN"/>
              </w:rPr>
              <w:t>、</w:t>
            </w:r>
            <w:r>
              <w:rPr>
                <w:rFonts w:hint="eastAsia" w:eastAsia="宋体" w:cs="Times New Roman"/>
                <w:snapToGrid w:val="0"/>
                <w:color w:val="auto"/>
                <w:highlight w:val="none"/>
                <w:lang w:val="en-US" w:eastAsia="zh-CN"/>
              </w:rPr>
              <w:t>储粪间、青贮窖异味</w:t>
            </w:r>
          </w:p>
        </w:tc>
        <w:tc>
          <w:tcPr>
            <w:tcW w:w="2065" w:type="pct"/>
            <w:vAlign w:val="center"/>
          </w:tcPr>
          <w:p w14:paraId="51C4A17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S、臭气浓度</w:t>
            </w:r>
          </w:p>
        </w:tc>
      </w:tr>
      <w:tr w14:paraId="6DCCA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0" w:hRule="atLeast"/>
          <w:jc w:val="center"/>
        </w:trPr>
        <w:tc>
          <w:tcPr>
            <w:tcW w:w="270" w:type="pct"/>
            <w:vMerge w:val="continue"/>
            <w:vAlign w:val="center"/>
          </w:tcPr>
          <w:p w14:paraId="3C9C1AEF">
            <w:pPr>
              <w:pStyle w:val="146"/>
              <w:rPr>
                <w:rFonts w:hint="default" w:ascii="Times New Roman" w:hAnsi="Times New Roman" w:eastAsia="宋体" w:cs="Times New Roman"/>
                <w:snapToGrid w:val="0"/>
                <w:color w:val="auto"/>
                <w:highlight w:val="none"/>
              </w:rPr>
            </w:pPr>
          </w:p>
        </w:tc>
        <w:tc>
          <w:tcPr>
            <w:tcW w:w="734" w:type="pct"/>
            <w:vAlign w:val="center"/>
          </w:tcPr>
          <w:p w14:paraId="58CDBD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1930" w:type="pct"/>
            <w:vAlign w:val="center"/>
          </w:tcPr>
          <w:p w14:paraId="4F5CA87C">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养殖废水、</w:t>
            </w:r>
            <w:r>
              <w:rPr>
                <w:rFonts w:hint="default" w:ascii="Times New Roman" w:hAnsi="Times New Roman" w:eastAsia="宋体" w:cs="Times New Roman"/>
                <w:snapToGrid w:val="0"/>
                <w:color w:val="auto"/>
                <w:highlight w:val="none"/>
              </w:rPr>
              <w:t>生活污水</w:t>
            </w:r>
            <w:r>
              <w:rPr>
                <w:rFonts w:hint="eastAsia" w:eastAsia="宋体" w:cs="Times New Roman"/>
                <w:snapToGrid w:val="0"/>
                <w:color w:val="auto"/>
                <w:highlight w:val="none"/>
                <w:lang w:val="en-US" w:eastAsia="zh-CN"/>
              </w:rPr>
              <w:t>等</w:t>
            </w:r>
          </w:p>
        </w:tc>
        <w:tc>
          <w:tcPr>
            <w:tcW w:w="2065" w:type="pct"/>
            <w:vAlign w:val="center"/>
          </w:tcPr>
          <w:p w14:paraId="7F09C72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-N等</w:t>
            </w:r>
          </w:p>
        </w:tc>
      </w:tr>
      <w:tr w14:paraId="6C0BC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01C73F5A">
            <w:pPr>
              <w:pStyle w:val="146"/>
              <w:rPr>
                <w:rFonts w:hint="default" w:ascii="Times New Roman" w:hAnsi="Times New Roman" w:eastAsia="宋体" w:cs="Times New Roman"/>
                <w:snapToGrid w:val="0"/>
                <w:color w:val="auto"/>
                <w:highlight w:val="none"/>
              </w:rPr>
            </w:pPr>
          </w:p>
        </w:tc>
        <w:tc>
          <w:tcPr>
            <w:tcW w:w="734" w:type="pct"/>
            <w:vAlign w:val="center"/>
          </w:tcPr>
          <w:p w14:paraId="621897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930" w:type="pct"/>
            <w:tcMar>
              <w:left w:w="0" w:type="dxa"/>
              <w:right w:w="0" w:type="dxa"/>
            </w:tcMar>
            <w:vAlign w:val="center"/>
          </w:tcPr>
          <w:p w14:paraId="77F2B5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牛叫、水泵、风机等设备</w:t>
            </w:r>
          </w:p>
        </w:tc>
        <w:tc>
          <w:tcPr>
            <w:tcW w:w="2065" w:type="pct"/>
            <w:vAlign w:val="center"/>
          </w:tcPr>
          <w:p w14:paraId="204B586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等效连续A声级Leq（A）</w:t>
            </w:r>
          </w:p>
        </w:tc>
      </w:tr>
      <w:tr w14:paraId="04892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46B66242">
            <w:pPr>
              <w:pStyle w:val="146"/>
              <w:rPr>
                <w:rFonts w:hint="default" w:ascii="Times New Roman" w:hAnsi="Times New Roman" w:eastAsia="宋体" w:cs="Times New Roman"/>
                <w:snapToGrid w:val="0"/>
                <w:color w:val="auto"/>
                <w:highlight w:val="none"/>
              </w:rPr>
            </w:pPr>
          </w:p>
        </w:tc>
        <w:tc>
          <w:tcPr>
            <w:tcW w:w="734" w:type="pct"/>
            <w:vMerge w:val="restart"/>
            <w:vAlign w:val="center"/>
          </w:tcPr>
          <w:p w14:paraId="2685C8F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1930" w:type="pct"/>
            <w:vMerge w:val="restart"/>
            <w:vAlign w:val="center"/>
          </w:tcPr>
          <w:p w14:paraId="71842B2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w:t>
            </w:r>
          </w:p>
        </w:tc>
        <w:tc>
          <w:tcPr>
            <w:tcW w:w="2065" w:type="pct"/>
            <w:vAlign w:val="center"/>
          </w:tcPr>
          <w:p w14:paraId="09F5FD0F">
            <w:pPr>
              <w:pStyle w:val="146"/>
              <w:rPr>
                <w:rFonts w:hint="eastAsia" w:ascii="Times New Roman" w:hAnsi="Times New Roman" w:eastAsia="宋体" w:cs="Times New Roman"/>
                <w:snapToGrid w:val="0"/>
                <w:color w:val="auto"/>
                <w:highlight w:val="none"/>
                <w:lang w:eastAsia="zh-CN"/>
              </w:rPr>
            </w:pPr>
            <w:r>
              <w:rPr>
                <w:rFonts w:hint="eastAsia" w:eastAsia="宋体" w:cs="Times New Roman"/>
                <w:snapToGrid w:val="0"/>
                <w:color w:val="auto"/>
                <w:highlight w:val="none"/>
                <w:lang w:val="en-US" w:eastAsia="zh-CN"/>
              </w:rPr>
              <w:t>含粪污废垫料</w:t>
            </w:r>
          </w:p>
        </w:tc>
      </w:tr>
      <w:tr w14:paraId="77491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6FA60570">
            <w:pPr>
              <w:pStyle w:val="146"/>
              <w:rPr>
                <w:rFonts w:hint="default" w:ascii="Times New Roman" w:hAnsi="Times New Roman" w:eastAsia="宋体" w:cs="Times New Roman"/>
                <w:snapToGrid w:val="0"/>
                <w:color w:val="auto"/>
                <w:highlight w:val="none"/>
              </w:rPr>
            </w:pPr>
          </w:p>
        </w:tc>
        <w:tc>
          <w:tcPr>
            <w:tcW w:w="734" w:type="pct"/>
            <w:vMerge w:val="continue"/>
            <w:vAlign w:val="center"/>
          </w:tcPr>
          <w:p w14:paraId="0FF8CA69">
            <w:pPr>
              <w:pStyle w:val="146"/>
              <w:rPr>
                <w:rFonts w:hint="default" w:ascii="Times New Roman" w:hAnsi="Times New Roman" w:eastAsia="宋体" w:cs="Times New Roman"/>
                <w:snapToGrid w:val="0"/>
                <w:color w:val="auto"/>
                <w:highlight w:val="none"/>
              </w:rPr>
            </w:pPr>
          </w:p>
        </w:tc>
        <w:tc>
          <w:tcPr>
            <w:tcW w:w="1930" w:type="pct"/>
            <w:vMerge w:val="continue"/>
            <w:vAlign w:val="center"/>
          </w:tcPr>
          <w:p w14:paraId="5FAF0985">
            <w:pPr>
              <w:pStyle w:val="146"/>
              <w:rPr>
                <w:rFonts w:hint="default" w:ascii="Times New Roman" w:hAnsi="Times New Roman" w:eastAsia="宋体" w:cs="Times New Roman"/>
                <w:snapToGrid w:val="0"/>
                <w:color w:val="auto"/>
                <w:highlight w:val="none"/>
              </w:rPr>
            </w:pPr>
          </w:p>
        </w:tc>
        <w:tc>
          <w:tcPr>
            <w:tcW w:w="2065" w:type="pct"/>
            <w:vAlign w:val="center"/>
          </w:tcPr>
          <w:p w14:paraId="51B2642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病死牛尸体</w:t>
            </w:r>
          </w:p>
        </w:tc>
      </w:tr>
      <w:tr w14:paraId="4362B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3F571B83">
            <w:pPr>
              <w:pStyle w:val="146"/>
              <w:rPr>
                <w:rFonts w:hint="default" w:ascii="Times New Roman" w:hAnsi="Times New Roman" w:eastAsia="宋体" w:cs="Times New Roman"/>
                <w:snapToGrid w:val="0"/>
                <w:color w:val="auto"/>
                <w:highlight w:val="none"/>
              </w:rPr>
            </w:pPr>
          </w:p>
        </w:tc>
        <w:tc>
          <w:tcPr>
            <w:tcW w:w="734" w:type="pct"/>
            <w:vMerge w:val="continue"/>
            <w:vAlign w:val="center"/>
          </w:tcPr>
          <w:p w14:paraId="79142A53">
            <w:pPr>
              <w:pStyle w:val="146"/>
              <w:rPr>
                <w:rFonts w:hint="default" w:ascii="Times New Roman" w:hAnsi="Times New Roman" w:eastAsia="宋体" w:cs="Times New Roman"/>
                <w:snapToGrid w:val="0"/>
                <w:color w:val="auto"/>
                <w:highlight w:val="none"/>
              </w:rPr>
            </w:pPr>
          </w:p>
        </w:tc>
        <w:tc>
          <w:tcPr>
            <w:tcW w:w="1930" w:type="pct"/>
            <w:vMerge w:val="continue"/>
            <w:vAlign w:val="center"/>
          </w:tcPr>
          <w:p w14:paraId="31995A30">
            <w:pPr>
              <w:pStyle w:val="146"/>
              <w:rPr>
                <w:rFonts w:hint="default" w:ascii="Times New Roman" w:hAnsi="Times New Roman" w:eastAsia="宋体" w:cs="Times New Roman"/>
                <w:snapToGrid w:val="0"/>
                <w:color w:val="auto"/>
                <w:highlight w:val="none"/>
              </w:rPr>
            </w:pPr>
          </w:p>
        </w:tc>
        <w:tc>
          <w:tcPr>
            <w:tcW w:w="2065" w:type="pct"/>
            <w:vAlign w:val="center"/>
          </w:tcPr>
          <w:p w14:paraId="6AD911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w:t>
            </w:r>
          </w:p>
        </w:tc>
      </w:tr>
      <w:tr w14:paraId="68A66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198AFA81">
            <w:pPr>
              <w:pStyle w:val="146"/>
              <w:rPr>
                <w:rFonts w:hint="default" w:ascii="Times New Roman" w:hAnsi="Times New Roman" w:eastAsia="宋体" w:cs="Times New Roman"/>
                <w:snapToGrid w:val="0"/>
                <w:color w:val="auto"/>
                <w:highlight w:val="none"/>
              </w:rPr>
            </w:pPr>
          </w:p>
        </w:tc>
        <w:tc>
          <w:tcPr>
            <w:tcW w:w="734" w:type="pct"/>
            <w:vMerge w:val="continue"/>
            <w:vAlign w:val="center"/>
          </w:tcPr>
          <w:p w14:paraId="2050CF53">
            <w:pPr>
              <w:pStyle w:val="146"/>
              <w:rPr>
                <w:rFonts w:hint="default" w:ascii="Times New Roman" w:hAnsi="Times New Roman" w:eastAsia="宋体" w:cs="Times New Roman"/>
                <w:snapToGrid w:val="0"/>
                <w:color w:val="auto"/>
                <w:highlight w:val="none"/>
              </w:rPr>
            </w:pPr>
          </w:p>
        </w:tc>
        <w:tc>
          <w:tcPr>
            <w:tcW w:w="1930" w:type="pct"/>
            <w:vAlign w:val="center"/>
          </w:tcPr>
          <w:p w14:paraId="44C21D3E">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堆肥间</w:t>
            </w:r>
          </w:p>
        </w:tc>
        <w:tc>
          <w:tcPr>
            <w:tcW w:w="2065" w:type="pct"/>
            <w:vAlign w:val="center"/>
          </w:tcPr>
          <w:p w14:paraId="15372C0C">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废活性炭</w:t>
            </w:r>
          </w:p>
        </w:tc>
      </w:tr>
      <w:tr w14:paraId="6BFFC8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2EFB40A6">
            <w:pPr>
              <w:pStyle w:val="146"/>
              <w:rPr>
                <w:rFonts w:hint="default" w:ascii="Times New Roman" w:hAnsi="Times New Roman" w:eastAsia="宋体" w:cs="Times New Roman"/>
                <w:snapToGrid w:val="0"/>
                <w:color w:val="auto"/>
                <w:highlight w:val="none"/>
              </w:rPr>
            </w:pPr>
          </w:p>
        </w:tc>
        <w:tc>
          <w:tcPr>
            <w:tcW w:w="734" w:type="pct"/>
            <w:vMerge w:val="continue"/>
            <w:vAlign w:val="center"/>
          </w:tcPr>
          <w:p w14:paraId="241D9520">
            <w:pPr>
              <w:pStyle w:val="146"/>
              <w:rPr>
                <w:rFonts w:hint="default" w:ascii="Times New Roman" w:hAnsi="Times New Roman" w:eastAsia="宋体" w:cs="Times New Roman"/>
                <w:snapToGrid w:val="0"/>
                <w:color w:val="auto"/>
                <w:highlight w:val="none"/>
              </w:rPr>
            </w:pPr>
          </w:p>
        </w:tc>
        <w:tc>
          <w:tcPr>
            <w:tcW w:w="1930" w:type="pct"/>
            <w:vAlign w:val="center"/>
          </w:tcPr>
          <w:p w14:paraId="20324E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职工生活</w:t>
            </w:r>
          </w:p>
        </w:tc>
        <w:tc>
          <w:tcPr>
            <w:tcW w:w="2065" w:type="pct"/>
            <w:vAlign w:val="center"/>
          </w:tcPr>
          <w:p w14:paraId="6C89540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r>
      <w:tr w14:paraId="02F2ED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70" w:type="pct"/>
            <w:vMerge w:val="continue"/>
            <w:vAlign w:val="center"/>
          </w:tcPr>
          <w:p w14:paraId="7DA613C1">
            <w:pPr>
              <w:pStyle w:val="146"/>
              <w:rPr>
                <w:rFonts w:hint="default" w:ascii="Times New Roman" w:hAnsi="Times New Roman" w:eastAsia="宋体" w:cs="Times New Roman"/>
                <w:snapToGrid w:val="0"/>
                <w:color w:val="auto"/>
                <w:highlight w:val="none"/>
              </w:rPr>
            </w:pPr>
          </w:p>
        </w:tc>
        <w:tc>
          <w:tcPr>
            <w:tcW w:w="734" w:type="pct"/>
            <w:vAlign w:val="center"/>
          </w:tcPr>
          <w:p w14:paraId="561C3F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生态影响</w:t>
            </w:r>
          </w:p>
        </w:tc>
        <w:tc>
          <w:tcPr>
            <w:tcW w:w="1930" w:type="pct"/>
            <w:vAlign w:val="center"/>
          </w:tcPr>
          <w:p w14:paraId="7878557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永久占地</w:t>
            </w:r>
          </w:p>
        </w:tc>
        <w:tc>
          <w:tcPr>
            <w:tcW w:w="2065" w:type="pct"/>
            <w:vAlign w:val="center"/>
          </w:tcPr>
          <w:p w14:paraId="5F7DE9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改变占地类型及景观生态</w:t>
            </w:r>
          </w:p>
        </w:tc>
      </w:tr>
      <w:tr w14:paraId="4BF24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74" w:hRule="atLeast"/>
          <w:jc w:val="center"/>
        </w:trPr>
        <w:tc>
          <w:tcPr>
            <w:tcW w:w="270" w:type="pct"/>
            <w:vMerge w:val="continue"/>
            <w:vAlign w:val="center"/>
          </w:tcPr>
          <w:p w14:paraId="1D56242A">
            <w:pPr>
              <w:pStyle w:val="146"/>
              <w:rPr>
                <w:rFonts w:hint="default" w:ascii="Times New Roman" w:hAnsi="Times New Roman" w:eastAsia="宋体" w:cs="Times New Roman"/>
                <w:snapToGrid w:val="0"/>
                <w:color w:val="auto"/>
                <w:highlight w:val="none"/>
              </w:rPr>
            </w:pPr>
          </w:p>
        </w:tc>
        <w:tc>
          <w:tcPr>
            <w:tcW w:w="734" w:type="pct"/>
            <w:vAlign w:val="center"/>
          </w:tcPr>
          <w:p w14:paraId="0D1F1BA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土壤</w:t>
            </w:r>
          </w:p>
        </w:tc>
        <w:tc>
          <w:tcPr>
            <w:tcW w:w="1930" w:type="pct"/>
            <w:vAlign w:val="center"/>
          </w:tcPr>
          <w:p w14:paraId="19FAF1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固体粪肥不合理施用，垂直入渗</w:t>
            </w:r>
          </w:p>
        </w:tc>
        <w:tc>
          <w:tcPr>
            <w:tcW w:w="2065" w:type="pct"/>
            <w:vAlign w:val="center"/>
          </w:tcPr>
          <w:p w14:paraId="0589ED1D">
            <w:pPr>
              <w:pStyle w:val="146"/>
              <w:rPr>
                <w:rFonts w:hint="default" w:ascii="Times New Roman" w:hAnsi="Times New Roman" w:eastAsia="仿宋" w:cs="Times New Roman"/>
                <w:snapToGrid w:val="0"/>
                <w:color w:val="auto"/>
                <w:highlight w:val="none"/>
                <w:lang w:val="en-US" w:eastAsia="zh-CN"/>
              </w:rPr>
            </w:pPr>
            <w:r>
              <w:rPr>
                <w:rFonts w:hint="default" w:ascii="Times New Roman" w:hAnsi="Times New Roman" w:eastAsia="宋体" w:cs="Times New Roman"/>
                <w:color w:val="auto"/>
                <w:highlight w:val="none"/>
              </w:rPr>
              <w:t>镉、汞、砷、铅、铬、铜、镍、锌</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石油烃</w:t>
            </w:r>
          </w:p>
        </w:tc>
      </w:tr>
      <w:bookmarkEnd w:id="40"/>
      <w:bookmarkEnd w:id="41"/>
      <w:bookmarkEnd w:id="42"/>
    </w:tbl>
    <w:p w14:paraId="44850D69">
      <w:pPr>
        <w:pStyle w:val="5"/>
        <w:spacing w:line="500" w:lineRule="exact"/>
        <w:rPr>
          <w:rFonts w:hint="default" w:ascii="Times New Roman" w:hAnsi="Times New Roman" w:cs="Times New Roman"/>
          <w:color w:val="auto"/>
          <w:highlight w:val="none"/>
        </w:rPr>
      </w:pPr>
      <w:bookmarkStart w:id="90" w:name="_Toc28949"/>
      <w:bookmarkStart w:id="91" w:name="_Toc524431285"/>
      <w:bookmarkStart w:id="92" w:name="_Toc57713614"/>
      <w:r>
        <w:rPr>
          <w:rFonts w:hint="default" w:ascii="Times New Roman" w:hAnsi="Times New Roman" w:cs="Times New Roman"/>
          <w:color w:val="auto"/>
          <w:highlight w:val="none"/>
        </w:rPr>
        <w:t>2.4.2评价因子筛选</w:t>
      </w:r>
      <w:bookmarkEnd w:id="90"/>
      <w:bookmarkEnd w:id="91"/>
      <w:bookmarkEnd w:id="92"/>
    </w:p>
    <w:p w14:paraId="7F87AD64">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根据项目概况和周围环境特征，确定本次评价因子见下表。</w:t>
      </w:r>
    </w:p>
    <w:p w14:paraId="3007EB33">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表2-4-3评价因子表</w:t>
      </w:r>
    </w:p>
    <w:tbl>
      <w:tblPr>
        <w:tblStyle w:val="47"/>
        <w:tblW w:w="842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47"/>
        <w:gridCol w:w="787"/>
        <w:gridCol w:w="1560"/>
        <w:gridCol w:w="5729"/>
      </w:tblGrid>
      <w:tr w14:paraId="4626A8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shd w:val="clear" w:color="auto" w:fill="auto"/>
            <w:vAlign w:val="center"/>
          </w:tcPr>
          <w:p w14:paraId="7C7C28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环境要素</w:t>
            </w:r>
          </w:p>
        </w:tc>
        <w:tc>
          <w:tcPr>
            <w:tcW w:w="1560" w:type="dxa"/>
            <w:shd w:val="clear" w:color="auto" w:fill="auto"/>
            <w:vAlign w:val="center"/>
          </w:tcPr>
          <w:p w14:paraId="51A291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评价类别</w:t>
            </w:r>
          </w:p>
        </w:tc>
        <w:tc>
          <w:tcPr>
            <w:tcW w:w="5729" w:type="dxa"/>
            <w:shd w:val="clear" w:color="auto" w:fill="auto"/>
            <w:vAlign w:val="center"/>
          </w:tcPr>
          <w:p w14:paraId="19655F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评价因子</w:t>
            </w:r>
          </w:p>
        </w:tc>
      </w:tr>
      <w:tr w14:paraId="6CD87C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restart"/>
            <w:shd w:val="clear" w:color="auto" w:fill="auto"/>
            <w:vAlign w:val="center"/>
          </w:tcPr>
          <w:p w14:paraId="4E5B62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环境空气</w:t>
            </w:r>
          </w:p>
        </w:tc>
        <w:tc>
          <w:tcPr>
            <w:tcW w:w="1560" w:type="dxa"/>
            <w:shd w:val="clear" w:color="auto" w:fill="auto"/>
            <w:vAlign w:val="center"/>
          </w:tcPr>
          <w:p w14:paraId="5C7412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环境现状评价</w:t>
            </w:r>
          </w:p>
        </w:tc>
        <w:tc>
          <w:tcPr>
            <w:tcW w:w="5729" w:type="dxa"/>
            <w:shd w:val="clear" w:color="auto" w:fill="auto"/>
            <w:vAlign w:val="center"/>
          </w:tcPr>
          <w:p w14:paraId="6D10924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、PM</w:t>
            </w:r>
            <w:r>
              <w:rPr>
                <w:rFonts w:hint="default" w:ascii="Times New Roman" w:hAnsi="Times New Roman" w:eastAsia="宋体" w:cs="Times New Roman"/>
                <w:snapToGrid w:val="0"/>
                <w:color w:val="auto"/>
                <w:highlight w:val="none"/>
                <w:vertAlign w:val="subscript"/>
              </w:rPr>
              <w:t>10</w:t>
            </w:r>
            <w:r>
              <w:rPr>
                <w:rFonts w:hint="default" w:ascii="Times New Roman" w:hAnsi="Times New Roman" w:eastAsia="宋体" w:cs="Times New Roman"/>
                <w:snapToGrid w:val="0"/>
                <w:color w:val="auto"/>
                <w:highlight w:val="none"/>
              </w:rPr>
              <w:t>、PM</w:t>
            </w:r>
            <w:r>
              <w:rPr>
                <w:rFonts w:hint="default" w:ascii="Times New Roman" w:hAnsi="Times New Roman" w:eastAsia="宋体" w:cs="Times New Roman"/>
                <w:snapToGrid w:val="0"/>
                <w:color w:val="auto"/>
                <w:highlight w:val="none"/>
                <w:vertAlign w:val="subscript"/>
              </w:rPr>
              <w:t>2.5</w:t>
            </w:r>
            <w:r>
              <w:rPr>
                <w:rFonts w:hint="default" w:ascii="Times New Roman" w:hAnsi="Times New Roman" w:eastAsia="宋体" w:cs="Times New Roman"/>
                <w:snapToGrid w:val="0"/>
                <w:color w:val="auto"/>
                <w:highlight w:val="none"/>
              </w:rPr>
              <w:t>、CO、O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、TSP</w:t>
            </w:r>
          </w:p>
        </w:tc>
      </w:tr>
      <w:tr w14:paraId="660638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continue"/>
            <w:shd w:val="clear" w:color="auto" w:fill="auto"/>
            <w:vAlign w:val="center"/>
          </w:tcPr>
          <w:p w14:paraId="2A3DB685">
            <w:pPr>
              <w:pStyle w:val="146"/>
              <w:rPr>
                <w:rFonts w:hint="default" w:ascii="Times New Roman" w:hAnsi="Times New Roman" w:eastAsia="宋体" w:cs="Times New Roman"/>
                <w:snapToGrid w:val="0"/>
                <w:color w:val="auto"/>
                <w:highlight w:val="none"/>
              </w:rPr>
            </w:pPr>
          </w:p>
        </w:tc>
        <w:tc>
          <w:tcPr>
            <w:tcW w:w="1560" w:type="dxa"/>
            <w:shd w:val="clear" w:color="auto" w:fill="auto"/>
            <w:vAlign w:val="center"/>
          </w:tcPr>
          <w:p w14:paraId="431CA4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35EE835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臭气浓度、</w:t>
            </w:r>
          </w:p>
        </w:tc>
      </w:tr>
      <w:tr w14:paraId="0B0249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restart"/>
            <w:shd w:val="clear" w:color="auto" w:fill="auto"/>
            <w:vAlign w:val="center"/>
          </w:tcPr>
          <w:p w14:paraId="6319679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1560" w:type="dxa"/>
            <w:shd w:val="clear" w:color="auto" w:fill="auto"/>
            <w:vAlign w:val="center"/>
          </w:tcPr>
          <w:p w14:paraId="249CC04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环境现状评价</w:t>
            </w:r>
          </w:p>
        </w:tc>
        <w:tc>
          <w:tcPr>
            <w:tcW w:w="5729" w:type="dxa"/>
            <w:shd w:val="clear" w:color="auto" w:fill="auto"/>
            <w:vAlign w:val="center"/>
          </w:tcPr>
          <w:p w14:paraId="51C9334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等效连续A声级Leq（A）</w:t>
            </w:r>
          </w:p>
        </w:tc>
      </w:tr>
      <w:tr w14:paraId="0956B5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continue"/>
            <w:shd w:val="clear" w:color="auto" w:fill="auto"/>
            <w:vAlign w:val="center"/>
          </w:tcPr>
          <w:p w14:paraId="734BDE81">
            <w:pPr>
              <w:pStyle w:val="146"/>
              <w:rPr>
                <w:rFonts w:hint="default" w:ascii="Times New Roman" w:hAnsi="Times New Roman" w:eastAsia="宋体" w:cs="Times New Roman"/>
                <w:snapToGrid w:val="0"/>
                <w:color w:val="auto"/>
                <w:highlight w:val="none"/>
              </w:rPr>
            </w:pPr>
          </w:p>
        </w:tc>
        <w:tc>
          <w:tcPr>
            <w:tcW w:w="1560" w:type="dxa"/>
            <w:shd w:val="clear" w:color="auto" w:fill="auto"/>
            <w:vAlign w:val="center"/>
          </w:tcPr>
          <w:p w14:paraId="00E2F2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59C04DF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等效连续A声级Leq（A）</w:t>
            </w:r>
          </w:p>
        </w:tc>
      </w:tr>
      <w:tr w14:paraId="2C75DF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75" w:hRule="atLeast"/>
          <w:jc w:val="center"/>
        </w:trPr>
        <w:tc>
          <w:tcPr>
            <w:tcW w:w="347" w:type="dxa"/>
            <w:vMerge w:val="restart"/>
            <w:shd w:val="clear" w:color="auto" w:fill="auto"/>
            <w:vAlign w:val="center"/>
          </w:tcPr>
          <w:p w14:paraId="29B339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水环境</w:t>
            </w:r>
          </w:p>
        </w:tc>
        <w:tc>
          <w:tcPr>
            <w:tcW w:w="787" w:type="dxa"/>
            <w:vMerge w:val="restart"/>
            <w:shd w:val="clear" w:color="auto" w:fill="auto"/>
            <w:textDirection w:val="tbRlV"/>
            <w:vAlign w:val="center"/>
          </w:tcPr>
          <w:p w14:paraId="12BBB0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地表水</w:t>
            </w:r>
          </w:p>
        </w:tc>
        <w:tc>
          <w:tcPr>
            <w:tcW w:w="1560" w:type="dxa"/>
            <w:shd w:val="clear" w:color="auto" w:fill="auto"/>
            <w:vAlign w:val="center"/>
          </w:tcPr>
          <w:p w14:paraId="7E73938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环境现状评价</w:t>
            </w:r>
          </w:p>
        </w:tc>
        <w:tc>
          <w:tcPr>
            <w:tcW w:w="5729" w:type="dxa"/>
            <w:shd w:val="clear" w:color="auto" w:fill="auto"/>
            <w:vAlign w:val="center"/>
          </w:tcPr>
          <w:p w14:paraId="2059587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pH、溶解氧、COD、高锰酸盐指数、BOD</w:t>
            </w:r>
            <w:r>
              <w:rPr>
                <w:rFonts w:hint="default" w:ascii="Times New Roman" w:hAnsi="Times New Roman" w:eastAsia="宋体" w:cs="Times New Roman"/>
                <w:snapToGrid w:val="0"/>
                <w:color w:val="auto"/>
                <w:highlight w:val="none"/>
                <w:vertAlign w:val="subscript"/>
              </w:rPr>
              <w:t>5</w:t>
            </w:r>
            <w:r>
              <w:rPr>
                <w:rFonts w:hint="default" w:ascii="Times New Roman" w:hAnsi="Times New Roman" w:eastAsia="宋体" w:cs="Times New Roman"/>
                <w:snapToGrid w:val="0"/>
                <w:color w:val="auto"/>
                <w:highlight w:val="none"/>
              </w:rPr>
              <w:t>、氨氮、总磷、氟化物、石油类</w:t>
            </w:r>
          </w:p>
        </w:tc>
      </w:tr>
      <w:tr w14:paraId="7885FE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7" w:type="dxa"/>
            <w:vMerge w:val="continue"/>
            <w:shd w:val="clear" w:color="auto" w:fill="auto"/>
            <w:vAlign w:val="center"/>
          </w:tcPr>
          <w:p w14:paraId="31AC502A">
            <w:pPr>
              <w:pStyle w:val="146"/>
              <w:rPr>
                <w:rFonts w:hint="default" w:ascii="Times New Roman" w:hAnsi="Times New Roman" w:eastAsia="宋体" w:cs="Times New Roman"/>
                <w:snapToGrid w:val="0"/>
                <w:color w:val="auto"/>
                <w:highlight w:val="none"/>
              </w:rPr>
            </w:pPr>
          </w:p>
        </w:tc>
        <w:tc>
          <w:tcPr>
            <w:tcW w:w="787" w:type="dxa"/>
            <w:vMerge w:val="continue"/>
            <w:shd w:val="clear" w:color="auto" w:fill="auto"/>
            <w:textDirection w:val="tbRlV"/>
            <w:vAlign w:val="center"/>
          </w:tcPr>
          <w:p w14:paraId="2FA9E58D">
            <w:pPr>
              <w:pStyle w:val="146"/>
              <w:rPr>
                <w:rFonts w:hint="default" w:ascii="Times New Roman" w:hAnsi="Times New Roman" w:eastAsia="宋体" w:cs="Times New Roman"/>
                <w:snapToGrid w:val="0"/>
                <w:color w:val="auto"/>
                <w:highlight w:val="none"/>
              </w:rPr>
            </w:pPr>
          </w:p>
        </w:tc>
        <w:tc>
          <w:tcPr>
            <w:tcW w:w="1560" w:type="dxa"/>
            <w:shd w:val="clear" w:color="auto" w:fill="auto"/>
            <w:vAlign w:val="center"/>
          </w:tcPr>
          <w:p w14:paraId="77C0AD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356456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COD、氨氮</w:t>
            </w:r>
          </w:p>
        </w:tc>
      </w:tr>
      <w:tr w14:paraId="46CB7F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7" w:type="dxa"/>
            <w:vMerge w:val="continue"/>
            <w:shd w:val="clear" w:color="auto" w:fill="auto"/>
            <w:vAlign w:val="center"/>
          </w:tcPr>
          <w:p w14:paraId="3C8F9121">
            <w:pPr>
              <w:pStyle w:val="146"/>
              <w:rPr>
                <w:rFonts w:hint="default" w:ascii="Times New Roman" w:hAnsi="Times New Roman" w:eastAsia="宋体" w:cs="Times New Roman"/>
                <w:snapToGrid w:val="0"/>
                <w:color w:val="auto"/>
                <w:highlight w:val="none"/>
              </w:rPr>
            </w:pPr>
          </w:p>
        </w:tc>
        <w:tc>
          <w:tcPr>
            <w:tcW w:w="787" w:type="dxa"/>
            <w:vMerge w:val="restart"/>
            <w:shd w:val="clear" w:color="auto" w:fill="auto"/>
            <w:textDirection w:val="tbRlV"/>
            <w:vAlign w:val="center"/>
          </w:tcPr>
          <w:p w14:paraId="03FD633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w:t>
            </w:r>
          </w:p>
        </w:tc>
        <w:tc>
          <w:tcPr>
            <w:tcW w:w="1560" w:type="dxa"/>
            <w:shd w:val="clear" w:color="auto" w:fill="auto"/>
            <w:vAlign w:val="center"/>
          </w:tcPr>
          <w:p w14:paraId="167893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r>
              <w:rPr>
                <w:rFonts w:hint="default" w:ascii="Times New Roman" w:hAnsi="Times New Roman" w:eastAsia="宋体" w:cs="Times New Roman"/>
                <w:snapToGrid w:val="0"/>
                <w:color w:val="auto"/>
                <w:highlight w:val="none"/>
                <w:lang w:val="en-US" w:eastAsia="zh-CN"/>
              </w:rPr>
              <w:t>现状</w:t>
            </w:r>
            <w:r>
              <w:rPr>
                <w:rFonts w:hint="default" w:ascii="Times New Roman" w:hAnsi="Times New Roman" w:eastAsia="宋体" w:cs="Times New Roman"/>
                <w:snapToGrid w:val="0"/>
                <w:color w:val="auto"/>
                <w:highlight w:val="none"/>
              </w:rPr>
              <w:t>评价</w:t>
            </w:r>
          </w:p>
        </w:tc>
        <w:tc>
          <w:tcPr>
            <w:tcW w:w="5729" w:type="dxa"/>
            <w:shd w:val="clear" w:color="auto" w:fill="auto"/>
            <w:vAlign w:val="center"/>
          </w:tcPr>
          <w:p w14:paraId="7CF8A5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vertAlign w:val="baseli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pH</w:t>
            </w:r>
            <w:r>
              <w:rPr>
                <w:rFonts w:hint="eastAsia" w:ascii="Times New Roman" w:hAnsi="Times New Roman" w:eastAsia="宋体" w:cs="Times New Roman"/>
                <w:color w:val="auto"/>
                <w:sz w:val="21"/>
                <w:szCs w:val="21"/>
                <w:highlight w:val="none"/>
                <w:lang w:val="en-US" w:eastAsia="zh-CN"/>
              </w:rPr>
              <w:t>值</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6"/>
                <w:sz w:val="21"/>
                <w:szCs w:val="21"/>
                <w:highlight w:val="none"/>
                <w:lang w:val="en-US" w:eastAsia="zh-CN"/>
              </w:rPr>
              <w:t>高锰酸盐指数</w:t>
            </w:r>
            <w:r>
              <w:rPr>
                <w:rFonts w:hint="default" w:ascii="Times New Roman" w:hAnsi="Times New Roman" w:eastAsia="宋体" w:cs="Times New Roman"/>
                <w:color w:val="auto"/>
                <w:sz w:val="21"/>
                <w:szCs w:val="21"/>
                <w:highlight w:val="none"/>
              </w:rPr>
              <w:t>、氨氮、总硬度、硝酸盐（以N计）、亚硝酸盐（以N计）、硫酸盐、氯化物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铁、锰、总大肠菌群、挥发酚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、氰化物、砷、汞、六价铬、镉、铅、氟</w:t>
            </w:r>
            <w:r>
              <w:rPr>
                <w:rFonts w:hint="default" w:ascii="Times New Roman" w:hAnsi="Times New Roman" w:eastAsia="宋体" w:cs="Times New Roman"/>
                <w:color w:val="auto"/>
                <w:sz w:val="21"/>
                <w:szCs w:val="21"/>
                <w:highlight w:val="none"/>
                <w:lang w:eastAsia="zh-CN"/>
              </w:rPr>
              <w:t>化物</w:t>
            </w:r>
            <w:r>
              <w:rPr>
                <w:rFonts w:hint="default" w:ascii="Times New Roman" w:hAnsi="Times New Roman" w:eastAsia="宋体" w:cs="Times New Roman"/>
                <w:color w:val="auto"/>
                <w:sz w:val="21"/>
                <w:szCs w:val="21"/>
                <w:highlight w:val="none"/>
              </w:rPr>
              <w:t>、溶解性总固体、</w:t>
            </w:r>
            <w:r>
              <w:rPr>
                <w:rFonts w:hint="default" w:ascii="Times New Roman" w:hAnsi="Times New Roman" w:eastAsia="宋体" w:cs="Times New Roman"/>
                <w:color w:val="auto"/>
                <w:sz w:val="21"/>
                <w:szCs w:val="21"/>
                <w:highlight w:val="none"/>
                <w:lang w:val="en-US" w:eastAsia="zh-CN"/>
              </w:rPr>
              <w:t>细菌总数、</w:t>
            </w:r>
            <w:r>
              <w:rPr>
                <w:rFonts w:hint="default" w:ascii="Times New Roman" w:hAnsi="Times New Roman" w:eastAsia="宋体" w:cs="Times New Roman"/>
                <w:bCs/>
                <w:color w:val="auto"/>
                <w:sz w:val="21"/>
                <w:szCs w:val="21"/>
                <w:highlight w:val="none"/>
                <w:lang w:val="en-US" w:eastAsia="zh-CN"/>
              </w:rPr>
              <w:t>石油类</w:t>
            </w:r>
            <w:r>
              <w:rPr>
                <w:rFonts w:hint="eastAsia" w:ascii="Times New Roman" w:hAnsi="Times New Roman" w:eastAsia="宋体" w:cs="Times New Roman"/>
                <w:bCs/>
                <w:color w:val="auto"/>
                <w:sz w:val="21"/>
                <w:szCs w:val="21"/>
                <w:highlight w:val="none"/>
                <w:lang w:val="en-US" w:eastAsia="zh-CN"/>
              </w:rPr>
              <w:t>、总磷、总氮、</w:t>
            </w:r>
            <w:r>
              <w:rPr>
                <w:rFonts w:hint="eastAsia" w:ascii="Times New Roman" w:hAnsi="Times New Roman" w:eastAsia="宋体" w:cs="Times New Roman"/>
                <w:color w:val="auto"/>
                <w:szCs w:val="21"/>
                <w:highlight w:val="none"/>
                <w:lang w:eastAsia="zh-CN"/>
              </w:rPr>
              <w:t>化学需氧量</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color w:val="auto"/>
                <w:szCs w:val="21"/>
                <w:highlight w:val="none"/>
                <w:lang w:eastAsia="zh-CN"/>
              </w:rPr>
              <w:t>生化需氧量</w:t>
            </w:r>
          </w:p>
        </w:tc>
      </w:tr>
      <w:tr w14:paraId="389E28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47" w:type="dxa"/>
            <w:vMerge w:val="continue"/>
            <w:shd w:val="clear" w:color="auto" w:fill="auto"/>
            <w:vAlign w:val="center"/>
          </w:tcPr>
          <w:p w14:paraId="3FAD4C59">
            <w:pPr>
              <w:pStyle w:val="146"/>
              <w:rPr>
                <w:rFonts w:hint="default" w:ascii="Times New Roman" w:hAnsi="Times New Roman" w:eastAsia="宋体" w:cs="Times New Roman"/>
                <w:snapToGrid w:val="0"/>
                <w:color w:val="auto"/>
                <w:highlight w:val="none"/>
              </w:rPr>
            </w:pPr>
          </w:p>
        </w:tc>
        <w:tc>
          <w:tcPr>
            <w:tcW w:w="787" w:type="dxa"/>
            <w:vMerge w:val="continue"/>
            <w:shd w:val="clear" w:color="auto" w:fill="auto"/>
            <w:vAlign w:val="center"/>
          </w:tcPr>
          <w:p w14:paraId="0FDFC186">
            <w:pPr>
              <w:pStyle w:val="146"/>
              <w:rPr>
                <w:rFonts w:hint="default" w:ascii="Times New Roman" w:hAnsi="Times New Roman" w:eastAsia="宋体" w:cs="Times New Roman"/>
                <w:snapToGrid w:val="0"/>
                <w:color w:val="auto"/>
                <w:highlight w:val="none"/>
              </w:rPr>
            </w:pPr>
          </w:p>
        </w:tc>
        <w:tc>
          <w:tcPr>
            <w:tcW w:w="1560" w:type="dxa"/>
            <w:shd w:val="clear" w:color="auto" w:fill="auto"/>
            <w:vAlign w:val="center"/>
          </w:tcPr>
          <w:p w14:paraId="4B1053D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r>
              <w:rPr>
                <w:rFonts w:hint="default" w:ascii="Times New Roman" w:hAnsi="Times New Roman" w:eastAsia="宋体" w:cs="Times New Roman"/>
                <w:snapToGrid w:val="0"/>
                <w:color w:val="auto"/>
                <w:highlight w:val="none"/>
                <w:lang w:val="en-US" w:eastAsia="zh-CN"/>
              </w:rPr>
              <w:t>影响</w:t>
            </w:r>
            <w:r>
              <w:rPr>
                <w:rFonts w:hint="default" w:ascii="Times New Roman" w:hAnsi="Times New Roman" w:eastAsia="宋体" w:cs="Times New Roman"/>
                <w:snapToGrid w:val="0"/>
                <w:color w:val="auto"/>
                <w:highlight w:val="none"/>
              </w:rPr>
              <w:t>评价</w:t>
            </w:r>
          </w:p>
        </w:tc>
        <w:tc>
          <w:tcPr>
            <w:tcW w:w="5729" w:type="dxa"/>
            <w:shd w:val="clear" w:color="auto" w:fill="auto"/>
            <w:vAlign w:val="center"/>
          </w:tcPr>
          <w:p w14:paraId="4C9B4E9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COD、氨氮</w:t>
            </w:r>
          </w:p>
        </w:tc>
      </w:tr>
      <w:tr w14:paraId="454104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shd w:val="clear" w:color="auto" w:fill="auto"/>
            <w:vAlign w:val="center"/>
          </w:tcPr>
          <w:p w14:paraId="5D8D26D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1560" w:type="dxa"/>
            <w:shd w:val="clear" w:color="auto" w:fill="auto"/>
            <w:vAlign w:val="center"/>
          </w:tcPr>
          <w:p w14:paraId="1ED369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68945828">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含粪污垫料</w:t>
            </w:r>
            <w:r>
              <w:rPr>
                <w:rFonts w:hint="default" w:ascii="Times New Roman" w:hAnsi="Times New Roman" w:eastAsia="宋体" w:cs="Times New Roman"/>
                <w:snapToGrid w:val="0"/>
                <w:color w:val="auto"/>
                <w:highlight w:val="none"/>
              </w:rPr>
              <w:t>、生活垃圾、</w:t>
            </w:r>
            <w:r>
              <w:rPr>
                <w:rFonts w:hint="eastAsia" w:eastAsia="宋体" w:cs="Times New Roman"/>
                <w:snapToGrid w:val="0"/>
                <w:color w:val="auto"/>
                <w:highlight w:val="none"/>
                <w:lang w:val="en-US" w:eastAsia="zh-CN"/>
              </w:rPr>
              <w:t>废活性炭、</w:t>
            </w:r>
            <w:r>
              <w:rPr>
                <w:rFonts w:hint="default" w:ascii="Times New Roman" w:hAnsi="Times New Roman" w:eastAsia="宋体" w:cs="Times New Roman"/>
                <w:snapToGrid w:val="0"/>
                <w:color w:val="auto"/>
                <w:highlight w:val="none"/>
              </w:rPr>
              <w:t>病死牛尸体、医疗废物</w:t>
            </w:r>
          </w:p>
        </w:tc>
      </w:tr>
      <w:tr w14:paraId="617413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restart"/>
            <w:shd w:val="clear" w:color="auto" w:fill="auto"/>
            <w:vAlign w:val="center"/>
          </w:tcPr>
          <w:p w14:paraId="241EF2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土壤环境</w:t>
            </w:r>
          </w:p>
        </w:tc>
        <w:tc>
          <w:tcPr>
            <w:tcW w:w="1560" w:type="dxa"/>
            <w:shd w:val="clear" w:color="auto" w:fill="auto"/>
            <w:vAlign w:val="center"/>
          </w:tcPr>
          <w:p w14:paraId="793E82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环境现状评价</w:t>
            </w:r>
          </w:p>
        </w:tc>
        <w:tc>
          <w:tcPr>
            <w:tcW w:w="5729" w:type="dxa"/>
            <w:shd w:val="clear" w:color="auto" w:fill="auto"/>
            <w:vAlign w:val="center"/>
          </w:tcPr>
          <w:p w14:paraId="37C436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w:t>
            </w:r>
            <w:r>
              <w:rPr>
                <w:rFonts w:hint="eastAsia" w:ascii="Times New Roman" w:hAnsi="Times New Roman" w:eastAsia="宋体" w:cs="Times New Roman"/>
                <w:snapToGrid w:val="0"/>
                <w:color w:val="auto"/>
                <w:highlight w:val="none"/>
              </w:rPr>
              <w:t>、砷、镉、铬（六价）、铜、铅、汞、镍、锌</w:t>
            </w:r>
            <w:r>
              <w:rPr>
                <w:rFonts w:hint="eastAsia" w:ascii="Times New Roman" w:hAnsi="Times New Roman" w:eastAsia="宋体" w:cs="Times New Roman"/>
                <w:snapToGrid w:val="0"/>
                <w:color w:val="auto"/>
                <w:highlight w:val="none"/>
                <w:lang w:eastAsia="zh-CN"/>
              </w:rPr>
              <w:t>、</w:t>
            </w:r>
            <w:r>
              <w:rPr>
                <w:rFonts w:hint="eastAsia" w:ascii="Times New Roman" w:hAnsi="Times New Roman" w:eastAsia="宋体" w:cs="Times New Roman"/>
                <w:snapToGrid w:val="0"/>
                <w:color w:val="auto"/>
                <w:highlight w:val="none"/>
                <w:lang w:val="en-US" w:eastAsia="zh-CN"/>
              </w:rPr>
              <w:t>石油烃</w:t>
            </w:r>
            <w:r>
              <w:rPr>
                <w:rFonts w:hint="eastAsia" w:ascii="Times New Roman" w:hAnsi="Times New Roman" w:eastAsia="宋体" w:cs="Times New Roman"/>
                <w:snapToGrid w:val="0"/>
                <w:color w:val="auto"/>
                <w:highlight w:val="none"/>
                <w:lang w:eastAsia="zh-CN"/>
              </w:rPr>
              <w:t>。</w:t>
            </w:r>
          </w:p>
        </w:tc>
      </w:tr>
      <w:tr w14:paraId="4C8398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vMerge w:val="continue"/>
            <w:shd w:val="clear" w:color="auto" w:fill="auto"/>
            <w:vAlign w:val="center"/>
          </w:tcPr>
          <w:p w14:paraId="2C752391">
            <w:pPr>
              <w:pStyle w:val="146"/>
              <w:rPr>
                <w:rFonts w:hint="default" w:ascii="Times New Roman" w:hAnsi="Times New Roman" w:eastAsia="宋体" w:cs="Times New Roman"/>
                <w:snapToGrid w:val="0"/>
                <w:color w:val="auto"/>
                <w:highlight w:val="none"/>
              </w:rPr>
            </w:pPr>
          </w:p>
        </w:tc>
        <w:tc>
          <w:tcPr>
            <w:tcW w:w="1560" w:type="dxa"/>
            <w:shd w:val="clear" w:color="auto" w:fill="auto"/>
            <w:vAlign w:val="center"/>
          </w:tcPr>
          <w:p w14:paraId="6544175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042000A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pH、有机质、全氮、全磷</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砷、镉、铬（六价）、铜、铅、汞、镍、锌</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石油烃</w:t>
            </w:r>
          </w:p>
        </w:tc>
      </w:tr>
      <w:tr w14:paraId="16E207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4" w:type="dxa"/>
            <w:gridSpan w:val="2"/>
            <w:shd w:val="clear" w:color="auto" w:fill="auto"/>
            <w:vAlign w:val="center"/>
          </w:tcPr>
          <w:p w14:paraId="09CA0BA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环境风险</w:t>
            </w:r>
          </w:p>
        </w:tc>
        <w:tc>
          <w:tcPr>
            <w:tcW w:w="1560" w:type="dxa"/>
            <w:shd w:val="clear" w:color="auto" w:fill="auto"/>
            <w:vAlign w:val="center"/>
          </w:tcPr>
          <w:p w14:paraId="7255646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w:t>
            </w:r>
          </w:p>
        </w:tc>
        <w:tc>
          <w:tcPr>
            <w:tcW w:w="5729" w:type="dxa"/>
            <w:shd w:val="clear" w:color="auto" w:fill="auto"/>
            <w:vAlign w:val="center"/>
          </w:tcPr>
          <w:p w14:paraId="4E0332E7">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次氯酸钠液体</w:t>
            </w:r>
            <w:r>
              <w:rPr>
                <w:rFonts w:hint="default" w:ascii="Times New Roman" w:hAnsi="Times New Roman" w:eastAsia="宋体" w:cs="Times New Roman"/>
                <w:color w:val="auto"/>
                <w:highlight w:val="none"/>
              </w:rPr>
              <w:t>泄漏，</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泄漏影响以及粪污非正常工况排放</w:t>
            </w:r>
          </w:p>
        </w:tc>
      </w:tr>
    </w:tbl>
    <w:p w14:paraId="4DB6440D">
      <w:pPr>
        <w:pStyle w:val="210"/>
        <w:rPr>
          <w:rFonts w:hint="default" w:ascii="Times New Roman" w:hAnsi="Times New Roman" w:eastAsia="黑体" w:cs="Times New Roman"/>
          <w:snapToGrid w:val="0"/>
          <w:color w:val="auto"/>
          <w:highlight w:val="none"/>
          <w:lang w:val="en-US" w:eastAsia="zh-CN"/>
        </w:rPr>
      </w:pPr>
      <w:bookmarkStart w:id="93" w:name="_Toc57713615"/>
      <w:bookmarkStart w:id="94" w:name="_Toc524431286"/>
      <w:r>
        <w:rPr>
          <w:rFonts w:hint="default" w:ascii="Times New Roman" w:hAnsi="Times New Roman" w:cs="Times New Roman"/>
          <w:snapToGrid w:val="0"/>
          <w:color w:val="auto"/>
          <w:highlight w:val="none"/>
        </w:rPr>
        <w:t>表2-4-</w:t>
      </w:r>
      <w:r>
        <w:rPr>
          <w:rFonts w:hint="eastAsia" w:cs="Times New Roman"/>
          <w:snapToGrid w:val="0"/>
          <w:color w:val="auto"/>
          <w:highlight w:val="none"/>
          <w:lang w:val="en-US" w:eastAsia="zh-CN"/>
        </w:rPr>
        <w:t>4</w:t>
      </w:r>
      <w:r>
        <w:rPr>
          <w:rFonts w:hint="default" w:ascii="Times New Roman" w:hAnsi="Times New Roman" w:cs="Times New Roman"/>
          <w:snapToGrid w:val="0"/>
          <w:color w:val="auto"/>
          <w:highlight w:val="none"/>
          <w:lang w:val="en-US" w:eastAsia="zh-CN"/>
        </w:rPr>
        <w:t>生态影响评价因子表</w:t>
      </w:r>
    </w:p>
    <w:tbl>
      <w:tblPr>
        <w:tblStyle w:val="47"/>
        <w:tblW w:w="842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39"/>
        <w:gridCol w:w="1650"/>
        <w:gridCol w:w="1575"/>
        <w:gridCol w:w="915"/>
        <w:gridCol w:w="960"/>
        <w:gridCol w:w="900"/>
        <w:gridCol w:w="930"/>
        <w:gridCol w:w="854"/>
      </w:tblGrid>
      <w:tr w14:paraId="44FA36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vMerge w:val="restart"/>
            <w:shd w:val="clear" w:color="auto" w:fill="auto"/>
            <w:vAlign w:val="center"/>
          </w:tcPr>
          <w:p w14:paraId="2A83777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影响对象</w:t>
            </w:r>
          </w:p>
        </w:tc>
        <w:tc>
          <w:tcPr>
            <w:tcW w:w="1650" w:type="dxa"/>
            <w:vMerge w:val="restart"/>
            <w:shd w:val="clear" w:color="auto" w:fill="auto"/>
            <w:vAlign w:val="center"/>
          </w:tcPr>
          <w:p w14:paraId="55253FC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评价因子</w:t>
            </w:r>
          </w:p>
        </w:tc>
        <w:tc>
          <w:tcPr>
            <w:tcW w:w="2490" w:type="dxa"/>
            <w:gridSpan w:val="2"/>
            <w:shd w:val="clear" w:color="auto" w:fill="auto"/>
            <w:vAlign w:val="center"/>
          </w:tcPr>
          <w:p w14:paraId="767F40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工程内容及影响方式</w:t>
            </w:r>
          </w:p>
        </w:tc>
        <w:tc>
          <w:tcPr>
            <w:tcW w:w="1860" w:type="dxa"/>
            <w:gridSpan w:val="2"/>
            <w:shd w:val="clear" w:color="auto" w:fill="auto"/>
            <w:vAlign w:val="center"/>
          </w:tcPr>
          <w:p w14:paraId="743EDB0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影响性质</w:t>
            </w:r>
          </w:p>
        </w:tc>
        <w:tc>
          <w:tcPr>
            <w:tcW w:w="1784" w:type="dxa"/>
            <w:gridSpan w:val="2"/>
            <w:shd w:val="clear" w:color="auto" w:fill="auto"/>
            <w:vAlign w:val="center"/>
          </w:tcPr>
          <w:p w14:paraId="0CB03EE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影响程度</w:t>
            </w:r>
          </w:p>
        </w:tc>
      </w:tr>
      <w:tr w14:paraId="516E2C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vMerge w:val="continue"/>
            <w:shd w:val="clear" w:color="auto" w:fill="auto"/>
            <w:vAlign w:val="center"/>
          </w:tcPr>
          <w:p w14:paraId="74136C4B">
            <w:pPr>
              <w:pStyle w:val="146"/>
              <w:rPr>
                <w:rFonts w:hint="default" w:ascii="Times New Roman" w:hAnsi="Times New Roman" w:eastAsia="宋体" w:cs="Times New Roman"/>
                <w:snapToGrid w:val="0"/>
                <w:color w:val="auto"/>
                <w:highlight w:val="none"/>
              </w:rPr>
            </w:pPr>
          </w:p>
        </w:tc>
        <w:tc>
          <w:tcPr>
            <w:tcW w:w="1650" w:type="dxa"/>
            <w:vMerge w:val="continue"/>
            <w:shd w:val="clear" w:color="auto" w:fill="auto"/>
            <w:vAlign w:val="center"/>
          </w:tcPr>
          <w:p w14:paraId="549B762C">
            <w:pPr>
              <w:pStyle w:val="146"/>
              <w:rPr>
                <w:rFonts w:hint="default" w:ascii="Times New Roman" w:hAnsi="Times New Roman" w:eastAsia="宋体" w:cs="Times New Roman"/>
                <w:snapToGrid w:val="0"/>
                <w:color w:val="auto"/>
                <w:highlight w:val="none"/>
              </w:rPr>
            </w:pPr>
          </w:p>
        </w:tc>
        <w:tc>
          <w:tcPr>
            <w:tcW w:w="1575" w:type="dxa"/>
            <w:shd w:val="clear" w:color="auto" w:fill="auto"/>
            <w:vAlign w:val="center"/>
          </w:tcPr>
          <w:p w14:paraId="302C48B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施工期</w:t>
            </w:r>
          </w:p>
        </w:tc>
        <w:tc>
          <w:tcPr>
            <w:tcW w:w="915" w:type="dxa"/>
            <w:shd w:val="clear" w:color="auto" w:fill="auto"/>
            <w:vAlign w:val="center"/>
          </w:tcPr>
          <w:p w14:paraId="512775C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运营期</w:t>
            </w:r>
          </w:p>
        </w:tc>
        <w:tc>
          <w:tcPr>
            <w:tcW w:w="960" w:type="dxa"/>
            <w:shd w:val="clear" w:color="auto" w:fill="auto"/>
            <w:vAlign w:val="center"/>
          </w:tcPr>
          <w:p w14:paraId="4785EEAA">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lang w:val="en-US" w:eastAsia="zh-CN"/>
              </w:rPr>
              <w:t>施工期</w:t>
            </w:r>
          </w:p>
        </w:tc>
        <w:tc>
          <w:tcPr>
            <w:tcW w:w="900" w:type="dxa"/>
            <w:shd w:val="clear" w:color="auto" w:fill="auto"/>
            <w:vAlign w:val="center"/>
          </w:tcPr>
          <w:p w14:paraId="62D11FA3">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lang w:val="en-US" w:eastAsia="zh-CN"/>
              </w:rPr>
              <w:t>运营期</w:t>
            </w:r>
          </w:p>
        </w:tc>
        <w:tc>
          <w:tcPr>
            <w:tcW w:w="930" w:type="dxa"/>
            <w:shd w:val="clear" w:color="auto" w:fill="auto"/>
            <w:vAlign w:val="center"/>
          </w:tcPr>
          <w:p w14:paraId="1328C14E">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lang w:val="en-US" w:eastAsia="zh-CN"/>
              </w:rPr>
              <w:t>施工期</w:t>
            </w:r>
          </w:p>
        </w:tc>
        <w:tc>
          <w:tcPr>
            <w:tcW w:w="854" w:type="dxa"/>
            <w:shd w:val="clear" w:color="auto" w:fill="auto"/>
            <w:vAlign w:val="center"/>
          </w:tcPr>
          <w:p w14:paraId="5C727657">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lang w:val="en-US" w:eastAsia="zh-CN"/>
              </w:rPr>
              <w:t>运营期</w:t>
            </w:r>
          </w:p>
        </w:tc>
      </w:tr>
      <w:tr w14:paraId="43F832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24DC720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物种</w:t>
            </w:r>
          </w:p>
        </w:tc>
        <w:tc>
          <w:tcPr>
            <w:tcW w:w="1650" w:type="dxa"/>
            <w:shd w:val="clear" w:color="auto" w:fill="auto"/>
            <w:vAlign w:val="center"/>
          </w:tcPr>
          <w:p w14:paraId="5F65113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分布范围、种群数量、种群结构、行为等</w:t>
            </w:r>
          </w:p>
        </w:tc>
        <w:tc>
          <w:tcPr>
            <w:tcW w:w="1575" w:type="dxa"/>
            <w:shd w:val="clear" w:color="auto" w:fill="auto"/>
            <w:vAlign w:val="center"/>
          </w:tcPr>
          <w:p w14:paraId="6EC35514">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64762FFF">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生产噪声、灯光</w:t>
            </w:r>
          </w:p>
        </w:tc>
        <w:tc>
          <w:tcPr>
            <w:tcW w:w="960" w:type="dxa"/>
            <w:shd w:val="clear" w:color="auto" w:fill="auto"/>
            <w:vAlign w:val="center"/>
          </w:tcPr>
          <w:p w14:paraId="54EFD0C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短期-可逆</w:t>
            </w:r>
          </w:p>
        </w:tc>
        <w:tc>
          <w:tcPr>
            <w:tcW w:w="900" w:type="dxa"/>
            <w:shd w:val="clear" w:color="auto" w:fill="auto"/>
            <w:vAlign w:val="center"/>
          </w:tcPr>
          <w:p w14:paraId="69690FA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长期-可逆</w:t>
            </w:r>
          </w:p>
        </w:tc>
        <w:tc>
          <w:tcPr>
            <w:tcW w:w="930" w:type="dxa"/>
            <w:shd w:val="clear" w:color="auto" w:fill="auto"/>
            <w:vAlign w:val="center"/>
          </w:tcPr>
          <w:p w14:paraId="01D7411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0B0DB5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002FA5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2FBE3CD4">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生境</w:t>
            </w:r>
          </w:p>
        </w:tc>
        <w:tc>
          <w:tcPr>
            <w:tcW w:w="1650" w:type="dxa"/>
            <w:shd w:val="clear" w:color="auto" w:fill="auto"/>
            <w:vAlign w:val="center"/>
          </w:tcPr>
          <w:p w14:paraId="30BE734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生境面积、质量、连通性等</w:t>
            </w:r>
          </w:p>
        </w:tc>
        <w:tc>
          <w:tcPr>
            <w:tcW w:w="1575" w:type="dxa"/>
            <w:shd w:val="clear" w:color="auto" w:fill="auto"/>
            <w:vAlign w:val="center"/>
          </w:tcPr>
          <w:p w14:paraId="7400737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6D5D312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占地</w:t>
            </w:r>
          </w:p>
        </w:tc>
        <w:tc>
          <w:tcPr>
            <w:tcW w:w="960" w:type="dxa"/>
            <w:shd w:val="clear" w:color="auto" w:fill="auto"/>
            <w:vAlign w:val="center"/>
          </w:tcPr>
          <w:p w14:paraId="735BEBB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短期-可逆</w:t>
            </w:r>
          </w:p>
        </w:tc>
        <w:tc>
          <w:tcPr>
            <w:tcW w:w="900" w:type="dxa"/>
            <w:shd w:val="clear" w:color="auto" w:fill="auto"/>
            <w:vAlign w:val="center"/>
          </w:tcPr>
          <w:p w14:paraId="28D2AD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长期-不可逆</w:t>
            </w:r>
          </w:p>
        </w:tc>
        <w:tc>
          <w:tcPr>
            <w:tcW w:w="930" w:type="dxa"/>
            <w:shd w:val="clear" w:color="auto" w:fill="auto"/>
            <w:vAlign w:val="center"/>
          </w:tcPr>
          <w:p w14:paraId="710E25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0011B19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3A46D3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3FA21CF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生物群落</w:t>
            </w:r>
          </w:p>
        </w:tc>
        <w:tc>
          <w:tcPr>
            <w:tcW w:w="1650" w:type="dxa"/>
            <w:shd w:val="clear" w:color="auto" w:fill="auto"/>
            <w:vAlign w:val="center"/>
          </w:tcPr>
          <w:p w14:paraId="5AFBCE5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物种组成、群落结构</w:t>
            </w:r>
          </w:p>
        </w:tc>
        <w:tc>
          <w:tcPr>
            <w:tcW w:w="1575" w:type="dxa"/>
            <w:shd w:val="clear" w:color="auto" w:fill="auto"/>
            <w:vAlign w:val="center"/>
          </w:tcPr>
          <w:p w14:paraId="5498BC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0A8677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生产噪声、灯光</w:t>
            </w:r>
          </w:p>
        </w:tc>
        <w:tc>
          <w:tcPr>
            <w:tcW w:w="960" w:type="dxa"/>
            <w:shd w:val="clear" w:color="auto" w:fill="auto"/>
            <w:vAlign w:val="center"/>
          </w:tcPr>
          <w:p w14:paraId="21BB032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短期-可逆</w:t>
            </w:r>
          </w:p>
        </w:tc>
        <w:tc>
          <w:tcPr>
            <w:tcW w:w="900" w:type="dxa"/>
            <w:shd w:val="clear" w:color="auto" w:fill="auto"/>
            <w:vAlign w:val="center"/>
          </w:tcPr>
          <w:p w14:paraId="537100D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长期-可逆</w:t>
            </w:r>
          </w:p>
        </w:tc>
        <w:tc>
          <w:tcPr>
            <w:tcW w:w="930" w:type="dxa"/>
            <w:shd w:val="clear" w:color="auto" w:fill="auto"/>
            <w:vAlign w:val="center"/>
          </w:tcPr>
          <w:p w14:paraId="1770029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4E59E4A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3EEF66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31F042EA">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生态系统</w:t>
            </w:r>
          </w:p>
        </w:tc>
        <w:tc>
          <w:tcPr>
            <w:tcW w:w="1650" w:type="dxa"/>
            <w:shd w:val="clear" w:color="auto" w:fill="auto"/>
            <w:vAlign w:val="center"/>
          </w:tcPr>
          <w:p w14:paraId="3FDD2F2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植被覆盖度、生产力、生物量、生态系统功能等</w:t>
            </w:r>
          </w:p>
        </w:tc>
        <w:tc>
          <w:tcPr>
            <w:tcW w:w="1575" w:type="dxa"/>
            <w:shd w:val="clear" w:color="auto" w:fill="auto"/>
            <w:vAlign w:val="center"/>
          </w:tcPr>
          <w:p w14:paraId="7209986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5721EC9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占地</w:t>
            </w:r>
          </w:p>
        </w:tc>
        <w:tc>
          <w:tcPr>
            <w:tcW w:w="960" w:type="dxa"/>
            <w:shd w:val="clear" w:color="auto" w:fill="auto"/>
            <w:vAlign w:val="center"/>
          </w:tcPr>
          <w:p w14:paraId="3410E9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短期-可逆</w:t>
            </w:r>
          </w:p>
        </w:tc>
        <w:tc>
          <w:tcPr>
            <w:tcW w:w="900" w:type="dxa"/>
            <w:shd w:val="clear" w:color="auto" w:fill="auto"/>
            <w:vAlign w:val="center"/>
          </w:tcPr>
          <w:p w14:paraId="4CADD46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长期-不可逆</w:t>
            </w:r>
          </w:p>
        </w:tc>
        <w:tc>
          <w:tcPr>
            <w:tcW w:w="930" w:type="dxa"/>
            <w:shd w:val="clear" w:color="auto" w:fill="auto"/>
            <w:vAlign w:val="center"/>
          </w:tcPr>
          <w:p w14:paraId="106816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79C1AA7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1D7E58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7543BBE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生物多样性</w:t>
            </w:r>
          </w:p>
        </w:tc>
        <w:tc>
          <w:tcPr>
            <w:tcW w:w="1650" w:type="dxa"/>
            <w:shd w:val="clear" w:color="auto" w:fill="auto"/>
            <w:vAlign w:val="center"/>
          </w:tcPr>
          <w:p w14:paraId="37C173D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物种丰富度、均匀度、优势度等</w:t>
            </w:r>
          </w:p>
        </w:tc>
        <w:tc>
          <w:tcPr>
            <w:tcW w:w="1575" w:type="dxa"/>
            <w:shd w:val="clear" w:color="auto" w:fill="auto"/>
            <w:vAlign w:val="center"/>
          </w:tcPr>
          <w:p w14:paraId="3946861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0CF048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生产噪声、灯光</w:t>
            </w:r>
          </w:p>
        </w:tc>
        <w:tc>
          <w:tcPr>
            <w:tcW w:w="960" w:type="dxa"/>
            <w:shd w:val="clear" w:color="auto" w:fill="auto"/>
            <w:vAlign w:val="center"/>
          </w:tcPr>
          <w:p w14:paraId="4E348C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短期-不可逆</w:t>
            </w:r>
          </w:p>
        </w:tc>
        <w:tc>
          <w:tcPr>
            <w:tcW w:w="900" w:type="dxa"/>
            <w:shd w:val="clear" w:color="auto" w:fill="auto"/>
            <w:vAlign w:val="center"/>
          </w:tcPr>
          <w:p w14:paraId="5A2EF29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长期-不可逆</w:t>
            </w:r>
          </w:p>
        </w:tc>
        <w:tc>
          <w:tcPr>
            <w:tcW w:w="930" w:type="dxa"/>
            <w:shd w:val="clear" w:color="auto" w:fill="auto"/>
            <w:vAlign w:val="center"/>
          </w:tcPr>
          <w:p w14:paraId="7D97FA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0B3AC38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33A190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24E389D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生态敏感区</w:t>
            </w:r>
          </w:p>
        </w:tc>
        <w:tc>
          <w:tcPr>
            <w:tcW w:w="1650" w:type="dxa"/>
            <w:shd w:val="clear" w:color="auto" w:fill="auto"/>
            <w:vAlign w:val="center"/>
          </w:tcPr>
          <w:p w14:paraId="33A5B69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主要保护对象、生态功能等</w:t>
            </w:r>
          </w:p>
        </w:tc>
        <w:tc>
          <w:tcPr>
            <w:tcW w:w="1575" w:type="dxa"/>
            <w:shd w:val="clear" w:color="auto" w:fill="auto"/>
            <w:vAlign w:val="center"/>
          </w:tcPr>
          <w:p w14:paraId="048C560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w:t>
            </w:r>
          </w:p>
        </w:tc>
        <w:tc>
          <w:tcPr>
            <w:tcW w:w="915" w:type="dxa"/>
            <w:shd w:val="clear" w:color="auto" w:fill="auto"/>
            <w:vAlign w:val="center"/>
          </w:tcPr>
          <w:p w14:paraId="69B9F58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60" w:type="dxa"/>
            <w:shd w:val="clear" w:color="auto" w:fill="auto"/>
            <w:vAlign w:val="center"/>
          </w:tcPr>
          <w:p w14:paraId="45E9DBE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00" w:type="dxa"/>
            <w:shd w:val="clear" w:color="auto" w:fill="auto"/>
            <w:vAlign w:val="center"/>
          </w:tcPr>
          <w:p w14:paraId="59FC197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30" w:type="dxa"/>
            <w:shd w:val="clear" w:color="auto" w:fill="auto"/>
            <w:vAlign w:val="center"/>
          </w:tcPr>
          <w:p w14:paraId="438F500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854" w:type="dxa"/>
            <w:shd w:val="clear" w:color="auto" w:fill="auto"/>
            <w:vAlign w:val="center"/>
          </w:tcPr>
          <w:p w14:paraId="4D8A107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r>
      <w:tr w14:paraId="1B20A2B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5CB2D66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自然景观</w:t>
            </w:r>
          </w:p>
        </w:tc>
        <w:tc>
          <w:tcPr>
            <w:tcW w:w="1650" w:type="dxa"/>
            <w:shd w:val="clear" w:color="auto" w:fill="auto"/>
            <w:vAlign w:val="center"/>
          </w:tcPr>
          <w:p w14:paraId="7A234DD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景观多样性、完整性等</w:t>
            </w:r>
          </w:p>
        </w:tc>
        <w:tc>
          <w:tcPr>
            <w:tcW w:w="1575" w:type="dxa"/>
            <w:shd w:val="clear" w:color="auto" w:fill="auto"/>
            <w:vAlign w:val="center"/>
          </w:tcPr>
          <w:p w14:paraId="1D9ABE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占地及工程施工</w:t>
            </w:r>
          </w:p>
        </w:tc>
        <w:tc>
          <w:tcPr>
            <w:tcW w:w="915" w:type="dxa"/>
            <w:shd w:val="clear" w:color="auto" w:fill="auto"/>
            <w:vAlign w:val="center"/>
          </w:tcPr>
          <w:p w14:paraId="468300F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占地</w:t>
            </w:r>
          </w:p>
        </w:tc>
        <w:tc>
          <w:tcPr>
            <w:tcW w:w="960" w:type="dxa"/>
            <w:shd w:val="clear" w:color="auto" w:fill="auto"/>
            <w:vAlign w:val="center"/>
          </w:tcPr>
          <w:p w14:paraId="637541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短期-不可逆</w:t>
            </w:r>
          </w:p>
        </w:tc>
        <w:tc>
          <w:tcPr>
            <w:tcW w:w="900" w:type="dxa"/>
            <w:shd w:val="clear" w:color="auto" w:fill="auto"/>
            <w:vAlign w:val="center"/>
          </w:tcPr>
          <w:p w14:paraId="14B99D1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长期-不可逆</w:t>
            </w:r>
          </w:p>
        </w:tc>
        <w:tc>
          <w:tcPr>
            <w:tcW w:w="930" w:type="dxa"/>
            <w:shd w:val="clear" w:color="auto" w:fill="auto"/>
            <w:vAlign w:val="center"/>
          </w:tcPr>
          <w:p w14:paraId="5B13E8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c>
          <w:tcPr>
            <w:tcW w:w="854" w:type="dxa"/>
            <w:shd w:val="clear" w:color="auto" w:fill="auto"/>
            <w:vAlign w:val="center"/>
          </w:tcPr>
          <w:p w14:paraId="7AD9494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弱</w:t>
            </w:r>
          </w:p>
        </w:tc>
      </w:tr>
      <w:tr w14:paraId="7C4420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2" w:hRule="atLeast"/>
          <w:jc w:val="center"/>
        </w:trPr>
        <w:tc>
          <w:tcPr>
            <w:tcW w:w="639" w:type="dxa"/>
            <w:shd w:val="clear" w:color="auto" w:fill="auto"/>
            <w:vAlign w:val="center"/>
          </w:tcPr>
          <w:p w14:paraId="1959952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自然遗迹</w:t>
            </w:r>
          </w:p>
        </w:tc>
        <w:tc>
          <w:tcPr>
            <w:tcW w:w="1650" w:type="dxa"/>
            <w:shd w:val="clear" w:color="auto" w:fill="auto"/>
            <w:vAlign w:val="center"/>
          </w:tcPr>
          <w:p w14:paraId="3624D555">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遗迹多样性、完整性等</w:t>
            </w:r>
          </w:p>
        </w:tc>
        <w:tc>
          <w:tcPr>
            <w:tcW w:w="1575" w:type="dxa"/>
            <w:shd w:val="clear" w:color="auto" w:fill="auto"/>
            <w:vAlign w:val="center"/>
          </w:tcPr>
          <w:p w14:paraId="6523BA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w:t>
            </w:r>
          </w:p>
        </w:tc>
        <w:tc>
          <w:tcPr>
            <w:tcW w:w="915" w:type="dxa"/>
            <w:shd w:val="clear" w:color="auto" w:fill="auto"/>
            <w:vAlign w:val="center"/>
          </w:tcPr>
          <w:p w14:paraId="50F5DCFA">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60" w:type="dxa"/>
            <w:shd w:val="clear" w:color="auto" w:fill="auto"/>
            <w:vAlign w:val="center"/>
          </w:tcPr>
          <w:p w14:paraId="7DADC927">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00" w:type="dxa"/>
            <w:shd w:val="clear" w:color="auto" w:fill="auto"/>
            <w:vAlign w:val="center"/>
          </w:tcPr>
          <w:p w14:paraId="402CCC1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930" w:type="dxa"/>
            <w:shd w:val="clear" w:color="auto" w:fill="auto"/>
            <w:vAlign w:val="center"/>
          </w:tcPr>
          <w:p w14:paraId="063D4457">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854" w:type="dxa"/>
            <w:shd w:val="clear" w:color="auto" w:fill="auto"/>
            <w:vAlign w:val="center"/>
          </w:tcPr>
          <w:p w14:paraId="2835EB1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r>
    </w:tbl>
    <w:p w14:paraId="213634C6">
      <w:pPr>
        <w:pStyle w:val="4"/>
        <w:rPr>
          <w:rFonts w:hint="default" w:ascii="Times New Roman" w:hAnsi="Times New Roman" w:cs="Times New Roman"/>
          <w:color w:val="auto"/>
          <w:highlight w:val="none"/>
        </w:rPr>
      </w:pPr>
      <w:bookmarkStart w:id="95" w:name="_Toc29292"/>
      <w:r>
        <w:rPr>
          <w:rFonts w:hint="default" w:ascii="Times New Roman" w:hAnsi="Times New Roman" w:cs="Times New Roman"/>
          <w:color w:val="auto"/>
          <w:highlight w:val="none"/>
        </w:rPr>
        <w:t>2.5评价等级</w:t>
      </w:r>
      <w:bookmarkEnd w:id="93"/>
      <w:bookmarkEnd w:id="94"/>
      <w:bookmarkEnd w:id="95"/>
    </w:p>
    <w:p w14:paraId="76AA4291">
      <w:pPr>
        <w:pStyle w:val="5"/>
        <w:spacing w:line="500" w:lineRule="exact"/>
        <w:rPr>
          <w:rFonts w:hint="default" w:ascii="Times New Roman" w:hAnsi="Times New Roman" w:eastAsia="黑体" w:cs="Times New Roman"/>
          <w:color w:val="auto"/>
          <w:highlight w:val="none"/>
          <w:lang w:eastAsia="zh-CN"/>
        </w:rPr>
      </w:pPr>
      <w:bookmarkStart w:id="96" w:name="_Toc57713616"/>
      <w:bookmarkStart w:id="97" w:name="_Toc524431287"/>
      <w:bookmarkStart w:id="98" w:name="_Toc3137"/>
      <w:r>
        <w:rPr>
          <w:rFonts w:hint="default" w:ascii="Times New Roman" w:hAnsi="Times New Roman" w:cs="Times New Roman"/>
          <w:color w:val="auto"/>
          <w:highlight w:val="none"/>
        </w:rPr>
        <w:t>2.5.1环境空气</w:t>
      </w:r>
      <w:bookmarkEnd w:id="96"/>
      <w:bookmarkEnd w:id="97"/>
      <w:bookmarkEnd w:id="98"/>
    </w:p>
    <w:p w14:paraId="71DBE9A1">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根据《环境影响评价技术导则 大气环境》（HJ2.2-2018）中的有关规定，将大气环境影响评价工作等级分为一、二、三级，划分依据见下表。</w:t>
      </w:r>
    </w:p>
    <w:p w14:paraId="4DC74722">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表2-5-1大气评价等级确定表</w:t>
      </w:r>
    </w:p>
    <w:tbl>
      <w:tblPr>
        <w:tblStyle w:val="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665"/>
        <w:gridCol w:w="2641"/>
      </w:tblGrid>
      <w:tr w14:paraId="5511F6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4A838D5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评价工作等级判据</w:t>
            </w:r>
          </w:p>
        </w:tc>
        <w:tc>
          <w:tcPr>
            <w:tcW w:w="1590" w:type="pct"/>
            <w:vAlign w:val="center"/>
          </w:tcPr>
          <w:p w14:paraId="726B8F7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w:t>
            </w:r>
          </w:p>
        </w:tc>
      </w:tr>
      <w:tr w14:paraId="5D3934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10ACEA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4980F6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r>
      <w:tr w14:paraId="38DDE1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1C80A5A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71C2288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r>
      <w:tr w14:paraId="6B2E25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3EE11F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w:t>
            </w:r>
          </w:p>
        </w:tc>
        <w:tc>
          <w:tcPr>
            <w:tcW w:w="1590" w:type="pct"/>
            <w:vAlign w:val="center"/>
          </w:tcPr>
          <w:p w14:paraId="217932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r>
    </w:tbl>
    <w:p w14:paraId="682DB0B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污染源初步调查结果，分别计算项目排放主要污染物的最大地面空气质量浓度占标率Pi（第i个污染物，简称“最大浓度占标率”），及第i个污染物的地面空气质量浓度达到标准值的10%时所对应的最远距离D</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。其中Pi定义为：</w:t>
      </w:r>
    </w:p>
    <w:p w14:paraId="507EB455">
      <w:pPr>
        <w:pStyle w:val="67"/>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 xml:space="preserve"> =C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r>
        <w:rPr>
          <w:rFonts w:hint="default" w:ascii="Times New Roman" w:hAnsi="Times New Roman" w:eastAsia="宋体" w:cs="Times New Roman"/>
          <w:color w:val="auto"/>
          <w:highlight w:val="none"/>
        </w:rPr>
        <w:t>×100%</w:t>
      </w:r>
    </w:p>
    <w:p w14:paraId="411487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67E5DFC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w:t>
      </w:r>
      <w:r>
        <w:rPr>
          <w:rFonts w:hint="default" w:ascii="Times New Roman" w:hAnsi="Times New Roman" w:eastAsia="宋体" w:cs="Times New Roman"/>
          <w:i/>
          <w:color w:val="auto"/>
          <w:highlight w:val="none"/>
        </w:rPr>
        <w:t>i</w:t>
      </w:r>
      <w:r>
        <w:rPr>
          <w:rFonts w:hint="default" w:ascii="Times New Roman" w:hAnsi="Times New Roman" w:eastAsia="宋体" w:cs="Times New Roman"/>
          <w:color w:val="auto"/>
          <w:highlight w:val="none"/>
        </w:rPr>
        <w:t>个污染物的最大地面空气质量浓度占标率，%；</w:t>
      </w:r>
    </w:p>
    <w:p w14:paraId="5C4FE2F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——采用估算模型计算出的第</w:t>
      </w:r>
      <w:r>
        <w:rPr>
          <w:rFonts w:hint="default" w:ascii="Times New Roman" w:hAnsi="Times New Roman" w:eastAsia="宋体" w:cs="Times New Roman"/>
          <w:i/>
          <w:color w:val="auto"/>
          <w:highlight w:val="none"/>
        </w:rPr>
        <w:t>i</w:t>
      </w:r>
      <w:r>
        <w:rPr>
          <w:rFonts w:hint="default" w:ascii="Times New Roman" w:hAnsi="Times New Roman" w:eastAsia="宋体" w:cs="Times New Roman"/>
          <w:color w:val="auto"/>
          <w:highlight w:val="none"/>
        </w:rPr>
        <w:t>个污染物的最大1h地面空气质量浓度，μg/m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37B34E0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r>
        <w:rPr>
          <w:rFonts w:hint="default" w:ascii="Times New Roman" w:hAnsi="Times New Roman" w:eastAsia="宋体" w:cs="Times New Roman"/>
          <w:color w:val="auto"/>
          <w:highlight w:val="none"/>
        </w:rPr>
        <w:t>——第</w:t>
      </w:r>
      <w:r>
        <w:rPr>
          <w:rFonts w:hint="default" w:ascii="Times New Roman" w:hAnsi="Times New Roman" w:eastAsia="宋体" w:cs="Times New Roman"/>
          <w:i/>
          <w:iCs/>
          <w:color w:val="auto"/>
          <w:highlight w:val="none"/>
        </w:rPr>
        <w:t>i</w:t>
      </w:r>
      <w:r>
        <w:rPr>
          <w:rFonts w:hint="default" w:ascii="Times New Roman" w:hAnsi="Times New Roman" w:eastAsia="宋体" w:cs="Times New Roman"/>
          <w:color w:val="auto"/>
          <w:highlight w:val="none"/>
        </w:rPr>
        <w:t>个污染物的环境空气质量浓度标准，μg/m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一般选用GB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06AAA3B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本项目建成后废气主要为牛舍恶臭、堆肥间</w:t>
      </w:r>
      <w:r>
        <w:rPr>
          <w:rFonts w:hint="default" w:ascii="Times New Roman" w:hAnsi="Times New Roman" w:eastAsia="宋体" w:cs="Times New Roman"/>
          <w:color w:val="auto"/>
          <w:highlight w:val="none"/>
          <w:lang w:val="en-US" w:eastAsia="zh-CN"/>
        </w:rPr>
        <w:t>恶臭</w:t>
      </w:r>
      <w:r>
        <w:rPr>
          <w:rFonts w:hint="default" w:ascii="Times New Roman" w:hAnsi="Times New Roman" w:eastAsia="宋体" w:cs="Times New Roman"/>
          <w:color w:val="auto"/>
          <w:highlight w:val="none"/>
        </w:rPr>
        <w:t>等。选取NH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S为主要污染物进行评价工作等级的确定。采用《环境影响评价技术导则 大气环境》（HJ2.2-2018）中推荐的估算模式进行计算。</w:t>
      </w:r>
    </w:p>
    <w:p w14:paraId="3934C299">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评价因子和评价标准表</w:t>
      </w:r>
    </w:p>
    <w:tbl>
      <w:tblPr>
        <w:tblStyle w:val="48"/>
        <w:tblW w:w="48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750"/>
        <w:gridCol w:w="1749"/>
        <w:gridCol w:w="3144"/>
      </w:tblGrid>
      <w:tr w14:paraId="6C5B0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6E3DE9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评价因子</w:t>
            </w:r>
          </w:p>
        </w:tc>
        <w:tc>
          <w:tcPr>
            <w:tcW w:w="1081" w:type="pct"/>
            <w:vAlign w:val="center"/>
          </w:tcPr>
          <w:p w14:paraId="0B2897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平均时段</w:t>
            </w:r>
          </w:p>
        </w:tc>
        <w:tc>
          <w:tcPr>
            <w:tcW w:w="1080" w:type="pct"/>
            <w:vAlign w:val="center"/>
          </w:tcPr>
          <w:p w14:paraId="761DE12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942" w:type="pct"/>
            <w:vAlign w:val="center"/>
          </w:tcPr>
          <w:p w14:paraId="5DE413C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14:paraId="262888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16D84AD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081" w:type="pct"/>
            <w:vAlign w:val="center"/>
          </w:tcPr>
          <w:p w14:paraId="710068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w:t>
            </w:r>
          </w:p>
        </w:tc>
        <w:tc>
          <w:tcPr>
            <w:tcW w:w="1080" w:type="pct"/>
            <w:vAlign w:val="center"/>
          </w:tcPr>
          <w:p w14:paraId="44C6EF1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1942" w:type="pct"/>
            <w:vMerge w:val="restart"/>
            <w:vAlign w:val="center"/>
          </w:tcPr>
          <w:p w14:paraId="3E8F3C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 大气环境》（HJ2.2-2018）附录D</w:t>
            </w:r>
          </w:p>
        </w:tc>
      </w:tr>
      <w:tr w14:paraId="1D5D7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324D989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1081" w:type="pct"/>
            <w:vAlign w:val="center"/>
          </w:tcPr>
          <w:p w14:paraId="6EADBB1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w:t>
            </w:r>
          </w:p>
        </w:tc>
        <w:tc>
          <w:tcPr>
            <w:tcW w:w="1080" w:type="pct"/>
            <w:vAlign w:val="center"/>
          </w:tcPr>
          <w:p w14:paraId="4A288E5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942" w:type="pct"/>
            <w:vMerge w:val="continue"/>
            <w:vAlign w:val="center"/>
          </w:tcPr>
          <w:p w14:paraId="28691860">
            <w:pPr>
              <w:pStyle w:val="146"/>
              <w:rPr>
                <w:rFonts w:hint="default" w:ascii="Times New Roman" w:hAnsi="Times New Roman" w:eastAsia="宋体" w:cs="Times New Roman"/>
                <w:color w:val="auto"/>
                <w:highlight w:val="none"/>
              </w:rPr>
            </w:pPr>
          </w:p>
        </w:tc>
      </w:tr>
    </w:tbl>
    <w:p w14:paraId="337475DC">
      <w:pPr>
        <w:pStyle w:val="210"/>
        <w:rPr>
          <w:color w:val="auto"/>
          <w:highlight w:val="none"/>
        </w:rPr>
      </w:pPr>
      <w:r>
        <w:rPr>
          <w:color w:val="auto"/>
          <w:highlight w:val="none"/>
        </w:rPr>
        <w:t>表</w:t>
      </w:r>
      <w:r>
        <w:rPr>
          <w:rFonts w:hint="eastAsia"/>
          <w:color w:val="auto"/>
          <w:highlight w:val="none"/>
          <w:lang w:val="en-US" w:eastAsia="zh-CN"/>
        </w:rPr>
        <w:t>2-5</w:t>
      </w:r>
      <w:r>
        <w:rPr>
          <w:color w:val="auto"/>
          <w:highlight w:val="none"/>
        </w:rPr>
        <w:t>-</w:t>
      </w:r>
      <w:r>
        <w:rPr>
          <w:rFonts w:hint="eastAsia"/>
          <w:color w:val="auto"/>
          <w:highlight w:val="none"/>
          <w:lang w:val="en-US" w:eastAsia="zh-CN"/>
        </w:rPr>
        <w:t>3</w:t>
      </w:r>
      <w:r>
        <w:rPr>
          <w:color w:val="auto"/>
          <w:highlight w:val="none"/>
        </w:rPr>
        <w:t>主要废气污染源参数一览表(点源)</w:t>
      </w:r>
    </w:p>
    <w:tbl>
      <w:tblPr>
        <w:tblStyle w:val="47"/>
        <w:tblpPr w:leftFromText="180" w:rightFromText="180" w:vertAnchor="text" w:tblpXSpec="center" w:tblpY="1"/>
        <w:tblOverlap w:val="never"/>
        <w:tblW w:w="5058" w:type="pct"/>
        <w:tblInd w:w="-17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77"/>
        <w:gridCol w:w="887"/>
        <w:gridCol w:w="833"/>
        <w:gridCol w:w="662"/>
        <w:gridCol w:w="826"/>
        <w:gridCol w:w="775"/>
        <w:gridCol w:w="700"/>
        <w:gridCol w:w="825"/>
        <w:gridCol w:w="454"/>
        <w:gridCol w:w="655"/>
        <w:gridCol w:w="517"/>
        <w:gridCol w:w="470"/>
        <w:gridCol w:w="523"/>
      </w:tblGrid>
      <w:tr w14:paraId="51481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64" w:type="pct"/>
            <w:vMerge w:val="restart"/>
            <w:vAlign w:val="center"/>
          </w:tcPr>
          <w:p w14:paraId="364F9F1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527" w:type="pct"/>
            <w:vMerge w:val="restart"/>
            <w:vAlign w:val="center"/>
          </w:tcPr>
          <w:p w14:paraId="595AFB7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889" w:type="pct"/>
            <w:gridSpan w:val="2"/>
            <w:vAlign w:val="center"/>
          </w:tcPr>
          <w:p w14:paraId="2A6A458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排气筒底部中心坐标</w:t>
            </w:r>
          </w:p>
        </w:tc>
        <w:tc>
          <w:tcPr>
            <w:tcW w:w="491" w:type="pct"/>
            <w:vMerge w:val="restart"/>
            <w:vAlign w:val="center"/>
          </w:tcPr>
          <w:p w14:paraId="10277A7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排气筒底部海拔高度（m）</w:t>
            </w:r>
          </w:p>
        </w:tc>
        <w:tc>
          <w:tcPr>
            <w:tcW w:w="461" w:type="pct"/>
            <w:vMerge w:val="restart"/>
            <w:vAlign w:val="center"/>
          </w:tcPr>
          <w:p w14:paraId="12AEA4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排气筒高度（m）</w:t>
            </w:r>
          </w:p>
        </w:tc>
        <w:tc>
          <w:tcPr>
            <w:tcW w:w="416" w:type="pct"/>
            <w:vMerge w:val="restart"/>
            <w:vAlign w:val="center"/>
          </w:tcPr>
          <w:p w14:paraId="27C3AE7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排气筒出口内径（m）</w:t>
            </w:r>
          </w:p>
        </w:tc>
        <w:tc>
          <w:tcPr>
            <w:tcW w:w="490" w:type="pct"/>
            <w:vMerge w:val="restart"/>
            <w:vAlign w:val="center"/>
          </w:tcPr>
          <w:p w14:paraId="041D72B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烟气流速（m/s）</w:t>
            </w:r>
          </w:p>
        </w:tc>
        <w:tc>
          <w:tcPr>
            <w:tcW w:w="270" w:type="pct"/>
            <w:vMerge w:val="restart"/>
            <w:vAlign w:val="center"/>
          </w:tcPr>
          <w:p w14:paraId="3D0B7A1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烟气温度</w:t>
            </w:r>
          </w:p>
          <w:p w14:paraId="02AC2E2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89" w:type="pct"/>
            <w:vMerge w:val="restart"/>
            <w:vAlign w:val="center"/>
          </w:tcPr>
          <w:p w14:paraId="5C938CE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年排放小时数（h）</w:t>
            </w:r>
          </w:p>
        </w:tc>
        <w:tc>
          <w:tcPr>
            <w:tcW w:w="307" w:type="pct"/>
            <w:vMerge w:val="restart"/>
            <w:vAlign w:val="center"/>
          </w:tcPr>
          <w:p w14:paraId="40206DC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排放工况</w:t>
            </w:r>
          </w:p>
        </w:tc>
        <w:tc>
          <w:tcPr>
            <w:tcW w:w="590" w:type="pct"/>
            <w:gridSpan w:val="2"/>
            <w:vMerge w:val="restart"/>
            <w:vAlign w:val="center"/>
          </w:tcPr>
          <w:p w14:paraId="0E93AC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污染物排放速率（kg/h）</w:t>
            </w:r>
          </w:p>
        </w:tc>
      </w:tr>
      <w:tr w14:paraId="3C34E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2" w:hRule="atLeast"/>
        </w:trPr>
        <w:tc>
          <w:tcPr>
            <w:tcW w:w="164" w:type="pct"/>
            <w:vMerge w:val="continue"/>
            <w:vAlign w:val="center"/>
          </w:tcPr>
          <w:p w14:paraId="260FAAB2">
            <w:pPr>
              <w:pStyle w:val="146"/>
              <w:rPr>
                <w:rFonts w:hint="default" w:ascii="Times New Roman" w:hAnsi="Times New Roman" w:eastAsia="宋体" w:cs="Times New Roman"/>
                <w:color w:val="auto"/>
                <w:highlight w:val="none"/>
              </w:rPr>
            </w:pPr>
          </w:p>
        </w:tc>
        <w:tc>
          <w:tcPr>
            <w:tcW w:w="527" w:type="pct"/>
            <w:vMerge w:val="continue"/>
            <w:vAlign w:val="center"/>
          </w:tcPr>
          <w:p w14:paraId="767A1940">
            <w:pPr>
              <w:pStyle w:val="146"/>
              <w:rPr>
                <w:rFonts w:hint="default" w:ascii="Times New Roman" w:hAnsi="Times New Roman" w:eastAsia="宋体" w:cs="Times New Roman"/>
                <w:color w:val="auto"/>
                <w:highlight w:val="none"/>
              </w:rPr>
            </w:pPr>
          </w:p>
        </w:tc>
        <w:tc>
          <w:tcPr>
            <w:tcW w:w="495" w:type="pct"/>
            <w:vMerge w:val="restart"/>
            <w:vAlign w:val="center"/>
          </w:tcPr>
          <w:p w14:paraId="607D00F7">
            <w:pPr>
              <w:pStyle w:val="146"/>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经度</w:t>
            </w:r>
            <w:r>
              <w:rPr>
                <w:rFonts w:hint="eastAsia" w:eastAsia="宋体" w:cs="Times New Roman"/>
                <w:color w:val="auto"/>
                <w:highlight w:val="none"/>
                <w:lang w:eastAsia="zh-CN"/>
              </w:rPr>
              <w:t>（</w:t>
            </w:r>
            <w:r>
              <w:rPr>
                <w:rFonts w:hint="eastAsia" w:eastAsia="宋体" w:cs="Times New Roman"/>
                <w:color w:val="auto"/>
                <w:highlight w:val="none"/>
                <w:lang w:val="en-US" w:eastAsia="zh-CN"/>
              </w:rPr>
              <w:t>X</w:t>
            </w:r>
            <w:r>
              <w:rPr>
                <w:rFonts w:hint="eastAsia" w:eastAsia="宋体" w:cs="Times New Roman"/>
                <w:color w:val="auto"/>
                <w:highlight w:val="none"/>
                <w:lang w:eastAsia="zh-CN"/>
              </w:rPr>
              <w:t>）</w:t>
            </w:r>
          </w:p>
        </w:tc>
        <w:tc>
          <w:tcPr>
            <w:tcW w:w="393" w:type="pct"/>
            <w:vMerge w:val="restart"/>
            <w:vAlign w:val="center"/>
          </w:tcPr>
          <w:p w14:paraId="49343E2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纬度</w:t>
            </w:r>
            <w:r>
              <w:rPr>
                <w:rFonts w:hint="eastAsia" w:eastAsia="宋体" w:cs="Times New Roman"/>
                <w:color w:val="auto"/>
                <w:highlight w:val="none"/>
                <w:lang w:val="en-US" w:eastAsia="zh-CN"/>
              </w:rPr>
              <w:t>(Y)</w:t>
            </w:r>
          </w:p>
        </w:tc>
        <w:tc>
          <w:tcPr>
            <w:tcW w:w="491" w:type="pct"/>
            <w:vMerge w:val="continue"/>
            <w:vAlign w:val="center"/>
          </w:tcPr>
          <w:p w14:paraId="45F2BB11">
            <w:pPr>
              <w:pStyle w:val="146"/>
              <w:rPr>
                <w:rFonts w:hint="default" w:ascii="Times New Roman" w:hAnsi="Times New Roman" w:eastAsia="宋体" w:cs="Times New Roman"/>
                <w:color w:val="auto"/>
                <w:highlight w:val="none"/>
              </w:rPr>
            </w:pPr>
          </w:p>
        </w:tc>
        <w:tc>
          <w:tcPr>
            <w:tcW w:w="461" w:type="pct"/>
            <w:vMerge w:val="continue"/>
            <w:vAlign w:val="center"/>
          </w:tcPr>
          <w:p w14:paraId="6E236761">
            <w:pPr>
              <w:pStyle w:val="146"/>
              <w:rPr>
                <w:rFonts w:hint="default" w:ascii="Times New Roman" w:hAnsi="Times New Roman" w:eastAsia="宋体" w:cs="Times New Roman"/>
                <w:color w:val="auto"/>
                <w:highlight w:val="none"/>
              </w:rPr>
            </w:pPr>
          </w:p>
        </w:tc>
        <w:tc>
          <w:tcPr>
            <w:tcW w:w="416" w:type="pct"/>
            <w:vMerge w:val="continue"/>
            <w:vAlign w:val="center"/>
          </w:tcPr>
          <w:p w14:paraId="342702C3">
            <w:pPr>
              <w:pStyle w:val="146"/>
              <w:rPr>
                <w:rFonts w:hint="default" w:ascii="Times New Roman" w:hAnsi="Times New Roman" w:eastAsia="宋体" w:cs="Times New Roman"/>
                <w:color w:val="auto"/>
                <w:highlight w:val="none"/>
              </w:rPr>
            </w:pPr>
          </w:p>
        </w:tc>
        <w:tc>
          <w:tcPr>
            <w:tcW w:w="490" w:type="pct"/>
            <w:vMerge w:val="continue"/>
            <w:vAlign w:val="center"/>
          </w:tcPr>
          <w:p w14:paraId="2063F083">
            <w:pPr>
              <w:pStyle w:val="146"/>
              <w:rPr>
                <w:rFonts w:hint="default" w:ascii="Times New Roman" w:hAnsi="Times New Roman" w:eastAsia="宋体" w:cs="Times New Roman"/>
                <w:color w:val="auto"/>
                <w:highlight w:val="none"/>
              </w:rPr>
            </w:pPr>
          </w:p>
        </w:tc>
        <w:tc>
          <w:tcPr>
            <w:tcW w:w="270" w:type="pct"/>
            <w:vMerge w:val="continue"/>
            <w:vAlign w:val="center"/>
          </w:tcPr>
          <w:p w14:paraId="702EC92D">
            <w:pPr>
              <w:pStyle w:val="146"/>
              <w:rPr>
                <w:rFonts w:hint="default" w:ascii="Times New Roman" w:hAnsi="Times New Roman" w:eastAsia="宋体" w:cs="Times New Roman"/>
                <w:color w:val="auto"/>
                <w:highlight w:val="none"/>
              </w:rPr>
            </w:pPr>
          </w:p>
        </w:tc>
        <w:tc>
          <w:tcPr>
            <w:tcW w:w="389" w:type="pct"/>
            <w:vMerge w:val="continue"/>
            <w:vAlign w:val="center"/>
          </w:tcPr>
          <w:p w14:paraId="6BD714E8">
            <w:pPr>
              <w:pStyle w:val="146"/>
              <w:rPr>
                <w:rFonts w:hint="default" w:ascii="Times New Roman" w:hAnsi="Times New Roman" w:eastAsia="宋体" w:cs="Times New Roman"/>
                <w:color w:val="auto"/>
                <w:highlight w:val="none"/>
              </w:rPr>
            </w:pPr>
          </w:p>
        </w:tc>
        <w:tc>
          <w:tcPr>
            <w:tcW w:w="307" w:type="pct"/>
            <w:vMerge w:val="continue"/>
            <w:vAlign w:val="center"/>
          </w:tcPr>
          <w:p w14:paraId="7E48B5C1">
            <w:pPr>
              <w:pStyle w:val="146"/>
              <w:rPr>
                <w:rFonts w:hint="default" w:ascii="Times New Roman" w:hAnsi="Times New Roman" w:eastAsia="宋体" w:cs="Times New Roman"/>
                <w:color w:val="auto"/>
                <w:highlight w:val="none"/>
              </w:rPr>
            </w:pPr>
          </w:p>
        </w:tc>
        <w:tc>
          <w:tcPr>
            <w:tcW w:w="590" w:type="pct"/>
            <w:gridSpan w:val="2"/>
            <w:vMerge w:val="continue"/>
            <w:vAlign w:val="center"/>
          </w:tcPr>
          <w:p w14:paraId="4AA225A1">
            <w:pPr>
              <w:pStyle w:val="146"/>
              <w:rPr>
                <w:rFonts w:hint="default" w:ascii="Times New Roman" w:hAnsi="Times New Roman" w:eastAsia="宋体" w:cs="Times New Roman"/>
                <w:color w:val="auto"/>
                <w:highlight w:val="none"/>
              </w:rPr>
            </w:pPr>
          </w:p>
        </w:tc>
      </w:tr>
      <w:tr w14:paraId="36340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 w:hRule="atLeast"/>
        </w:trPr>
        <w:tc>
          <w:tcPr>
            <w:tcW w:w="164" w:type="pct"/>
            <w:vMerge w:val="continue"/>
            <w:vAlign w:val="center"/>
          </w:tcPr>
          <w:p w14:paraId="4D59CBA5">
            <w:pPr>
              <w:pStyle w:val="146"/>
              <w:rPr>
                <w:rFonts w:hint="default" w:ascii="Times New Roman" w:hAnsi="Times New Roman" w:eastAsia="宋体" w:cs="Times New Roman"/>
                <w:color w:val="auto"/>
                <w:highlight w:val="none"/>
              </w:rPr>
            </w:pPr>
          </w:p>
        </w:tc>
        <w:tc>
          <w:tcPr>
            <w:tcW w:w="527" w:type="pct"/>
            <w:vMerge w:val="continue"/>
            <w:vAlign w:val="center"/>
          </w:tcPr>
          <w:p w14:paraId="08116637">
            <w:pPr>
              <w:pStyle w:val="146"/>
              <w:rPr>
                <w:rFonts w:hint="default" w:ascii="Times New Roman" w:hAnsi="Times New Roman" w:eastAsia="宋体" w:cs="Times New Roman"/>
                <w:color w:val="auto"/>
                <w:highlight w:val="none"/>
              </w:rPr>
            </w:pPr>
          </w:p>
        </w:tc>
        <w:tc>
          <w:tcPr>
            <w:tcW w:w="495" w:type="pct"/>
            <w:vMerge w:val="continue"/>
            <w:vAlign w:val="center"/>
          </w:tcPr>
          <w:p w14:paraId="37B0CF7C">
            <w:pPr>
              <w:pStyle w:val="146"/>
              <w:rPr>
                <w:rFonts w:hint="default" w:ascii="Times New Roman" w:hAnsi="Times New Roman" w:eastAsia="宋体" w:cs="Times New Roman"/>
                <w:color w:val="auto"/>
                <w:highlight w:val="none"/>
              </w:rPr>
            </w:pPr>
          </w:p>
        </w:tc>
        <w:tc>
          <w:tcPr>
            <w:tcW w:w="393" w:type="pct"/>
            <w:vMerge w:val="continue"/>
            <w:vAlign w:val="center"/>
          </w:tcPr>
          <w:p w14:paraId="6A766A42">
            <w:pPr>
              <w:pStyle w:val="146"/>
              <w:rPr>
                <w:rFonts w:hint="default" w:ascii="Times New Roman" w:hAnsi="Times New Roman" w:eastAsia="宋体" w:cs="Times New Roman"/>
                <w:color w:val="auto"/>
                <w:highlight w:val="none"/>
              </w:rPr>
            </w:pPr>
          </w:p>
        </w:tc>
        <w:tc>
          <w:tcPr>
            <w:tcW w:w="491" w:type="pct"/>
            <w:vMerge w:val="continue"/>
            <w:vAlign w:val="center"/>
          </w:tcPr>
          <w:p w14:paraId="136CA203">
            <w:pPr>
              <w:pStyle w:val="146"/>
              <w:rPr>
                <w:rFonts w:hint="default" w:ascii="Times New Roman" w:hAnsi="Times New Roman" w:eastAsia="宋体" w:cs="Times New Roman"/>
                <w:color w:val="auto"/>
                <w:highlight w:val="none"/>
              </w:rPr>
            </w:pPr>
          </w:p>
        </w:tc>
        <w:tc>
          <w:tcPr>
            <w:tcW w:w="461" w:type="pct"/>
            <w:vMerge w:val="continue"/>
            <w:vAlign w:val="center"/>
          </w:tcPr>
          <w:p w14:paraId="10DF64CB">
            <w:pPr>
              <w:pStyle w:val="146"/>
              <w:rPr>
                <w:rFonts w:hint="default" w:ascii="Times New Roman" w:hAnsi="Times New Roman" w:eastAsia="宋体" w:cs="Times New Roman"/>
                <w:color w:val="auto"/>
                <w:highlight w:val="none"/>
              </w:rPr>
            </w:pPr>
          </w:p>
        </w:tc>
        <w:tc>
          <w:tcPr>
            <w:tcW w:w="416" w:type="pct"/>
            <w:vMerge w:val="continue"/>
            <w:vAlign w:val="center"/>
          </w:tcPr>
          <w:p w14:paraId="12F88D7F">
            <w:pPr>
              <w:pStyle w:val="146"/>
              <w:rPr>
                <w:rFonts w:hint="default" w:ascii="Times New Roman" w:hAnsi="Times New Roman" w:eastAsia="宋体" w:cs="Times New Roman"/>
                <w:color w:val="auto"/>
                <w:highlight w:val="none"/>
              </w:rPr>
            </w:pPr>
          </w:p>
        </w:tc>
        <w:tc>
          <w:tcPr>
            <w:tcW w:w="490" w:type="pct"/>
            <w:vMerge w:val="continue"/>
            <w:vAlign w:val="center"/>
          </w:tcPr>
          <w:p w14:paraId="36EC6E40">
            <w:pPr>
              <w:pStyle w:val="146"/>
              <w:rPr>
                <w:rFonts w:hint="default" w:ascii="Times New Roman" w:hAnsi="Times New Roman" w:eastAsia="宋体" w:cs="Times New Roman"/>
                <w:color w:val="auto"/>
                <w:highlight w:val="none"/>
              </w:rPr>
            </w:pPr>
          </w:p>
        </w:tc>
        <w:tc>
          <w:tcPr>
            <w:tcW w:w="270" w:type="pct"/>
            <w:vMerge w:val="continue"/>
            <w:vAlign w:val="center"/>
          </w:tcPr>
          <w:p w14:paraId="49C77017">
            <w:pPr>
              <w:pStyle w:val="146"/>
              <w:rPr>
                <w:rFonts w:hint="default" w:ascii="Times New Roman" w:hAnsi="Times New Roman" w:eastAsia="宋体" w:cs="Times New Roman"/>
                <w:color w:val="auto"/>
                <w:highlight w:val="none"/>
              </w:rPr>
            </w:pPr>
          </w:p>
        </w:tc>
        <w:tc>
          <w:tcPr>
            <w:tcW w:w="389" w:type="pct"/>
            <w:vMerge w:val="continue"/>
            <w:vAlign w:val="center"/>
          </w:tcPr>
          <w:p w14:paraId="57FEF2C9">
            <w:pPr>
              <w:pStyle w:val="146"/>
              <w:rPr>
                <w:rFonts w:hint="default" w:ascii="Times New Roman" w:hAnsi="Times New Roman" w:eastAsia="宋体" w:cs="Times New Roman"/>
                <w:color w:val="auto"/>
                <w:highlight w:val="none"/>
              </w:rPr>
            </w:pPr>
          </w:p>
        </w:tc>
        <w:tc>
          <w:tcPr>
            <w:tcW w:w="307" w:type="pct"/>
            <w:vMerge w:val="continue"/>
            <w:vAlign w:val="center"/>
          </w:tcPr>
          <w:p w14:paraId="133B9993">
            <w:pPr>
              <w:pStyle w:val="146"/>
              <w:rPr>
                <w:rFonts w:hint="default" w:ascii="Times New Roman" w:hAnsi="Times New Roman" w:eastAsia="宋体" w:cs="Times New Roman"/>
                <w:color w:val="auto"/>
                <w:highlight w:val="none"/>
              </w:rPr>
            </w:pPr>
          </w:p>
        </w:tc>
        <w:tc>
          <w:tcPr>
            <w:tcW w:w="279" w:type="pct"/>
            <w:vAlign w:val="center"/>
          </w:tcPr>
          <w:p w14:paraId="20B5EE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311" w:type="pct"/>
            <w:vAlign w:val="center"/>
          </w:tcPr>
          <w:p w14:paraId="77CD7A8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79499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64" w:type="pct"/>
            <w:vAlign w:val="center"/>
          </w:tcPr>
          <w:p w14:paraId="66B8B655">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DA001</w:t>
            </w:r>
          </w:p>
        </w:tc>
        <w:tc>
          <w:tcPr>
            <w:tcW w:w="527" w:type="pct"/>
            <w:vAlign w:val="center"/>
          </w:tcPr>
          <w:p w14:paraId="1E3C07B7">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堆肥间排气筒</w:t>
            </w:r>
          </w:p>
        </w:tc>
        <w:tc>
          <w:tcPr>
            <w:tcW w:w="495" w:type="pct"/>
            <w:vAlign w:val="center"/>
          </w:tcPr>
          <w:p w14:paraId="4E549F3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-135</w:t>
            </w:r>
          </w:p>
        </w:tc>
        <w:tc>
          <w:tcPr>
            <w:tcW w:w="393" w:type="pct"/>
            <w:vAlign w:val="center"/>
          </w:tcPr>
          <w:p w14:paraId="149321F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-81</w:t>
            </w:r>
          </w:p>
        </w:tc>
        <w:tc>
          <w:tcPr>
            <w:tcW w:w="491" w:type="pct"/>
            <w:vAlign w:val="center"/>
          </w:tcPr>
          <w:p w14:paraId="6743D4C7">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332</w:t>
            </w:r>
          </w:p>
        </w:tc>
        <w:tc>
          <w:tcPr>
            <w:tcW w:w="461" w:type="pct"/>
            <w:vAlign w:val="center"/>
          </w:tcPr>
          <w:p w14:paraId="0BDC1B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416" w:type="pct"/>
            <w:vAlign w:val="center"/>
          </w:tcPr>
          <w:p w14:paraId="5A2F208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0</w:t>
            </w:r>
          </w:p>
        </w:tc>
        <w:tc>
          <w:tcPr>
            <w:tcW w:w="490" w:type="pct"/>
            <w:vAlign w:val="center"/>
          </w:tcPr>
          <w:p w14:paraId="54458B5C">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w:t>
            </w:r>
          </w:p>
        </w:tc>
        <w:tc>
          <w:tcPr>
            <w:tcW w:w="270" w:type="pct"/>
            <w:vAlign w:val="center"/>
          </w:tcPr>
          <w:p w14:paraId="1499FB4D">
            <w:pPr>
              <w:pStyle w:val="146"/>
              <w:rPr>
                <w:rFonts w:hint="eastAsia"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常温</w:t>
            </w:r>
          </w:p>
        </w:tc>
        <w:tc>
          <w:tcPr>
            <w:tcW w:w="389" w:type="pct"/>
            <w:vAlign w:val="center"/>
          </w:tcPr>
          <w:p w14:paraId="01B9DA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07" w:type="pct"/>
            <w:vAlign w:val="center"/>
          </w:tcPr>
          <w:p w14:paraId="3C1BCB9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正常排放工况</w:t>
            </w:r>
          </w:p>
        </w:tc>
        <w:tc>
          <w:tcPr>
            <w:tcW w:w="279" w:type="pct"/>
            <w:shd w:val="clear" w:color="auto" w:fill="auto"/>
            <w:vAlign w:val="center"/>
          </w:tcPr>
          <w:p w14:paraId="660B609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.045</w:t>
            </w:r>
          </w:p>
        </w:tc>
        <w:tc>
          <w:tcPr>
            <w:tcW w:w="311" w:type="pct"/>
            <w:shd w:val="clear" w:color="auto" w:fill="auto"/>
            <w:vAlign w:val="center"/>
          </w:tcPr>
          <w:p w14:paraId="02B68A92">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lang w:val="en-US" w:eastAsia="zh-CN"/>
              </w:rPr>
              <w:t>0.00</w:t>
            </w:r>
            <w:r>
              <w:rPr>
                <w:rFonts w:hint="eastAsia" w:eastAsia="宋体" w:cs="Times New Roman"/>
                <w:color w:val="auto"/>
                <w:highlight w:val="none"/>
                <w:lang w:val="en-US" w:eastAsia="zh-CN"/>
              </w:rPr>
              <w:t>456</w:t>
            </w:r>
          </w:p>
        </w:tc>
      </w:tr>
    </w:tbl>
    <w:p w14:paraId="05D804C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w:t>
      </w:r>
      <w:r>
        <w:rPr>
          <w:rFonts w:hint="eastAsia" w:cs="Times New Roman"/>
          <w:color w:val="auto"/>
          <w:highlight w:val="none"/>
          <w:lang w:val="en-US" w:eastAsia="zh-CN"/>
        </w:rPr>
        <w:t>4</w:t>
      </w:r>
      <w:r>
        <w:rPr>
          <w:rFonts w:hint="default" w:ascii="Times New Roman" w:hAnsi="Times New Roman" w:cs="Times New Roman"/>
          <w:color w:val="auto"/>
          <w:highlight w:val="none"/>
        </w:rPr>
        <w:t xml:space="preserve">主要废气污染源参数一览表(矩形面源) </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7"/>
        <w:gridCol w:w="367"/>
        <w:gridCol w:w="677"/>
        <w:gridCol w:w="675"/>
        <w:gridCol w:w="800"/>
        <w:gridCol w:w="812"/>
        <w:gridCol w:w="875"/>
        <w:gridCol w:w="738"/>
        <w:gridCol w:w="647"/>
        <w:gridCol w:w="594"/>
        <w:gridCol w:w="367"/>
        <w:gridCol w:w="632"/>
        <w:gridCol w:w="755"/>
      </w:tblGrid>
      <w:tr w14:paraId="2D0E74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367" w:type="dxa"/>
            <w:vMerge w:val="restart"/>
            <w:vAlign w:val="center"/>
          </w:tcPr>
          <w:p w14:paraId="1DEA48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367" w:type="dxa"/>
            <w:vMerge w:val="restart"/>
            <w:vAlign w:val="center"/>
          </w:tcPr>
          <w:p w14:paraId="593FBF2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1352" w:type="dxa"/>
            <w:gridSpan w:val="2"/>
            <w:vAlign w:val="center"/>
          </w:tcPr>
          <w:p w14:paraId="3E697D0D">
            <w:pPr>
              <w:pStyle w:val="146"/>
              <w:ind w:firstLine="0" w:firstLineChars="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排放源</w:t>
            </w:r>
            <w:r>
              <w:rPr>
                <w:rFonts w:hint="default" w:ascii="Times New Roman" w:hAnsi="Times New Roman" w:eastAsia="宋体" w:cs="Times New Roman"/>
                <w:color w:val="auto"/>
                <w:highlight w:val="none"/>
              </w:rPr>
              <w:t>中心坐标（o）</w:t>
            </w:r>
          </w:p>
        </w:tc>
        <w:tc>
          <w:tcPr>
            <w:tcW w:w="800" w:type="dxa"/>
            <w:vMerge w:val="restart"/>
            <w:vAlign w:val="center"/>
          </w:tcPr>
          <w:p w14:paraId="2D9D002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面源海拔高度（m）</w:t>
            </w:r>
          </w:p>
        </w:tc>
        <w:tc>
          <w:tcPr>
            <w:tcW w:w="812" w:type="dxa"/>
            <w:vMerge w:val="restart"/>
            <w:vAlign w:val="center"/>
          </w:tcPr>
          <w:p w14:paraId="2A3A4E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面源长度（m）</w:t>
            </w:r>
          </w:p>
        </w:tc>
        <w:tc>
          <w:tcPr>
            <w:tcW w:w="875" w:type="dxa"/>
            <w:vMerge w:val="restart"/>
            <w:vAlign w:val="center"/>
          </w:tcPr>
          <w:p w14:paraId="0FBF61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面源宽度（m）</w:t>
            </w:r>
          </w:p>
        </w:tc>
        <w:tc>
          <w:tcPr>
            <w:tcW w:w="738" w:type="dxa"/>
            <w:vMerge w:val="restart"/>
            <w:vAlign w:val="center"/>
          </w:tcPr>
          <w:p w14:paraId="619C3B3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与正北向夹角（°）</w:t>
            </w:r>
          </w:p>
        </w:tc>
        <w:tc>
          <w:tcPr>
            <w:tcW w:w="647" w:type="dxa"/>
            <w:vMerge w:val="restart"/>
            <w:vAlign w:val="center"/>
          </w:tcPr>
          <w:p w14:paraId="53C9D9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面源有效排放高度（m）</w:t>
            </w:r>
          </w:p>
        </w:tc>
        <w:tc>
          <w:tcPr>
            <w:tcW w:w="594" w:type="dxa"/>
            <w:vMerge w:val="restart"/>
            <w:vAlign w:val="center"/>
          </w:tcPr>
          <w:p w14:paraId="7637D86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年排放小时数（h）</w:t>
            </w:r>
          </w:p>
        </w:tc>
        <w:tc>
          <w:tcPr>
            <w:tcW w:w="367" w:type="dxa"/>
            <w:vMerge w:val="restart"/>
            <w:vAlign w:val="center"/>
          </w:tcPr>
          <w:p w14:paraId="68F393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排放工况</w:t>
            </w:r>
          </w:p>
        </w:tc>
        <w:tc>
          <w:tcPr>
            <w:tcW w:w="1387" w:type="dxa"/>
            <w:gridSpan w:val="2"/>
            <w:vAlign w:val="center"/>
          </w:tcPr>
          <w:p w14:paraId="4FD54AD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污染物排放速率（kg/h）</w:t>
            </w:r>
          </w:p>
        </w:tc>
      </w:tr>
      <w:tr w14:paraId="2C714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67" w:type="dxa"/>
            <w:vMerge w:val="continue"/>
            <w:vAlign w:val="center"/>
          </w:tcPr>
          <w:p w14:paraId="3193C469">
            <w:pPr>
              <w:pStyle w:val="146"/>
              <w:rPr>
                <w:rFonts w:hint="default" w:ascii="Times New Roman" w:hAnsi="Times New Roman" w:eastAsia="宋体" w:cs="Times New Roman"/>
                <w:color w:val="auto"/>
                <w:highlight w:val="none"/>
              </w:rPr>
            </w:pPr>
          </w:p>
        </w:tc>
        <w:tc>
          <w:tcPr>
            <w:tcW w:w="367" w:type="dxa"/>
            <w:vMerge w:val="continue"/>
            <w:vAlign w:val="center"/>
          </w:tcPr>
          <w:p w14:paraId="4E243630">
            <w:pPr>
              <w:pStyle w:val="146"/>
              <w:rPr>
                <w:rFonts w:hint="default" w:ascii="Times New Roman" w:hAnsi="Times New Roman" w:eastAsia="宋体" w:cs="Times New Roman"/>
                <w:color w:val="auto"/>
                <w:highlight w:val="none"/>
              </w:rPr>
            </w:pPr>
          </w:p>
        </w:tc>
        <w:tc>
          <w:tcPr>
            <w:tcW w:w="677" w:type="dxa"/>
            <w:vAlign w:val="center"/>
          </w:tcPr>
          <w:p w14:paraId="07FC577D">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经度</w:t>
            </w:r>
          </w:p>
        </w:tc>
        <w:tc>
          <w:tcPr>
            <w:tcW w:w="675" w:type="dxa"/>
            <w:vAlign w:val="center"/>
          </w:tcPr>
          <w:p w14:paraId="4D58275D">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纬度</w:t>
            </w:r>
          </w:p>
        </w:tc>
        <w:tc>
          <w:tcPr>
            <w:tcW w:w="800" w:type="dxa"/>
            <w:vMerge w:val="continue"/>
            <w:vAlign w:val="center"/>
          </w:tcPr>
          <w:p w14:paraId="377D46E8">
            <w:pPr>
              <w:pStyle w:val="146"/>
              <w:rPr>
                <w:rFonts w:hint="default" w:ascii="Times New Roman" w:hAnsi="Times New Roman" w:eastAsia="宋体" w:cs="Times New Roman"/>
                <w:color w:val="auto"/>
                <w:highlight w:val="none"/>
              </w:rPr>
            </w:pPr>
          </w:p>
        </w:tc>
        <w:tc>
          <w:tcPr>
            <w:tcW w:w="812" w:type="dxa"/>
            <w:vMerge w:val="continue"/>
            <w:vAlign w:val="center"/>
          </w:tcPr>
          <w:p w14:paraId="3DB5EA60">
            <w:pPr>
              <w:pStyle w:val="146"/>
              <w:rPr>
                <w:rFonts w:hint="default" w:ascii="Times New Roman" w:hAnsi="Times New Roman" w:eastAsia="宋体" w:cs="Times New Roman"/>
                <w:color w:val="auto"/>
                <w:highlight w:val="none"/>
              </w:rPr>
            </w:pPr>
          </w:p>
        </w:tc>
        <w:tc>
          <w:tcPr>
            <w:tcW w:w="875" w:type="dxa"/>
            <w:vMerge w:val="continue"/>
            <w:vAlign w:val="center"/>
          </w:tcPr>
          <w:p w14:paraId="499E5DF5">
            <w:pPr>
              <w:pStyle w:val="146"/>
              <w:rPr>
                <w:rFonts w:hint="default" w:ascii="Times New Roman" w:hAnsi="Times New Roman" w:eastAsia="宋体" w:cs="Times New Roman"/>
                <w:color w:val="auto"/>
                <w:highlight w:val="none"/>
              </w:rPr>
            </w:pPr>
          </w:p>
        </w:tc>
        <w:tc>
          <w:tcPr>
            <w:tcW w:w="738" w:type="dxa"/>
            <w:vMerge w:val="continue"/>
            <w:vAlign w:val="center"/>
          </w:tcPr>
          <w:p w14:paraId="65FAE256">
            <w:pPr>
              <w:pStyle w:val="146"/>
              <w:rPr>
                <w:rFonts w:hint="default" w:ascii="Times New Roman" w:hAnsi="Times New Roman" w:eastAsia="宋体" w:cs="Times New Roman"/>
                <w:color w:val="auto"/>
                <w:highlight w:val="none"/>
              </w:rPr>
            </w:pPr>
          </w:p>
        </w:tc>
        <w:tc>
          <w:tcPr>
            <w:tcW w:w="647" w:type="dxa"/>
            <w:vMerge w:val="continue"/>
            <w:vAlign w:val="center"/>
          </w:tcPr>
          <w:p w14:paraId="1AB65B87">
            <w:pPr>
              <w:pStyle w:val="146"/>
              <w:rPr>
                <w:rFonts w:hint="default" w:ascii="Times New Roman" w:hAnsi="Times New Roman" w:eastAsia="宋体" w:cs="Times New Roman"/>
                <w:color w:val="auto"/>
                <w:highlight w:val="none"/>
              </w:rPr>
            </w:pPr>
          </w:p>
        </w:tc>
        <w:tc>
          <w:tcPr>
            <w:tcW w:w="594" w:type="dxa"/>
            <w:vMerge w:val="continue"/>
            <w:vAlign w:val="center"/>
          </w:tcPr>
          <w:p w14:paraId="71717513">
            <w:pPr>
              <w:pStyle w:val="146"/>
              <w:rPr>
                <w:rFonts w:hint="default" w:ascii="Times New Roman" w:hAnsi="Times New Roman" w:eastAsia="宋体" w:cs="Times New Roman"/>
                <w:color w:val="auto"/>
                <w:highlight w:val="none"/>
              </w:rPr>
            </w:pPr>
          </w:p>
        </w:tc>
        <w:tc>
          <w:tcPr>
            <w:tcW w:w="367" w:type="dxa"/>
            <w:vMerge w:val="continue"/>
            <w:vAlign w:val="center"/>
          </w:tcPr>
          <w:p w14:paraId="0EC449CC">
            <w:pPr>
              <w:pStyle w:val="146"/>
              <w:rPr>
                <w:rFonts w:hint="default" w:ascii="Times New Roman" w:hAnsi="Times New Roman" w:eastAsia="宋体" w:cs="Times New Roman"/>
                <w:color w:val="auto"/>
                <w:highlight w:val="none"/>
              </w:rPr>
            </w:pPr>
          </w:p>
        </w:tc>
        <w:tc>
          <w:tcPr>
            <w:tcW w:w="632" w:type="dxa"/>
            <w:vAlign w:val="center"/>
          </w:tcPr>
          <w:p w14:paraId="11CC53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755" w:type="dxa"/>
            <w:vAlign w:val="center"/>
          </w:tcPr>
          <w:p w14:paraId="03EEBF5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011AD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67" w:type="dxa"/>
            <w:vAlign w:val="center"/>
          </w:tcPr>
          <w:p w14:paraId="25DF74F1">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367" w:type="dxa"/>
            <w:vAlign w:val="center"/>
          </w:tcPr>
          <w:p w14:paraId="6933AED3">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w:t>
            </w:r>
          </w:p>
        </w:tc>
        <w:tc>
          <w:tcPr>
            <w:tcW w:w="677" w:type="dxa"/>
            <w:vAlign w:val="center"/>
          </w:tcPr>
          <w:p w14:paraId="04FB3490">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127.347235</w:t>
            </w:r>
          </w:p>
        </w:tc>
        <w:tc>
          <w:tcPr>
            <w:tcW w:w="675" w:type="dxa"/>
            <w:vAlign w:val="center"/>
          </w:tcPr>
          <w:p w14:paraId="75DCF4BD">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49.524778</w:t>
            </w:r>
          </w:p>
        </w:tc>
        <w:tc>
          <w:tcPr>
            <w:tcW w:w="800" w:type="dxa"/>
            <w:vAlign w:val="center"/>
          </w:tcPr>
          <w:p w14:paraId="545A9290">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347</w:t>
            </w:r>
          </w:p>
        </w:tc>
        <w:tc>
          <w:tcPr>
            <w:tcW w:w="812" w:type="dxa"/>
            <w:vAlign w:val="center"/>
          </w:tcPr>
          <w:p w14:paraId="748A07F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660</w:t>
            </w:r>
          </w:p>
        </w:tc>
        <w:tc>
          <w:tcPr>
            <w:tcW w:w="875" w:type="dxa"/>
            <w:vAlign w:val="center"/>
          </w:tcPr>
          <w:p w14:paraId="031375F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450</w:t>
            </w:r>
          </w:p>
        </w:tc>
        <w:tc>
          <w:tcPr>
            <w:tcW w:w="738" w:type="dxa"/>
            <w:vAlign w:val="center"/>
          </w:tcPr>
          <w:p w14:paraId="19E37C9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647" w:type="dxa"/>
            <w:vAlign w:val="center"/>
          </w:tcPr>
          <w:p w14:paraId="72BB19A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2.5</w:t>
            </w:r>
          </w:p>
        </w:tc>
        <w:tc>
          <w:tcPr>
            <w:tcW w:w="594" w:type="dxa"/>
            <w:vAlign w:val="center"/>
          </w:tcPr>
          <w:p w14:paraId="6716743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67" w:type="dxa"/>
            <w:vAlign w:val="center"/>
          </w:tcPr>
          <w:p w14:paraId="6D5DA7F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w:t>
            </w:r>
          </w:p>
        </w:tc>
        <w:tc>
          <w:tcPr>
            <w:tcW w:w="632" w:type="dxa"/>
            <w:vAlign w:val="center"/>
          </w:tcPr>
          <w:p w14:paraId="4891546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0.072</w:t>
            </w:r>
          </w:p>
        </w:tc>
        <w:tc>
          <w:tcPr>
            <w:tcW w:w="755" w:type="dxa"/>
            <w:vAlign w:val="center"/>
          </w:tcPr>
          <w:p w14:paraId="5EDE0D9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kern w:val="0"/>
                <w:sz w:val="21"/>
                <w:szCs w:val="20"/>
                <w:highlight w:val="none"/>
                <w:lang w:val="en-US" w:eastAsia="zh-CN" w:bidi="ar-SA"/>
              </w:rPr>
              <w:t>1.</w:t>
            </w:r>
            <w:r>
              <w:rPr>
                <w:rFonts w:hint="eastAsia" w:eastAsia="宋体" w:cs="Times New Roman"/>
                <w:color w:val="auto"/>
                <w:kern w:val="0"/>
                <w:sz w:val="21"/>
                <w:szCs w:val="20"/>
                <w:highlight w:val="none"/>
                <w:lang w:val="en-US" w:eastAsia="zh-CN" w:bidi="ar-SA"/>
              </w:rPr>
              <w:t>59</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-3</w:t>
            </w:r>
          </w:p>
        </w:tc>
      </w:tr>
      <w:tr w14:paraId="7F81EA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67" w:type="dxa"/>
            <w:vAlign w:val="center"/>
          </w:tcPr>
          <w:p w14:paraId="262FB464">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367" w:type="dxa"/>
            <w:vAlign w:val="center"/>
          </w:tcPr>
          <w:p w14:paraId="7C2E2C28">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堆肥间</w:t>
            </w:r>
          </w:p>
        </w:tc>
        <w:tc>
          <w:tcPr>
            <w:tcW w:w="677" w:type="dxa"/>
            <w:vAlign w:val="center"/>
          </w:tcPr>
          <w:p w14:paraId="097BBBB3">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127.347892</w:t>
            </w:r>
          </w:p>
        </w:tc>
        <w:tc>
          <w:tcPr>
            <w:tcW w:w="675" w:type="dxa"/>
            <w:vAlign w:val="center"/>
          </w:tcPr>
          <w:p w14:paraId="66EA7574">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49.520956</w:t>
            </w:r>
          </w:p>
        </w:tc>
        <w:tc>
          <w:tcPr>
            <w:tcW w:w="800" w:type="dxa"/>
            <w:vAlign w:val="center"/>
          </w:tcPr>
          <w:p w14:paraId="3B0A3145">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333</w:t>
            </w:r>
          </w:p>
        </w:tc>
        <w:tc>
          <w:tcPr>
            <w:tcW w:w="812" w:type="dxa"/>
            <w:vAlign w:val="center"/>
          </w:tcPr>
          <w:p w14:paraId="0FF19A5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90</w:t>
            </w:r>
          </w:p>
        </w:tc>
        <w:tc>
          <w:tcPr>
            <w:tcW w:w="875" w:type="dxa"/>
            <w:vAlign w:val="center"/>
          </w:tcPr>
          <w:p w14:paraId="1366BAA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30</w:t>
            </w:r>
          </w:p>
        </w:tc>
        <w:tc>
          <w:tcPr>
            <w:tcW w:w="738" w:type="dxa"/>
            <w:vAlign w:val="center"/>
          </w:tcPr>
          <w:p w14:paraId="28A38A8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p>
        </w:tc>
        <w:tc>
          <w:tcPr>
            <w:tcW w:w="647" w:type="dxa"/>
            <w:vAlign w:val="center"/>
          </w:tcPr>
          <w:p w14:paraId="6581ABB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.5</w:t>
            </w:r>
          </w:p>
        </w:tc>
        <w:tc>
          <w:tcPr>
            <w:tcW w:w="594" w:type="dxa"/>
            <w:vAlign w:val="center"/>
          </w:tcPr>
          <w:p w14:paraId="5AB89D8A">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67" w:type="dxa"/>
            <w:vAlign w:val="center"/>
          </w:tcPr>
          <w:p w14:paraId="53B1F624">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w:t>
            </w:r>
          </w:p>
        </w:tc>
        <w:tc>
          <w:tcPr>
            <w:tcW w:w="632" w:type="dxa"/>
            <w:vAlign w:val="center"/>
          </w:tcPr>
          <w:p w14:paraId="2F42ACD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0.0144</w:t>
            </w:r>
          </w:p>
        </w:tc>
        <w:tc>
          <w:tcPr>
            <w:tcW w:w="755" w:type="dxa"/>
            <w:vAlign w:val="center"/>
          </w:tcPr>
          <w:p w14:paraId="4D2CC55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kern w:val="0"/>
                <w:sz w:val="21"/>
                <w:szCs w:val="20"/>
                <w:highlight w:val="none"/>
                <w:lang w:val="en-US" w:eastAsia="zh-CN" w:bidi="ar-SA"/>
              </w:rPr>
              <w:t>2.</w:t>
            </w:r>
            <w:r>
              <w:rPr>
                <w:rFonts w:hint="eastAsia" w:eastAsia="宋体" w:cs="Times New Roman"/>
                <w:color w:val="auto"/>
                <w:kern w:val="0"/>
                <w:sz w:val="21"/>
                <w:szCs w:val="20"/>
                <w:highlight w:val="none"/>
                <w:lang w:val="en-US" w:eastAsia="zh-CN" w:bidi="ar-SA"/>
              </w:rPr>
              <w:t>2</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-4</w:t>
            </w:r>
          </w:p>
        </w:tc>
      </w:tr>
    </w:tbl>
    <w:p w14:paraId="33FC5D3F">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估算模式参数表</w:t>
      </w:r>
    </w:p>
    <w:tbl>
      <w:tblPr>
        <w:tblStyle w:val="47"/>
        <w:tblW w:w="487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131"/>
        <w:gridCol w:w="2456"/>
        <w:gridCol w:w="3506"/>
      </w:tblGrid>
      <w:tr w14:paraId="72FC5A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2833" w:type="pct"/>
            <w:gridSpan w:val="2"/>
            <w:vAlign w:val="center"/>
          </w:tcPr>
          <w:p w14:paraId="1ADEDCF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参数</w:t>
            </w:r>
          </w:p>
        </w:tc>
        <w:tc>
          <w:tcPr>
            <w:tcW w:w="2166" w:type="pct"/>
            <w:vAlign w:val="center"/>
          </w:tcPr>
          <w:p w14:paraId="10B553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w:t>
            </w:r>
          </w:p>
        </w:tc>
      </w:tr>
      <w:tr w14:paraId="48F314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restart"/>
            <w:vAlign w:val="center"/>
          </w:tcPr>
          <w:p w14:paraId="76D07B3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城市农村/选项</w:t>
            </w:r>
          </w:p>
        </w:tc>
        <w:tc>
          <w:tcPr>
            <w:tcW w:w="1517" w:type="pct"/>
            <w:vAlign w:val="center"/>
          </w:tcPr>
          <w:p w14:paraId="0A19646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w:t>
            </w:r>
          </w:p>
        </w:tc>
        <w:tc>
          <w:tcPr>
            <w:tcW w:w="2166" w:type="pct"/>
            <w:vAlign w:val="center"/>
          </w:tcPr>
          <w:p w14:paraId="0BCDD78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农村</w:t>
            </w:r>
          </w:p>
        </w:tc>
      </w:tr>
      <w:tr w14:paraId="7E671B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continue"/>
            <w:vAlign w:val="center"/>
          </w:tcPr>
          <w:p w14:paraId="3278F725">
            <w:pPr>
              <w:pStyle w:val="146"/>
              <w:rPr>
                <w:rFonts w:hint="default" w:ascii="Times New Roman" w:hAnsi="Times New Roman" w:eastAsia="宋体" w:cs="Times New Roman"/>
                <w:color w:val="auto"/>
                <w:highlight w:val="none"/>
              </w:rPr>
            </w:pPr>
          </w:p>
        </w:tc>
        <w:tc>
          <w:tcPr>
            <w:tcW w:w="1517" w:type="pct"/>
            <w:vAlign w:val="center"/>
          </w:tcPr>
          <w:p w14:paraId="2660C9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人口数(城市人口数)</w:t>
            </w:r>
          </w:p>
        </w:tc>
        <w:tc>
          <w:tcPr>
            <w:tcW w:w="2166" w:type="pct"/>
            <w:vAlign w:val="center"/>
          </w:tcPr>
          <w:p w14:paraId="568B336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7.3</w:t>
            </w:r>
          </w:p>
        </w:tc>
      </w:tr>
      <w:tr w14:paraId="0D38D0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2833" w:type="pct"/>
            <w:gridSpan w:val="2"/>
            <w:vAlign w:val="center"/>
          </w:tcPr>
          <w:p w14:paraId="51AEBAA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最高环境温度</w:t>
            </w:r>
          </w:p>
        </w:tc>
        <w:tc>
          <w:tcPr>
            <w:tcW w:w="2166" w:type="pct"/>
            <w:vAlign w:val="center"/>
          </w:tcPr>
          <w:p w14:paraId="380439AD">
            <w:pPr>
              <w:pStyle w:val="146"/>
              <w:ind w:left="0" w:leftChars="0" w:firstLine="0" w:firstLineChars="0"/>
              <w:rPr>
                <w:rFonts w:hint="eastAsia" w:ascii="Times New Roman" w:hAnsi="Times New Roman" w:eastAsia="仿宋" w:cs="Times New Roman"/>
                <w:color w:val="auto"/>
                <w:highlight w:val="none"/>
                <w:lang w:val="en-US" w:eastAsia="zh-CN"/>
              </w:rPr>
            </w:pPr>
            <w:r>
              <w:rPr>
                <w:rFonts w:hint="default" w:ascii="Times New Roman" w:hAnsi="Times New Roman" w:cs="Times New Roman"/>
                <w:color w:val="auto"/>
                <w:highlight w:val="none"/>
              </w:rPr>
              <w:t>34.8</w:t>
            </w:r>
            <w:r>
              <w:rPr>
                <w:rFonts w:hint="eastAsia" w:ascii="Times New Roman" w:hAnsi="Times New Roman" w:cs="Times New Roman"/>
                <w:color w:val="auto"/>
                <w:highlight w:val="none"/>
                <w:lang w:val="en-US" w:eastAsia="zh-CN"/>
              </w:rPr>
              <w:t>℃</w:t>
            </w:r>
          </w:p>
        </w:tc>
      </w:tr>
      <w:tr w14:paraId="2BD3BA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2833" w:type="pct"/>
            <w:gridSpan w:val="2"/>
            <w:vAlign w:val="center"/>
          </w:tcPr>
          <w:p w14:paraId="2C7F9BC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最低环境温度</w:t>
            </w:r>
          </w:p>
        </w:tc>
        <w:tc>
          <w:tcPr>
            <w:tcW w:w="2166" w:type="pct"/>
            <w:vAlign w:val="center"/>
          </w:tcPr>
          <w:p w14:paraId="6F86DE9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rPr>
              <w:t>-48.1</w:t>
            </w:r>
            <w:r>
              <w:rPr>
                <w:rFonts w:hint="eastAsia" w:ascii="Times New Roman" w:hAnsi="Times New Roman" w:cs="Times New Roman"/>
                <w:color w:val="auto"/>
                <w:highlight w:val="none"/>
                <w:lang w:val="en-US" w:eastAsia="zh-CN"/>
              </w:rPr>
              <w:t>℃</w:t>
            </w:r>
          </w:p>
        </w:tc>
      </w:tr>
      <w:tr w14:paraId="079715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2833" w:type="pct"/>
            <w:gridSpan w:val="2"/>
            <w:vAlign w:val="center"/>
          </w:tcPr>
          <w:p w14:paraId="3EAB2FE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土地利用类型</w:t>
            </w:r>
          </w:p>
        </w:tc>
        <w:tc>
          <w:tcPr>
            <w:tcW w:w="2166" w:type="pct"/>
            <w:vAlign w:val="center"/>
          </w:tcPr>
          <w:p w14:paraId="55D48A03">
            <w:pPr>
              <w:pStyle w:val="146"/>
              <w:rPr>
                <w:rFonts w:hint="eastAsia"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林地</w:t>
            </w:r>
          </w:p>
        </w:tc>
      </w:tr>
      <w:tr w14:paraId="2F4A2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2833" w:type="pct"/>
            <w:gridSpan w:val="2"/>
            <w:vAlign w:val="center"/>
          </w:tcPr>
          <w:p w14:paraId="28E74FB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区域湿度条件</w:t>
            </w:r>
          </w:p>
        </w:tc>
        <w:tc>
          <w:tcPr>
            <w:tcW w:w="2166" w:type="pct"/>
            <w:vAlign w:val="center"/>
          </w:tcPr>
          <w:p w14:paraId="16FC48A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中等湿度</w:t>
            </w:r>
          </w:p>
        </w:tc>
      </w:tr>
      <w:tr w14:paraId="567DF3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restart"/>
            <w:vAlign w:val="center"/>
          </w:tcPr>
          <w:p w14:paraId="79D196E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是否考虑地形</w:t>
            </w:r>
          </w:p>
        </w:tc>
        <w:tc>
          <w:tcPr>
            <w:tcW w:w="1517" w:type="pct"/>
            <w:vAlign w:val="center"/>
          </w:tcPr>
          <w:p w14:paraId="4923053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考虑地形</w:t>
            </w:r>
          </w:p>
        </w:tc>
        <w:tc>
          <w:tcPr>
            <w:tcW w:w="2166" w:type="pct"/>
            <w:vAlign w:val="center"/>
          </w:tcPr>
          <w:p w14:paraId="26DC1F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14:paraId="47D5E2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continue"/>
            <w:vAlign w:val="center"/>
          </w:tcPr>
          <w:p w14:paraId="661F91DA">
            <w:pPr>
              <w:pStyle w:val="146"/>
              <w:rPr>
                <w:rFonts w:hint="default" w:ascii="Times New Roman" w:hAnsi="Times New Roman" w:eastAsia="宋体" w:cs="Times New Roman"/>
                <w:color w:val="auto"/>
                <w:highlight w:val="none"/>
              </w:rPr>
            </w:pPr>
          </w:p>
        </w:tc>
        <w:tc>
          <w:tcPr>
            <w:tcW w:w="1517" w:type="pct"/>
            <w:vAlign w:val="center"/>
          </w:tcPr>
          <w:p w14:paraId="582A88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地形数据分辨率(m)</w:t>
            </w:r>
          </w:p>
        </w:tc>
        <w:tc>
          <w:tcPr>
            <w:tcW w:w="2166" w:type="pct"/>
            <w:vAlign w:val="center"/>
          </w:tcPr>
          <w:p w14:paraId="3F6875A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w:t>
            </w:r>
          </w:p>
        </w:tc>
      </w:tr>
      <w:tr w14:paraId="641998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restart"/>
            <w:vAlign w:val="center"/>
          </w:tcPr>
          <w:p w14:paraId="716EA9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是否考虑海岸线熏烟</w:t>
            </w:r>
          </w:p>
        </w:tc>
        <w:tc>
          <w:tcPr>
            <w:tcW w:w="1517" w:type="pct"/>
            <w:vAlign w:val="center"/>
          </w:tcPr>
          <w:p w14:paraId="6EF004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考虑海岸线熏烟</w:t>
            </w:r>
          </w:p>
        </w:tc>
        <w:tc>
          <w:tcPr>
            <w:tcW w:w="2166" w:type="pct"/>
            <w:vAlign w:val="center"/>
          </w:tcPr>
          <w:p w14:paraId="28AAF51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否</w:t>
            </w:r>
          </w:p>
        </w:tc>
      </w:tr>
      <w:tr w14:paraId="3263E5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continue"/>
            <w:vAlign w:val="center"/>
          </w:tcPr>
          <w:p w14:paraId="4BECFFF4">
            <w:pPr>
              <w:pStyle w:val="146"/>
              <w:rPr>
                <w:rFonts w:hint="default" w:ascii="Times New Roman" w:hAnsi="Times New Roman" w:eastAsia="宋体" w:cs="Times New Roman"/>
                <w:color w:val="auto"/>
                <w:highlight w:val="none"/>
              </w:rPr>
            </w:pPr>
          </w:p>
        </w:tc>
        <w:tc>
          <w:tcPr>
            <w:tcW w:w="1517" w:type="pct"/>
            <w:vAlign w:val="center"/>
          </w:tcPr>
          <w:p w14:paraId="4EB6F3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海岸线距离/km</w:t>
            </w:r>
          </w:p>
        </w:tc>
        <w:tc>
          <w:tcPr>
            <w:tcW w:w="2166" w:type="pct"/>
            <w:vAlign w:val="center"/>
          </w:tcPr>
          <w:p w14:paraId="6B2FD5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49FE1B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1316" w:type="pct"/>
            <w:vMerge w:val="continue"/>
            <w:vAlign w:val="center"/>
          </w:tcPr>
          <w:p w14:paraId="54BD9875">
            <w:pPr>
              <w:pStyle w:val="146"/>
              <w:rPr>
                <w:rFonts w:hint="default" w:ascii="Times New Roman" w:hAnsi="Times New Roman" w:eastAsia="宋体" w:cs="Times New Roman"/>
                <w:color w:val="auto"/>
                <w:highlight w:val="none"/>
              </w:rPr>
            </w:pPr>
          </w:p>
        </w:tc>
        <w:tc>
          <w:tcPr>
            <w:tcW w:w="1517" w:type="pct"/>
            <w:vAlign w:val="center"/>
          </w:tcPr>
          <w:p w14:paraId="6B907F6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海岸线方向/o</w:t>
            </w:r>
          </w:p>
        </w:tc>
        <w:tc>
          <w:tcPr>
            <w:tcW w:w="2166" w:type="pct"/>
            <w:vAlign w:val="center"/>
          </w:tcPr>
          <w:p w14:paraId="4C82F5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062E4EB9">
      <w:pPr>
        <w:pStyle w:val="210"/>
        <w:rPr>
          <w:color w:val="auto"/>
          <w:highlight w:val="none"/>
        </w:rPr>
      </w:pPr>
      <w:r>
        <w:rPr>
          <w:color w:val="auto"/>
          <w:highlight w:val="none"/>
        </w:rPr>
        <w:t>表</w:t>
      </w:r>
      <w:r>
        <w:rPr>
          <w:rFonts w:hint="eastAsia"/>
          <w:color w:val="auto"/>
          <w:highlight w:val="none"/>
          <w:lang w:val="en-US" w:eastAsia="zh-CN"/>
        </w:rPr>
        <w:t>2-5</w:t>
      </w:r>
      <w:r>
        <w:rPr>
          <w:color w:val="auto"/>
          <w:highlight w:val="none"/>
        </w:rPr>
        <w:t>-</w:t>
      </w:r>
      <w:r>
        <w:rPr>
          <w:rFonts w:hint="eastAsia"/>
          <w:color w:val="auto"/>
          <w:highlight w:val="none"/>
          <w:lang w:val="en-US" w:eastAsia="zh-CN"/>
        </w:rPr>
        <w:t>6</w:t>
      </w:r>
      <w:r>
        <w:rPr>
          <w:color w:val="auto"/>
          <w:highlight w:val="none"/>
        </w:rPr>
        <w:t>有组织排放估算模式的计算结果</w:t>
      </w:r>
    </w:p>
    <w:tbl>
      <w:tblPr>
        <w:tblStyle w:val="47"/>
        <w:tblW w:w="485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5"/>
        <w:gridCol w:w="1776"/>
        <w:gridCol w:w="1492"/>
        <w:gridCol w:w="1752"/>
        <w:gridCol w:w="1387"/>
      </w:tblGrid>
      <w:tr w14:paraId="68BC4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031" w:type="pct"/>
            <w:vMerge w:val="restart"/>
            <w:vAlign w:val="center"/>
          </w:tcPr>
          <w:p w14:paraId="08923F5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距离（m）</w:t>
            </w:r>
          </w:p>
        </w:tc>
        <w:tc>
          <w:tcPr>
            <w:tcW w:w="3968" w:type="pct"/>
            <w:gridSpan w:val="4"/>
            <w:vAlign w:val="center"/>
          </w:tcPr>
          <w:p w14:paraId="036D1070">
            <w:pPr>
              <w:pStyle w:val="146"/>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堆肥间排气筒（DA001）</w:t>
            </w:r>
          </w:p>
        </w:tc>
      </w:tr>
      <w:tr w14:paraId="3F071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1031" w:type="pct"/>
            <w:vMerge w:val="continue"/>
            <w:vAlign w:val="center"/>
          </w:tcPr>
          <w:p w14:paraId="44EA949A">
            <w:pPr>
              <w:pStyle w:val="146"/>
              <w:rPr>
                <w:rFonts w:hint="default" w:ascii="Times New Roman" w:hAnsi="Times New Roman" w:eastAsia="宋体" w:cs="Times New Roman"/>
                <w:color w:val="auto"/>
                <w:highlight w:val="none"/>
              </w:rPr>
            </w:pPr>
          </w:p>
        </w:tc>
        <w:tc>
          <w:tcPr>
            <w:tcW w:w="2024" w:type="pct"/>
            <w:gridSpan w:val="2"/>
            <w:vAlign w:val="center"/>
          </w:tcPr>
          <w:p w14:paraId="5BCCF67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943" w:type="pct"/>
            <w:gridSpan w:val="2"/>
            <w:vAlign w:val="center"/>
          </w:tcPr>
          <w:p w14:paraId="7622156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63327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1031" w:type="pct"/>
            <w:vMerge w:val="continue"/>
            <w:vAlign w:val="center"/>
          </w:tcPr>
          <w:p w14:paraId="2D4A5A9F">
            <w:pPr>
              <w:pStyle w:val="146"/>
              <w:rPr>
                <w:rFonts w:hint="default" w:ascii="Times New Roman" w:hAnsi="Times New Roman" w:eastAsia="宋体" w:cs="Times New Roman"/>
                <w:color w:val="auto"/>
                <w:highlight w:val="none"/>
              </w:rPr>
            </w:pPr>
          </w:p>
        </w:tc>
        <w:tc>
          <w:tcPr>
            <w:tcW w:w="1100" w:type="pct"/>
            <w:vAlign w:val="center"/>
          </w:tcPr>
          <w:p w14:paraId="0E1E70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924" w:type="pct"/>
            <w:vAlign w:val="center"/>
          </w:tcPr>
          <w:p w14:paraId="630C1B4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c>
          <w:tcPr>
            <w:tcW w:w="1085" w:type="pct"/>
            <w:vAlign w:val="center"/>
          </w:tcPr>
          <w:p w14:paraId="3F92B8E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w:t>
            </w:r>
          </w:p>
        </w:tc>
        <w:tc>
          <w:tcPr>
            <w:tcW w:w="858" w:type="pct"/>
            <w:vAlign w:val="center"/>
          </w:tcPr>
          <w:p w14:paraId="7E73B01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r>
      <w:tr w14:paraId="505787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1031" w:type="pct"/>
            <w:vAlign w:val="center"/>
          </w:tcPr>
          <w:p w14:paraId="1D83163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15</w:t>
            </w:r>
          </w:p>
        </w:tc>
        <w:tc>
          <w:tcPr>
            <w:tcW w:w="1100" w:type="pct"/>
            <w:vAlign w:val="center"/>
          </w:tcPr>
          <w:p w14:paraId="4BDBA3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1.11E-02</w:t>
            </w:r>
          </w:p>
        </w:tc>
        <w:tc>
          <w:tcPr>
            <w:tcW w:w="924" w:type="pct"/>
            <w:vAlign w:val="center"/>
          </w:tcPr>
          <w:p w14:paraId="23567E5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5.57</w:t>
            </w:r>
          </w:p>
        </w:tc>
        <w:tc>
          <w:tcPr>
            <w:tcW w:w="1085" w:type="pct"/>
            <w:vAlign w:val="center"/>
          </w:tcPr>
          <w:p w14:paraId="4E26E7F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1.09E-03</w:t>
            </w:r>
          </w:p>
        </w:tc>
        <w:tc>
          <w:tcPr>
            <w:tcW w:w="858" w:type="pct"/>
            <w:vAlign w:val="center"/>
          </w:tcPr>
          <w:p w14:paraId="72B4A1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10.89</w:t>
            </w:r>
          </w:p>
        </w:tc>
      </w:tr>
      <w:tr w14:paraId="68EDD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1" w:type="pct"/>
            <w:vAlign w:val="center"/>
          </w:tcPr>
          <w:p w14:paraId="4A665DC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1100" w:type="pct"/>
            <w:vAlign w:val="center"/>
          </w:tcPr>
          <w:p w14:paraId="21FAB62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5.14E-03</w:t>
            </w:r>
          </w:p>
        </w:tc>
        <w:tc>
          <w:tcPr>
            <w:tcW w:w="924" w:type="pct"/>
            <w:vAlign w:val="center"/>
          </w:tcPr>
          <w:p w14:paraId="3176318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2.57</w:t>
            </w:r>
          </w:p>
        </w:tc>
        <w:tc>
          <w:tcPr>
            <w:tcW w:w="1085" w:type="pct"/>
            <w:vAlign w:val="center"/>
          </w:tcPr>
          <w:p w14:paraId="124C70B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5.03E-04</w:t>
            </w:r>
          </w:p>
        </w:tc>
        <w:tc>
          <w:tcPr>
            <w:tcW w:w="858" w:type="pct"/>
            <w:vAlign w:val="center"/>
          </w:tcPr>
          <w:p w14:paraId="36228FD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5.03</w:t>
            </w:r>
          </w:p>
        </w:tc>
      </w:tr>
      <w:tr w14:paraId="0E2B7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031" w:type="pct"/>
            <w:vAlign w:val="center"/>
          </w:tcPr>
          <w:p w14:paraId="10F3254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1100" w:type="pct"/>
            <w:vAlign w:val="center"/>
          </w:tcPr>
          <w:p w14:paraId="2240B72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4.82E-03</w:t>
            </w:r>
          </w:p>
        </w:tc>
        <w:tc>
          <w:tcPr>
            <w:tcW w:w="924" w:type="pct"/>
            <w:vAlign w:val="center"/>
          </w:tcPr>
          <w:p w14:paraId="70B3034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2.41</w:t>
            </w:r>
          </w:p>
        </w:tc>
        <w:tc>
          <w:tcPr>
            <w:tcW w:w="1085" w:type="pct"/>
            <w:vAlign w:val="center"/>
          </w:tcPr>
          <w:p w14:paraId="4273690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4.71E-04</w:t>
            </w:r>
          </w:p>
        </w:tc>
        <w:tc>
          <w:tcPr>
            <w:tcW w:w="858" w:type="pct"/>
            <w:vAlign w:val="center"/>
          </w:tcPr>
          <w:p w14:paraId="0915E53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4.71</w:t>
            </w:r>
          </w:p>
        </w:tc>
      </w:tr>
      <w:tr w14:paraId="32BB9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1031" w:type="pct"/>
            <w:vAlign w:val="center"/>
          </w:tcPr>
          <w:p w14:paraId="5F0BEFB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1100" w:type="pct"/>
            <w:vAlign w:val="center"/>
          </w:tcPr>
          <w:p w14:paraId="2F6B8BF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2.68E-03</w:t>
            </w:r>
          </w:p>
        </w:tc>
        <w:tc>
          <w:tcPr>
            <w:tcW w:w="924" w:type="pct"/>
            <w:vAlign w:val="center"/>
          </w:tcPr>
          <w:p w14:paraId="5A54AE4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1.34</w:t>
            </w:r>
          </w:p>
        </w:tc>
        <w:tc>
          <w:tcPr>
            <w:tcW w:w="1085" w:type="pct"/>
            <w:vAlign w:val="center"/>
          </w:tcPr>
          <w:p w14:paraId="5E411EF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2.62E-04</w:t>
            </w:r>
          </w:p>
        </w:tc>
        <w:tc>
          <w:tcPr>
            <w:tcW w:w="858" w:type="pct"/>
            <w:vAlign w:val="center"/>
          </w:tcPr>
          <w:p w14:paraId="672587F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2.62</w:t>
            </w:r>
          </w:p>
        </w:tc>
      </w:tr>
      <w:tr w14:paraId="772D0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031" w:type="pct"/>
            <w:vAlign w:val="center"/>
          </w:tcPr>
          <w:p w14:paraId="27A4992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w:t>
            </w:r>
          </w:p>
        </w:tc>
        <w:tc>
          <w:tcPr>
            <w:tcW w:w="1100" w:type="pct"/>
            <w:vAlign w:val="center"/>
          </w:tcPr>
          <w:p w14:paraId="082D0B5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2.42E-03</w:t>
            </w:r>
          </w:p>
        </w:tc>
        <w:tc>
          <w:tcPr>
            <w:tcW w:w="924" w:type="pct"/>
            <w:vAlign w:val="center"/>
          </w:tcPr>
          <w:p w14:paraId="198B1E6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1.21</w:t>
            </w:r>
          </w:p>
        </w:tc>
        <w:tc>
          <w:tcPr>
            <w:tcW w:w="1085" w:type="pct"/>
            <w:vAlign w:val="center"/>
          </w:tcPr>
          <w:p w14:paraId="4DB3822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2.36E-04</w:t>
            </w:r>
          </w:p>
        </w:tc>
        <w:tc>
          <w:tcPr>
            <w:tcW w:w="858" w:type="pct"/>
            <w:vAlign w:val="center"/>
          </w:tcPr>
          <w:p w14:paraId="2BE6412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2.36</w:t>
            </w:r>
          </w:p>
        </w:tc>
      </w:tr>
      <w:tr w14:paraId="22F13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1031" w:type="pct"/>
            <w:vAlign w:val="center"/>
          </w:tcPr>
          <w:p w14:paraId="7FF708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w:t>
            </w:r>
          </w:p>
        </w:tc>
        <w:tc>
          <w:tcPr>
            <w:tcW w:w="1100" w:type="pct"/>
            <w:vAlign w:val="center"/>
          </w:tcPr>
          <w:p w14:paraId="63880A8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2.81E-03</w:t>
            </w:r>
          </w:p>
        </w:tc>
        <w:tc>
          <w:tcPr>
            <w:tcW w:w="924" w:type="pct"/>
            <w:vAlign w:val="center"/>
          </w:tcPr>
          <w:p w14:paraId="4C50DED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1.41</w:t>
            </w:r>
          </w:p>
        </w:tc>
        <w:tc>
          <w:tcPr>
            <w:tcW w:w="1085" w:type="pct"/>
            <w:vAlign w:val="center"/>
          </w:tcPr>
          <w:p w14:paraId="4D5718C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2.75E-04</w:t>
            </w:r>
          </w:p>
        </w:tc>
        <w:tc>
          <w:tcPr>
            <w:tcW w:w="858" w:type="pct"/>
            <w:vAlign w:val="center"/>
          </w:tcPr>
          <w:p w14:paraId="7283A8B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2.75</w:t>
            </w:r>
          </w:p>
        </w:tc>
      </w:tr>
      <w:tr w14:paraId="2FA02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031" w:type="pct"/>
            <w:vAlign w:val="center"/>
          </w:tcPr>
          <w:p w14:paraId="540930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w:t>
            </w:r>
          </w:p>
        </w:tc>
        <w:tc>
          <w:tcPr>
            <w:tcW w:w="1100" w:type="pct"/>
            <w:vAlign w:val="center"/>
          </w:tcPr>
          <w:p w14:paraId="3641892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2.53E-03</w:t>
            </w:r>
          </w:p>
        </w:tc>
        <w:tc>
          <w:tcPr>
            <w:tcW w:w="924" w:type="pct"/>
            <w:vAlign w:val="center"/>
          </w:tcPr>
          <w:p w14:paraId="1EAC656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1.26</w:t>
            </w:r>
          </w:p>
        </w:tc>
        <w:tc>
          <w:tcPr>
            <w:tcW w:w="1085" w:type="pct"/>
            <w:vAlign w:val="center"/>
          </w:tcPr>
          <w:p w14:paraId="2C7C633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2.47E-04</w:t>
            </w:r>
          </w:p>
        </w:tc>
        <w:tc>
          <w:tcPr>
            <w:tcW w:w="858" w:type="pct"/>
            <w:vAlign w:val="center"/>
          </w:tcPr>
          <w:p w14:paraId="16857C0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2.47</w:t>
            </w:r>
          </w:p>
        </w:tc>
      </w:tr>
      <w:tr w14:paraId="4D92A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1031" w:type="pct"/>
            <w:vAlign w:val="center"/>
          </w:tcPr>
          <w:p w14:paraId="5C3F8D7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w:t>
            </w:r>
          </w:p>
        </w:tc>
        <w:tc>
          <w:tcPr>
            <w:tcW w:w="1100" w:type="pct"/>
            <w:vAlign w:val="center"/>
          </w:tcPr>
          <w:p w14:paraId="68C4B7B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4.29E-03</w:t>
            </w:r>
          </w:p>
        </w:tc>
        <w:tc>
          <w:tcPr>
            <w:tcW w:w="924" w:type="pct"/>
            <w:vAlign w:val="center"/>
          </w:tcPr>
          <w:p w14:paraId="6E37FDA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2.15</w:t>
            </w:r>
          </w:p>
        </w:tc>
        <w:tc>
          <w:tcPr>
            <w:tcW w:w="1085" w:type="pct"/>
            <w:vAlign w:val="center"/>
          </w:tcPr>
          <w:p w14:paraId="60F7863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4.19E-04</w:t>
            </w:r>
          </w:p>
        </w:tc>
        <w:tc>
          <w:tcPr>
            <w:tcW w:w="858" w:type="pct"/>
            <w:vAlign w:val="center"/>
          </w:tcPr>
          <w:p w14:paraId="17373B8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4.19</w:t>
            </w:r>
          </w:p>
        </w:tc>
      </w:tr>
      <w:tr w14:paraId="06E0A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1031" w:type="pct"/>
            <w:vAlign w:val="center"/>
          </w:tcPr>
          <w:p w14:paraId="567D95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700</w:t>
            </w:r>
          </w:p>
        </w:tc>
        <w:tc>
          <w:tcPr>
            <w:tcW w:w="1100" w:type="pct"/>
            <w:vAlign w:val="center"/>
          </w:tcPr>
          <w:p w14:paraId="359D048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3.97E-03</w:t>
            </w:r>
          </w:p>
        </w:tc>
        <w:tc>
          <w:tcPr>
            <w:tcW w:w="924" w:type="pct"/>
            <w:vAlign w:val="center"/>
          </w:tcPr>
          <w:p w14:paraId="067A343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1.99</w:t>
            </w:r>
          </w:p>
        </w:tc>
        <w:tc>
          <w:tcPr>
            <w:tcW w:w="1085" w:type="pct"/>
            <w:vAlign w:val="center"/>
          </w:tcPr>
          <w:p w14:paraId="56DF9F0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3.88E-04</w:t>
            </w:r>
          </w:p>
        </w:tc>
        <w:tc>
          <w:tcPr>
            <w:tcW w:w="858" w:type="pct"/>
            <w:vAlign w:val="center"/>
          </w:tcPr>
          <w:p w14:paraId="6D87691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3.88</w:t>
            </w:r>
          </w:p>
        </w:tc>
      </w:tr>
      <w:tr w14:paraId="1BB3F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31" w:type="pct"/>
            <w:vAlign w:val="center"/>
          </w:tcPr>
          <w:p w14:paraId="48C23ED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1100" w:type="pct"/>
            <w:vAlign w:val="center"/>
          </w:tcPr>
          <w:p w14:paraId="2D669CD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2.15E-03</w:t>
            </w:r>
          </w:p>
        </w:tc>
        <w:tc>
          <w:tcPr>
            <w:tcW w:w="924" w:type="pct"/>
            <w:vAlign w:val="center"/>
          </w:tcPr>
          <w:p w14:paraId="293B781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1.08</w:t>
            </w:r>
          </w:p>
        </w:tc>
        <w:tc>
          <w:tcPr>
            <w:tcW w:w="1085" w:type="pct"/>
            <w:vAlign w:val="center"/>
          </w:tcPr>
          <w:p w14:paraId="0C3B81D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2.10E-04</w:t>
            </w:r>
          </w:p>
        </w:tc>
        <w:tc>
          <w:tcPr>
            <w:tcW w:w="858" w:type="pct"/>
            <w:vAlign w:val="center"/>
          </w:tcPr>
          <w:p w14:paraId="3C79CFB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2.10</w:t>
            </w:r>
          </w:p>
        </w:tc>
      </w:tr>
      <w:tr w14:paraId="3B415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031" w:type="pct"/>
            <w:vAlign w:val="center"/>
          </w:tcPr>
          <w:p w14:paraId="0EB279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w:t>
            </w:r>
          </w:p>
        </w:tc>
        <w:tc>
          <w:tcPr>
            <w:tcW w:w="1100" w:type="pct"/>
            <w:vAlign w:val="center"/>
          </w:tcPr>
          <w:p w14:paraId="49CA61E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1.88E-03</w:t>
            </w:r>
          </w:p>
        </w:tc>
        <w:tc>
          <w:tcPr>
            <w:tcW w:w="924" w:type="pct"/>
            <w:vAlign w:val="center"/>
          </w:tcPr>
          <w:p w14:paraId="633EDC7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0.94</w:t>
            </w:r>
          </w:p>
        </w:tc>
        <w:tc>
          <w:tcPr>
            <w:tcW w:w="1085" w:type="pct"/>
            <w:vAlign w:val="center"/>
          </w:tcPr>
          <w:p w14:paraId="60FEC5D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1.84E-04</w:t>
            </w:r>
          </w:p>
        </w:tc>
        <w:tc>
          <w:tcPr>
            <w:tcW w:w="858" w:type="pct"/>
            <w:vAlign w:val="center"/>
          </w:tcPr>
          <w:p w14:paraId="697D85E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1.84</w:t>
            </w:r>
          </w:p>
        </w:tc>
      </w:tr>
      <w:tr w14:paraId="2CD3B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1031" w:type="pct"/>
            <w:vAlign w:val="center"/>
          </w:tcPr>
          <w:p w14:paraId="38005DB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100" w:type="pct"/>
            <w:vAlign w:val="center"/>
          </w:tcPr>
          <w:p w14:paraId="27BFAA4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1.74E-03</w:t>
            </w:r>
          </w:p>
        </w:tc>
        <w:tc>
          <w:tcPr>
            <w:tcW w:w="924" w:type="pct"/>
            <w:vAlign w:val="center"/>
          </w:tcPr>
          <w:p w14:paraId="745B54F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0.87</w:t>
            </w:r>
          </w:p>
        </w:tc>
        <w:tc>
          <w:tcPr>
            <w:tcW w:w="1085" w:type="pct"/>
            <w:vAlign w:val="center"/>
          </w:tcPr>
          <w:p w14:paraId="589E030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1.70E-04</w:t>
            </w:r>
          </w:p>
        </w:tc>
        <w:tc>
          <w:tcPr>
            <w:tcW w:w="858" w:type="pct"/>
            <w:vAlign w:val="center"/>
          </w:tcPr>
          <w:p w14:paraId="7B54C12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1.70</w:t>
            </w:r>
          </w:p>
        </w:tc>
      </w:tr>
      <w:tr w14:paraId="4DBD3A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031" w:type="pct"/>
            <w:vAlign w:val="center"/>
          </w:tcPr>
          <w:p w14:paraId="14E3E05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1500</w:t>
            </w:r>
          </w:p>
        </w:tc>
        <w:tc>
          <w:tcPr>
            <w:tcW w:w="1100" w:type="pct"/>
            <w:vAlign w:val="center"/>
          </w:tcPr>
          <w:p w14:paraId="40BEB29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1.26E-03</w:t>
            </w:r>
          </w:p>
        </w:tc>
        <w:tc>
          <w:tcPr>
            <w:tcW w:w="924" w:type="pct"/>
            <w:vAlign w:val="center"/>
          </w:tcPr>
          <w:p w14:paraId="7F4AF04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0.63</w:t>
            </w:r>
          </w:p>
        </w:tc>
        <w:tc>
          <w:tcPr>
            <w:tcW w:w="1085" w:type="pct"/>
            <w:vAlign w:val="center"/>
          </w:tcPr>
          <w:p w14:paraId="4F32D3D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1.23E-04</w:t>
            </w:r>
          </w:p>
        </w:tc>
        <w:tc>
          <w:tcPr>
            <w:tcW w:w="858" w:type="pct"/>
            <w:vAlign w:val="center"/>
          </w:tcPr>
          <w:p w14:paraId="2DC6DA6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w:t>
            </w:r>
          </w:p>
        </w:tc>
      </w:tr>
      <w:tr w14:paraId="784F0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031" w:type="pct"/>
            <w:vAlign w:val="center"/>
          </w:tcPr>
          <w:p w14:paraId="2EB202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w:t>
            </w:r>
          </w:p>
        </w:tc>
        <w:tc>
          <w:tcPr>
            <w:tcW w:w="1100" w:type="pct"/>
            <w:vAlign w:val="center"/>
          </w:tcPr>
          <w:p w14:paraId="362BC8B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9.71E-04</w:t>
            </w:r>
          </w:p>
        </w:tc>
        <w:tc>
          <w:tcPr>
            <w:tcW w:w="924" w:type="pct"/>
            <w:vAlign w:val="center"/>
          </w:tcPr>
          <w:p w14:paraId="2F0E3A8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0.49</w:t>
            </w:r>
          </w:p>
        </w:tc>
        <w:tc>
          <w:tcPr>
            <w:tcW w:w="1085" w:type="pct"/>
            <w:vAlign w:val="center"/>
          </w:tcPr>
          <w:p w14:paraId="2460396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9.49E-05</w:t>
            </w:r>
          </w:p>
        </w:tc>
        <w:tc>
          <w:tcPr>
            <w:tcW w:w="858" w:type="pct"/>
            <w:vAlign w:val="center"/>
          </w:tcPr>
          <w:p w14:paraId="4EB2BF0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0.95</w:t>
            </w:r>
          </w:p>
        </w:tc>
      </w:tr>
      <w:tr w14:paraId="6D0DA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1031" w:type="pct"/>
            <w:vAlign w:val="center"/>
          </w:tcPr>
          <w:p w14:paraId="0DDB53F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2500</w:t>
            </w:r>
          </w:p>
        </w:tc>
        <w:tc>
          <w:tcPr>
            <w:tcW w:w="1100" w:type="pct"/>
            <w:vAlign w:val="center"/>
          </w:tcPr>
          <w:p w14:paraId="0E9C0A2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8.54E-04</w:t>
            </w:r>
          </w:p>
        </w:tc>
        <w:tc>
          <w:tcPr>
            <w:tcW w:w="924" w:type="pct"/>
            <w:vAlign w:val="center"/>
          </w:tcPr>
          <w:p w14:paraId="692179C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0.43</w:t>
            </w:r>
          </w:p>
        </w:tc>
        <w:tc>
          <w:tcPr>
            <w:tcW w:w="1085" w:type="pct"/>
            <w:vAlign w:val="center"/>
          </w:tcPr>
          <w:p w14:paraId="0BE2B01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8.34E-05</w:t>
            </w:r>
          </w:p>
        </w:tc>
        <w:tc>
          <w:tcPr>
            <w:tcW w:w="858" w:type="pct"/>
            <w:vAlign w:val="center"/>
          </w:tcPr>
          <w:p w14:paraId="661E3E5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0.83</w:t>
            </w:r>
          </w:p>
        </w:tc>
      </w:tr>
      <w:tr w14:paraId="4F9153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1031" w:type="pct"/>
            <w:vAlign w:val="center"/>
          </w:tcPr>
          <w:p w14:paraId="0827AF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w:t>
            </w:r>
          </w:p>
        </w:tc>
        <w:tc>
          <w:tcPr>
            <w:tcW w:w="1100" w:type="pct"/>
            <w:shd w:val="clear" w:color="auto" w:fill="auto"/>
            <w:vAlign w:val="center"/>
          </w:tcPr>
          <w:p w14:paraId="0BD98AD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1.11E-02</w:t>
            </w:r>
          </w:p>
        </w:tc>
        <w:tc>
          <w:tcPr>
            <w:tcW w:w="924" w:type="pct"/>
            <w:shd w:val="clear" w:color="auto" w:fill="auto"/>
            <w:vAlign w:val="center"/>
          </w:tcPr>
          <w:p w14:paraId="6254390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5.57</w:t>
            </w:r>
          </w:p>
        </w:tc>
        <w:tc>
          <w:tcPr>
            <w:tcW w:w="1085" w:type="pct"/>
            <w:shd w:val="clear" w:color="auto" w:fill="auto"/>
            <w:vAlign w:val="center"/>
          </w:tcPr>
          <w:p w14:paraId="316AADA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1.09E-03</w:t>
            </w:r>
          </w:p>
        </w:tc>
        <w:tc>
          <w:tcPr>
            <w:tcW w:w="858" w:type="pct"/>
            <w:shd w:val="clear" w:color="auto" w:fill="auto"/>
            <w:vAlign w:val="center"/>
          </w:tcPr>
          <w:p w14:paraId="61EFCD4C">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10.89</w:t>
            </w:r>
          </w:p>
        </w:tc>
      </w:tr>
      <w:tr w14:paraId="0BAD6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031" w:type="pct"/>
            <w:vAlign w:val="center"/>
          </w:tcPr>
          <w:p w14:paraId="612499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下风向最大浓度出现距离</w:t>
            </w:r>
          </w:p>
        </w:tc>
        <w:tc>
          <w:tcPr>
            <w:tcW w:w="3968" w:type="pct"/>
            <w:gridSpan w:val="4"/>
            <w:vAlign w:val="center"/>
          </w:tcPr>
          <w:p w14:paraId="1DB2E210">
            <w:pPr>
              <w:pStyle w:val="146"/>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m</w:t>
            </w:r>
          </w:p>
        </w:tc>
      </w:tr>
    </w:tbl>
    <w:p w14:paraId="09E98E2E">
      <w:pPr>
        <w:pStyle w:val="210"/>
        <w:rPr>
          <w:rFonts w:hint="default" w:ascii="Times New Roman" w:hAnsi="Times New Roman" w:cs="Times New Roman"/>
          <w:color w:val="auto"/>
          <w:highlight w:val="none"/>
        </w:rPr>
      </w:pPr>
    </w:p>
    <w:p w14:paraId="7C58376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2-5</w:t>
      </w:r>
      <w:r>
        <w:rPr>
          <w:rFonts w:hint="default" w:ascii="Times New Roman" w:hAnsi="Times New Roman" w:cs="Times New Roman"/>
          <w:color w:val="auto"/>
          <w:highlight w:val="none"/>
        </w:rPr>
        <w:t>-</w:t>
      </w:r>
      <w:r>
        <w:rPr>
          <w:rFonts w:hint="eastAsia" w:cs="Times New Roman"/>
          <w:color w:val="auto"/>
          <w:highlight w:val="none"/>
          <w:lang w:val="en-US" w:eastAsia="zh-CN"/>
        </w:rPr>
        <w:t>7</w:t>
      </w:r>
      <w:r>
        <w:rPr>
          <w:rFonts w:hint="default" w:ascii="Times New Roman" w:hAnsi="Times New Roman" w:cs="Times New Roman"/>
          <w:color w:val="auto"/>
          <w:highlight w:val="none"/>
        </w:rPr>
        <w:t>无组织排放估算模式的计算结果</w:t>
      </w:r>
    </w:p>
    <w:tbl>
      <w:tblPr>
        <w:tblStyle w:val="47"/>
        <w:tblW w:w="48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7"/>
        <w:gridCol w:w="1859"/>
        <w:gridCol w:w="8"/>
        <w:gridCol w:w="1708"/>
        <w:gridCol w:w="5"/>
        <w:gridCol w:w="1855"/>
        <w:gridCol w:w="23"/>
        <w:gridCol w:w="1528"/>
      </w:tblGrid>
      <w:tr w14:paraId="7C3E55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84" w:type="pct"/>
            <w:vMerge w:val="restart"/>
            <w:vAlign w:val="center"/>
          </w:tcPr>
          <w:p w14:paraId="0B68111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距离（m）</w:t>
            </w:r>
          </w:p>
        </w:tc>
        <w:tc>
          <w:tcPr>
            <w:tcW w:w="4315" w:type="pct"/>
            <w:gridSpan w:val="7"/>
            <w:vAlign w:val="center"/>
          </w:tcPr>
          <w:p w14:paraId="01A8FA0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牛舍无组织面源</w:t>
            </w:r>
          </w:p>
        </w:tc>
      </w:tr>
      <w:tr w14:paraId="3CC7C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84" w:type="pct"/>
            <w:vMerge w:val="continue"/>
            <w:vAlign w:val="center"/>
          </w:tcPr>
          <w:p w14:paraId="5490F321">
            <w:pPr>
              <w:pStyle w:val="146"/>
              <w:ind w:left="0" w:leftChars="0" w:firstLine="0" w:firstLineChars="0"/>
              <w:rPr>
                <w:rFonts w:hint="default" w:ascii="Times New Roman" w:hAnsi="Times New Roman" w:eastAsia="宋体" w:cs="Times New Roman"/>
                <w:color w:val="auto"/>
                <w:highlight w:val="none"/>
              </w:rPr>
            </w:pPr>
          </w:p>
        </w:tc>
        <w:tc>
          <w:tcPr>
            <w:tcW w:w="2211" w:type="pct"/>
            <w:gridSpan w:val="4"/>
            <w:vAlign w:val="center"/>
          </w:tcPr>
          <w:p w14:paraId="212AD38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2103" w:type="pct"/>
            <w:gridSpan w:val="3"/>
            <w:vAlign w:val="center"/>
          </w:tcPr>
          <w:p w14:paraId="4FF6D79D">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5E3B7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84" w:type="pct"/>
            <w:vMerge w:val="continue"/>
            <w:vAlign w:val="center"/>
          </w:tcPr>
          <w:p w14:paraId="7FC3ECB0">
            <w:pPr>
              <w:pStyle w:val="146"/>
              <w:ind w:left="0" w:leftChars="0" w:firstLine="0" w:firstLineChars="0"/>
              <w:rPr>
                <w:rFonts w:hint="default" w:ascii="Times New Roman" w:hAnsi="Times New Roman" w:eastAsia="宋体" w:cs="Times New Roman"/>
                <w:color w:val="auto"/>
                <w:highlight w:val="none"/>
              </w:rPr>
            </w:pPr>
          </w:p>
        </w:tc>
        <w:tc>
          <w:tcPr>
            <w:tcW w:w="1153" w:type="pct"/>
            <w:gridSpan w:val="2"/>
            <w:vAlign w:val="center"/>
          </w:tcPr>
          <w:p w14:paraId="30AC30D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058" w:type="pct"/>
            <w:gridSpan w:val="2"/>
            <w:vAlign w:val="center"/>
          </w:tcPr>
          <w:p w14:paraId="5BD92E4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c>
          <w:tcPr>
            <w:tcW w:w="1160" w:type="pct"/>
            <w:gridSpan w:val="2"/>
            <w:vAlign w:val="center"/>
          </w:tcPr>
          <w:p w14:paraId="25D5F103">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943" w:type="pct"/>
            <w:vAlign w:val="center"/>
          </w:tcPr>
          <w:p w14:paraId="0F43BFB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r>
      <w:tr w14:paraId="08EC6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4" w:type="pct"/>
            <w:vAlign w:val="center"/>
          </w:tcPr>
          <w:p w14:paraId="546B51C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1153" w:type="pct"/>
            <w:gridSpan w:val="2"/>
            <w:vAlign w:val="center"/>
          </w:tcPr>
          <w:p w14:paraId="3CF3F2C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1.10E-02</w:t>
            </w:r>
          </w:p>
        </w:tc>
        <w:tc>
          <w:tcPr>
            <w:tcW w:w="1058" w:type="pct"/>
            <w:gridSpan w:val="2"/>
            <w:shd w:val="clear" w:color="auto" w:fill="auto"/>
            <w:vAlign w:val="center"/>
          </w:tcPr>
          <w:p w14:paraId="17939EB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5.48</w:t>
            </w:r>
          </w:p>
        </w:tc>
        <w:tc>
          <w:tcPr>
            <w:tcW w:w="1160" w:type="pct"/>
            <w:gridSpan w:val="2"/>
            <w:shd w:val="clear" w:color="auto" w:fill="auto"/>
            <w:vAlign w:val="center"/>
          </w:tcPr>
          <w:p w14:paraId="0F0DFF3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2.42E-04</w:t>
            </w:r>
          </w:p>
        </w:tc>
        <w:tc>
          <w:tcPr>
            <w:tcW w:w="943" w:type="pct"/>
            <w:shd w:val="clear" w:color="auto" w:fill="auto"/>
            <w:vAlign w:val="center"/>
          </w:tcPr>
          <w:p w14:paraId="6F73F32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2.42</w:t>
            </w:r>
          </w:p>
        </w:tc>
      </w:tr>
      <w:tr w14:paraId="512C1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684" w:type="pct"/>
            <w:vAlign w:val="center"/>
          </w:tcPr>
          <w:p w14:paraId="1E97D04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1153" w:type="pct"/>
            <w:gridSpan w:val="2"/>
            <w:vAlign w:val="center"/>
          </w:tcPr>
          <w:p w14:paraId="76E2F143">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1.17E-02</w:t>
            </w:r>
          </w:p>
        </w:tc>
        <w:tc>
          <w:tcPr>
            <w:tcW w:w="1058" w:type="pct"/>
            <w:gridSpan w:val="2"/>
            <w:shd w:val="clear" w:color="auto" w:fill="auto"/>
            <w:vAlign w:val="center"/>
          </w:tcPr>
          <w:p w14:paraId="2780135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5.84</w:t>
            </w:r>
          </w:p>
        </w:tc>
        <w:tc>
          <w:tcPr>
            <w:tcW w:w="1160" w:type="pct"/>
            <w:gridSpan w:val="2"/>
            <w:shd w:val="clear" w:color="auto" w:fill="auto"/>
            <w:vAlign w:val="center"/>
          </w:tcPr>
          <w:p w14:paraId="0ABD76F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2.58E-04</w:t>
            </w:r>
          </w:p>
        </w:tc>
        <w:tc>
          <w:tcPr>
            <w:tcW w:w="943" w:type="pct"/>
            <w:shd w:val="clear" w:color="auto" w:fill="auto"/>
            <w:vAlign w:val="center"/>
          </w:tcPr>
          <w:p w14:paraId="3795A8C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2.58</w:t>
            </w:r>
          </w:p>
        </w:tc>
      </w:tr>
      <w:tr w14:paraId="62DC4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04644E0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1153" w:type="pct"/>
            <w:gridSpan w:val="2"/>
            <w:vAlign w:val="center"/>
          </w:tcPr>
          <w:p w14:paraId="4BE9712A">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1.30E-02</w:t>
            </w:r>
          </w:p>
        </w:tc>
        <w:tc>
          <w:tcPr>
            <w:tcW w:w="1058" w:type="pct"/>
            <w:gridSpan w:val="2"/>
            <w:shd w:val="clear" w:color="auto" w:fill="auto"/>
            <w:vAlign w:val="center"/>
          </w:tcPr>
          <w:p w14:paraId="019BB5D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6.52</w:t>
            </w:r>
          </w:p>
        </w:tc>
        <w:tc>
          <w:tcPr>
            <w:tcW w:w="1160" w:type="pct"/>
            <w:gridSpan w:val="2"/>
            <w:shd w:val="clear" w:color="auto" w:fill="auto"/>
            <w:vAlign w:val="center"/>
          </w:tcPr>
          <w:p w14:paraId="436E665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2.88E-04</w:t>
            </w:r>
          </w:p>
        </w:tc>
        <w:tc>
          <w:tcPr>
            <w:tcW w:w="943" w:type="pct"/>
            <w:shd w:val="clear" w:color="auto" w:fill="auto"/>
            <w:vAlign w:val="center"/>
          </w:tcPr>
          <w:p w14:paraId="407ECE8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2.88</w:t>
            </w:r>
          </w:p>
        </w:tc>
      </w:tr>
      <w:tr w14:paraId="0F50C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0DB0FDEC">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w:t>
            </w:r>
          </w:p>
        </w:tc>
        <w:tc>
          <w:tcPr>
            <w:tcW w:w="1153" w:type="pct"/>
            <w:gridSpan w:val="2"/>
            <w:vAlign w:val="center"/>
          </w:tcPr>
          <w:p w14:paraId="5178BF59">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1.43E-02</w:t>
            </w:r>
          </w:p>
        </w:tc>
        <w:tc>
          <w:tcPr>
            <w:tcW w:w="1058" w:type="pct"/>
            <w:gridSpan w:val="2"/>
            <w:shd w:val="clear" w:color="auto" w:fill="auto"/>
            <w:vAlign w:val="center"/>
          </w:tcPr>
          <w:p w14:paraId="34B3209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7.13</w:t>
            </w:r>
          </w:p>
        </w:tc>
        <w:tc>
          <w:tcPr>
            <w:tcW w:w="1160" w:type="pct"/>
            <w:gridSpan w:val="2"/>
            <w:shd w:val="clear" w:color="auto" w:fill="auto"/>
            <w:vAlign w:val="center"/>
          </w:tcPr>
          <w:p w14:paraId="137DD48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3.15E-04</w:t>
            </w:r>
          </w:p>
        </w:tc>
        <w:tc>
          <w:tcPr>
            <w:tcW w:w="943" w:type="pct"/>
            <w:shd w:val="clear" w:color="auto" w:fill="auto"/>
            <w:vAlign w:val="center"/>
          </w:tcPr>
          <w:p w14:paraId="05B05F11">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3.15</w:t>
            </w:r>
          </w:p>
        </w:tc>
      </w:tr>
      <w:tr w14:paraId="7A023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39616F7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380</w:t>
            </w:r>
          </w:p>
        </w:tc>
        <w:tc>
          <w:tcPr>
            <w:tcW w:w="1153" w:type="pct"/>
            <w:gridSpan w:val="2"/>
            <w:vAlign w:val="center"/>
          </w:tcPr>
          <w:p w14:paraId="2B5D8A90">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1.51E-02</w:t>
            </w:r>
          </w:p>
        </w:tc>
        <w:tc>
          <w:tcPr>
            <w:tcW w:w="1058" w:type="pct"/>
            <w:gridSpan w:val="2"/>
            <w:shd w:val="clear" w:color="auto" w:fill="auto"/>
            <w:vAlign w:val="center"/>
          </w:tcPr>
          <w:p w14:paraId="3B4FC3B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7.56</w:t>
            </w:r>
          </w:p>
        </w:tc>
        <w:tc>
          <w:tcPr>
            <w:tcW w:w="1160" w:type="pct"/>
            <w:gridSpan w:val="2"/>
            <w:shd w:val="clear" w:color="auto" w:fill="auto"/>
            <w:vAlign w:val="center"/>
          </w:tcPr>
          <w:p w14:paraId="20F2CCD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3.34E-04</w:t>
            </w:r>
          </w:p>
        </w:tc>
        <w:tc>
          <w:tcPr>
            <w:tcW w:w="943" w:type="pct"/>
            <w:shd w:val="clear" w:color="auto" w:fill="auto"/>
            <w:vAlign w:val="center"/>
          </w:tcPr>
          <w:p w14:paraId="574312D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3.34</w:t>
            </w:r>
          </w:p>
        </w:tc>
      </w:tr>
      <w:tr w14:paraId="012D7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168A7B39">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w:t>
            </w:r>
          </w:p>
        </w:tc>
        <w:tc>
          <w:tcPr>
            <w:tcW w:w="1153" w:type="pct"/>
            <w:gridSpan w:val="2"/>
            <w:vAlign w:val="center"/>
          </w:tcPr>
          <w:p w14:paraId="2080E8F0">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1.50E-02</w:t>
            </w:r>
          </w:p>
        </w:tc>
        <w:tc>
          <w:tcPr>
            <w:tcW w:w="1058" w:type="pct"/>
            <w:gridSpan w:val="2"/>
            <w:shd w:val="clear" w:color="auto" w:fill="auto"/>
            <w:vAlign w:val="center"/>
          </w:tcPr>
          <w:p w14:paraId="4B20469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7.49</w:t>
            </w:r>
          </w:p>
        </w:tc>
        <w:tc>
          <w:tcPr>
            <w:tcW w:w="1160" w:type="pct"/>
            <w:gridSpan w:val="2"/>
            <w:shd w:val="clear" w:color="auto" w:fill="auto"/>
            <w:vAlign w:val="center"/>
          </w:tcPr>
          <w:p w14:paraId="4001145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3.31E-04</w:t>
            </w:r>
          </w:p>
        </w:tc>
        <w:tc>
          <w:tcPr>
            <w:tcW w:w="943" w:type="pct"/>
            <w:shd w:val="clear" w:color="auto" w:fill="auto"/>
            <w:vAlign w:val="center"/>
          </w:tcPr>
          <w:p w14:paraId="4AEE2AB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3.31</w:t>
            </w:r>
          </w:p>
        </w:tc>
      </w:tr>
      <w:tr w14:paraId="3D8931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438D841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w:t>
            </w:r>
          </w:p>
        </w:tc>
        <w:tc>
          <w:tcPr>
            <w:tcW w:w="1153" w:type="pct"/>
            <w:gridSpan w:val="2"/>
            <w:vAlign w:val="center"/>
          </w:tcPr>
          <w:p w14:paraId="4E278A5D">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1.18E-02</w:t>
            </w:r>
          </w:p>
        </w:tc>
        <w:tc>
          <w:tcPr>
            <w:tcW w:w="1058" w:type="pct"/>
            <w:gridSpan w:val="2"/>
            <w:shd w:val="clear" w:color="auto" w:fill="auto"/>
            <w:vAlign w:val="center"/>
          </w:tcPr>
          <w:p w14:paraId="300D4BE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5.90</w:t>
            </w:r>
          </w:p>
        </w:tc>
        <w:tc>
          <w:tcPr>
            <w:tcW w:w="1160" w:type="pct"/>
            <w:gridSpan w:val="2"/>
            <w:shd w:val="clear" w:color="auto" w:fill="auto"/>
            <w:vAlign w:val="center"/>
          </w:tcPr>
          <w:p w14:paraId="059736D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2.61E-04</w:t>
            </w:r>
          </w:p>
        </w:tc>
        <w:tc>
          <w:tcPr>
            <w:tcW w:w="943" w:type="pct"/>
            <w:shd w:val="clear" w:color="auto" w:fill="auto"/>
            <w:vAlign w:val="center"/>
          </w:tcPr>
          <w:p w14:paraId="4D284121">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2.61</w:t>
            </w:r>
          </w:p>
        </w:tc>
      </w:tr>
      <w:tr w14:paraId="07237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684" w:type="pct"/>
            <w:vAlign w:val="center"/>
          </w:tcPr>
          <w:p w14:paraId="53631A11">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w:t>
            </w:r>
          </w:p>
        </w:tc>
        <w:tc>
          <w:tcPr>
            <w:tcW w:w="1153" w:type="pct"/>
            <w:gridSpan w:val="2"/>
            <w:vAlign w:val="center"/>
          </w:tcPr>
          <w:p w14:paraId="4F942EB0">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9.71E-03</w:t>
            </w:r>
          </w:p>
        </w:tc>
        <w:tc>
          <w:tcPr>
            <w:tcW w:w="1058" w:type="pct"/>
            <w:gridSpan w:val="2"/>
            <w:shd w:val="clear" w:color="auto" w:fill="auto"/>
            <w:vAlign w:val="center"/>
          </w:tcPr>
          <w:p w14:paraId="1E58DD0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4.85</w:t>
            </w:r>
          </w:p>
        </w:tc>
        <w:tc>
          <w:tcPr>
            <w:tcW w:w="1160" w:type="pct"/>
            <w:gridSpan w:val="2"/>
            <w:shd w:val="clear" w:color="auto" w:fill="auto"/>
            <w:vAlign w:val="center"/>
          </w:tcPr>
          <w:p w14:paraId="3E5C26E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2.14E-04</w:t>
            </w:r>
          </w:p>
        </w:tc>
        <w:tc>
          <w:tcPr>
            <w:tcW w:w="943" w:type="pct"/>
            <w:shd w:val="clear" w:color="auto" w:fill="auto"/>
            <w:vAlign w:val="center"/>
          </w:tcPr>
          <w:p w14:paraId="27C8FD0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2.14</w:t>
            </w:r>
          </w:p>
        </w:tc>
      </w:tr>
      <w:tr w14:paraId="3FEA0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7C8515ED">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700</w:t>
            </w:r>
          </w:p>
        </w:tc>
        <w:tc>
          <w:tcPr>
            <w:tcW w:w="1153" w:type="pct"/>
            <w:gridSpan w:val="2"/>
            <w:vAlign w:val="center"/>
          </w:tcPr>
          <w:p w14:paraId="6ED6B284">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8.37E-03</w:t>
            </w:r>
          </w:p>
        </w:tc>
        <w:tc>
          <w:tcPr>
            <w:tcW w:w="1058" w:type="pct"/>
            <w:gridSpan w:val="2"/>
            <w:shd w:val="clear" w:color="auto" w:fill="auto"/>
            <w:vAlign w:val="center"/>
          </w:tcPr>
          <w:p w14:paraId="1C3AEF1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4.19</w:t>
            </w:r>
          </w:p>
        </w:tc>
        <w:tc>
          <w:tcPr>
            <w:tcW w:w="1160" w:type="pct"/>
            <w:gridSpan w:val="2"/>
            <w:shd w:val="clear" w:color="auto" w:fill="auto"/>
            <w:vAlign w:val="center"/>
          </w:tcPr>
          <w:p w14:paraId="6ACBA8A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1.85E-04</w:t>
            </w:r>
          </w:p>
        </w:tc>
        <w:tc>
          <w:tcPr>
            <w:tcW w:w="943" w:type="pct"/>
            <w:shd w:val="clear" w:color="auto" w:fill="auto"/>
            <w:vAlign w:val="center"/>
          </w:tcPr>
          <w:p w14:paraId="1FE3678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1.85</w:t>
            </w:r>
          </w:p>
        </w:tc>
      </w:tr>
      <w:tr w14:paraId="49488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332D030B">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1153" w:type="pct"/>
            <w:gridSpan w:val="2"/>
            <w:vAlign w:val="center"/>
          </w:tcPr>
          <w:p w14:paraId="7FED1520">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7.37E-03</w:t>
            </w:r>
          </w:p>
        </w:tc>
        <w:tc>
          <w:tcPr>
            <w:tcW w:w="1058" w:type="pct"/>
            <w:gridSpan w:val="2"/>
            <w:shd w:val="clear" w:color="auto" w:fill="auto"/>
            <w:vAlign w:val="center"/>
          </w:tcPr>
          <w:p w14:paraId="23C7AB2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3.69</w:t>
            </w:r>
          </w:p>
        </w:tc>
        <w:tc>
          <w:tcPr>
            <w:tcW w:w="1160" w:type="pct"/>
            <w:gridSpan w:val="2"/>
            <w:shd w:val="clear" w:color="auto" w:fill="auto"/>
            <w:vAlign w:val="center"/>
          </w:tcPr>
          <w:p w14:paraId="31D0479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1.63E-04</w:t>
            </w:r>
          </w:p>
        </w:tc>
        <w:tc>
          <w:tcPr>
            <w:tcW w:w="943" w:type="pct"/>
            <w:shd w:val="clear" w:color="auto" w:fill="auto"/>
            <w:vAlign w:val="center"/>
          </w:tcPr>
          <w:p w14:paraId="7D2C993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1.63</w:t>
            </w:r>
          </w:p>
        </w:tc>
      </w:tr>
      <w:tr w14:paraId="5371D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6CD130C0">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w:t>
            </w:r>
          </w:p>
        </w:tc>
        <w:tc>
          <w:tcPr>
            <w:tcW w:w="1153" w:type="pct"/>
            <w:gridSpan w:val="2"/>
            <w:vAlign w:val="center"/>
          </w:tcPr>
          <w:p w14:paraId="3D508329">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6.59E-03</w:t>
            </w:r>
          </w:p>
        </w:tc>
        <w:tc>
          <w:tcPr>
            <w:tcW w:w="1058" w:type="pct"/>
            <w:gridSpan w:val="2"/>
            <w:shd w:val="clear" w:color="auto" w:fill="auto"/>
            <w:vAlign w:val="center"/>
          </w:tcPr>
          <w:p w14:paraId="50FE957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3.29</w:t>
            </w:r>
          </w:p>
        </w:tc>
        <w:tc>
          <w:tcPr>
            <w:tcW w:w="1160" w:type="pct"/>
            <w:gridSpan w:val="2"/>
            <w:shd w:val="clear" w:color="auto" w:fill="auto"/>
            <w:vAlign w:val="center"/>
          </w:tcPr>
          <w:p w14:paraId="515C292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1.46E-04</w:t>
            </w:r>
          </w:p>
        </w:tc>
        <w:tc>
          <w:tcPr>
            <w:tcW w:w="943" w:type="pct"/>
            <w:shd w:val="clear" w:color="auto" w:fill="auto"/>
            <w:vAlign w:val="center"/>
          </w:tcPr>
          <w:p w14:paraId="219BA23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1.46</w:t>
            </w:r>
          </w:p>
        </w:tc>
      </w:tr>
      <w:tr w14:paraId="4CAA2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2DC6A209">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153" w:type="pct"/>
            <w:gridSpan w:val="2"/>
            <w:vAlign w:val="center"/>
          </w:tcPr>
          <w:p w14:paraId="0875E492">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5.98E-03</w:t>
            </w:r>
          </w:p>
        </w:tc>
        <w:tc>
          <w:tcPr>
            <w:tcW w:w="1058" w:type="pct"/>
            <w:gridSpan w:val="2"/>
            <w:shd w:val="clear" w:color="auto" w:fill="auto"/>
            <w:vAlign w:val="center"/>
          </w:tcPr>
          <w:p w14:paraId="6C1561E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2.99</w:t>
            </w:r>
          </w:p>
        </w:tc>
        <w:tc>
          <w:tcPr>
            <w:tcW w:w="1160" w:type="pct"/>
            <w:gridSpan w:val="2"/>
            <w:shd w:val="clear" w:color="auto" w:fill="auto"/>
            <w:vAlign w:val="center"/>
          </w:tcPr>
          <w:p w14:paraId="4648563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1.32E-04</w:t>
            </w:r>
          </w:p>
        </w:tc>
        <w:tc>
          <w:tcPr>
            <w:tcW w:w="943" w:type="pct"/>
            <w:shd w:val="clear" w:color="auto" w:fill="auto"/>
            <w:vAlign w:val="center"/>
          </w:tcPr>
          <w:p w14:paraId="1BEC4CE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1.32</w:t>
            </w:r>
          </w:p>
        </w:tc>
      </w:tr>
      <w:tr w14:paraId="1CA2C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5890E74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1500</w:t>
            </w:r>
          </w:p>
        </w:tc>
        <w:tc>
          <w:tcPr>
            <w:tcW w:w="1153" w:type="pct"/>
            <w:gridSpan w:val="2"/>
            <w:vAlign w:val="center"/>
          </w:tcPr>
          <w:p w14:paraId="2DC41F9E">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4.15E-03</w:t>
            </w:r>
          </w:p>
        </w:tc>
        <w:tc>
          <w:tcPr>
            <w:tcW w:w="1058" w:type="pct"/>
            <w:gridSpan w:val="2"/>
            <w:shd w:val="clear" w:color="auto" w:fill="auto"/>
            <w:vAlign w:val="center"/>
          </w:tcPr>
          <w:p w14:paraId="22DF1D3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2.08</w:t>
            </w:r>
          </w:p>
        </w:tc>
        <w:tc>
          <w:tcPr>
            <w:tcW w:w="1160" w:type="pct"/>
            <w:gridSpan w:val="2"/>
            <w:shd w:val="clear" w:color="auto" w:fill="auto"/>
            <w:vAlign w:val="center"/>
          </w:tcPr>
          <w:p w14:paraId="2AA3177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9.17E-05</w:t>
            </w:r>
          </w:p>
        </w:tc>
        <w:tc>
          <w:tcPr>
            <w:tcW w:w="943" w:type="pct"/>
            <w:shd w:val="clear" w:color="auto" w:fill="auto"/>
            <w:vAlign w:val="center"/>
          </w:tcPr>
          <w:p w14:paraId="584FC45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0.92</w:t>
            </w:r>
          </w:p>
        </w:tc>
      </w:tr>
      <w:tr w14:paraId="0C61A2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10B5CB6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w:t>
            </w:r>
          </w:p>
        </w:tc>
        <w:tc>
          <w:tcPr>
            <w:tcW w:w="1153" w:type="pct"/>
            <w:gridSpan w:val="2"/>
            <w:vAlign w:val="center"/>
          </w:tcPr>
          <w:p w14:paraId="7E78FB09">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3.11E-03</w:t>
            </w:r>
          </w:p>
        </w:tc>
        <w:tc>
          <w:tcPr>
            <w:tcW w:w="1058" w:type="pct"/>
            <w:gridSpan w:val="2"/>
            <w:shd w:val="clear" w:color="auto" w:fill="auto"/>
            <w:vAlign w:val="center"/>
          </w:tcPr>
          <w:p w14:paraId="2ADD0E8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1.55</w:t>
            </w:r>
          </w:p>
        </w:tc>
        <w:tc>
          <w:tcPr>
            <w:tcW w:w="1160" w:type="pct"/>
            <w:gridSpan w:val="2"/>
            <w:shd w:val="clear" w:color="auto" w:fill="auto"/>
            <w:vAlign w:val="center"/>
          </w:tcPr>
          <w:p w14:paraId="52E344E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6.87E-05</w:t>
            </w:r>
          </w:p>
        </w:tc>
        <w:tc>
          <w:tcPr>
            <w:tcW w:w="943" w:type="pct"/>
            <w:shd w:val="clear" w:color="auto" w:fill="auto"/>
            <w:vAlign w:val="center"/>
          </w:tcPr>
          <w:p w14:paraId="6350B05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0.69</w:t>
            </w:r>
          </w:p>
        </w:tc>
      </w:tr>
      <w:tr w14:paraId="52290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684" w:type="pct"/>
            <w:vAlign w:val="center"/>
          </w:tcPr>
          <w:p w14:paraId="2AD73255">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2500</w:t>
            </w:r>
          </w:p>
        </w:tc>
        <w:tc>
          <w:tcPr>
            <w:tcW w:w="1153" w:type="pct"/>
            <w:gridSpan w:val="2"/>
            <w:vAlign w:val="center"/>
          </w:tcPr>
          <w:p w14:paraId="6066967D">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2.44E-03</w:t>
            </w:r>
          </w:p>
        </w:tc>
        <w:tc>
          <w:tcPr>
            <w:tcW w:w="1058" w:type="pct"/>
            <w:gridSpan w:val="2"/>
            <w:shd w:val="clear" w:color="auto" w:fill="auto"/>
            <w:vAlign w:val="center"/>
          </w:tcPr>
          <w:p w14:paraId="1351D23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1.22</w:t>
            </w:r>
          </w:p>
        </w:tc>
        <w:tc>
          <w:tcPr>
            <w:tcW w:w="1160" w:type="pct"/>
            <w:gridSpan w:val="2"/>
            <w:shd w:val="clear" w:color="auto" w:fill="auto"/>
            <w:vAlign w:val="center"/>
          </w:tcPr>
          <w:p w14:paraId="59156B5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5.38E-05</w:t>
            </w:r>
          </w:p>
        </w:tc>
        <w:tc>
          <w:tcPr>
            <w:tcW w:w="943" w:type="pct"/>
            <w:shd w:val="clear" w:color="auto" w:fill="auto"/>
            <w:vAlign w:val="center"/>
          </w:tcPr>
          <w:p w14:paraId="32BED7E1">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0.54</w:t>
            </w:r>
          </w:p>
        </w:tc>
      </w:tr>
      <w:tr w14:paraId="52900C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684" w:type="pct"/>
            <w:vAlign w:val="center"/>
          </w:tcPr>
          <w:p w14:paraId="462232B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w:t>
            </w:r>
          </w:p>
        </w:tc>
        <w:tc>
          <w:tcPr>
            <w:tcW w:w="1153" w:type="pct"/>
            <w:gridSpan w:val="2"/>
            <w:shd w:val="clear" w:color="auto" w:fill="auto"/>
            <w:vAlign w:val="center"/>
          </w:tcPr>
          <w:p w14:paraId="248513EB">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1.51E-02</w:t>
            </w:r>
          </w:p>
        </w:tc>
        <w:tc>
          <w:tcPr>
            <w:tcW w:w="1058" w:type="pct"/>
            <w:gridSpan w:val="2"/>
            <w:shd w:val="clear" w:color="auto" w:fill="auto"/>
            <w:vAlign w:val="center"/>
          </w:tcPr>
          <w:p w14:paraId="6E3DED8A">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7.56</w:t>
            </w:r>
          </w:p>
        </w:tc>
        <w:tc>
          <w:tcPr>
            <w:tcW w:w="1160" w:type="pct"/>
            <w:gridSpan w:val="2"/>
            <w:shd w:val="clear" w:color="auto" w:fill="auto"/>
            <w:vAlign w:val="center"/>
          </w:tcPr>
          <w:p w14:paraId="54989CD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3.34E-04</w:t>
            </w:r>
          </w:p>
        </w:tc>
        <w:tc>
          <w:tcPr>
            <w:tcW w:w="943" w:type="pct"/>
            <w:shd w:val="clear" w:color="auto" w:fill="auto"/>
            <w:vAlign w:val="center"/>
          </w:tcPr>
          <w:p w14:paraId="2649D4F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3.34</w:t>
            </w:r>
          </w:p>
        </w:tc>
      </w:tr>
      <w:tr w14:paraId="541E1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684" w:type="pct"/>
            <w:vAlign w:val="center"/>
          </w:tcPr>
          <w:p w14:paraId="151D7D2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下风向最大浓度出现距离</w:t>
            </w:r>
          </w:p>
        </w:tc>
        <w:tc>
          <w:tcPr>
            <w:tcW w:w="4315" w:type="pct"/>
            <w:gridSpan w:val="7"/>
            <w:vAlign w:val="center"/>
          </w:tcPr>
          <w:p w14:paraId="7753DFCD">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380</w:t>
            </w:r>
            <w:r>
              <w:rPr>
                <w:rFonts w:hint="default" w:ascii="Times New Roman" w:hAnsi="Times New Roman" w:eastAsia="宋体" w:cs="Times New Roman"/>
                <w:color w:val="auto"/>
                <w:highlight w:val="none"/>
              </w:rPr>
              <w:t>m</w:t>
            </w:r>
          </w:p>
        </w:tc>
      </w:tr>
      <w:tr w14:paraId="5E702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684" w:type="pct"/>
            <w:vMerge w:val="restart"/>
            <w:vAlign w:val="center"/>
          </w:tcPr>
          <w:p w14:paraId="74325C1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距离（m）</w:t>
            </w:r>
          </w:p>
        </w:tc>
        <w:tc>
          <w:tcPr>
            <w:tcW w:w="4315" w:type="pct"/>
            <w:gridSpan w:val="7"/>
            <w:vAlign w:val="center"/>
          </w:tcPr>
          <w:p w14:paraId="2044E8CC">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无组织面源</w:t>
            </w:r>
          </w:p>
        </w:tc>
      </w:tr>
      <w:tr w14:paraId="42BC0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84" w:type="pct"/>
            <w:vMerge w:val="continue"/>
            <w:vAlign w:val="center"/>
          </w:tcPr>
          <w:p w14:paraId="0A291316">
            <w:pPr>
              <w:pStyle w:val="146"/>
              <w:ind w:left="0" w:leftChars="0" w:firstLine="0" w:firstLineChars="0"/>
              <w:rPr>
                <w:rFonts w:hint="default" w:ascii="Times New Roman" w:hAnsi="Times New Roman" w:eastAsia="宋体" w:cs="Times New Roman"/>
                <w:color w:val="auto"/>
                <w:highlight w:val="none"/>
              </w:rPr>
            </w:pPr>
          </w:p>
        </w:tc>
        <w:tc>
          <w:tcPr>
            <w:tcW w:w="2208" w:type="pct"/>
            <w:gridSpan w:val="3"/>
            <w:vAlign w:val="center"/>
          </w:tcPr>
          <w:p w14:paraId="780897B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2106" w:type="pct"/>
            <w:gridSpan w:val="4"/>
            <w:vAlign w:val="center"/>
          </w:tcPr>
          <w:p w14:paraId="32692BF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4A2A4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84" w:type="pct"/>
            <w:vMerge w:val="continue"/>
            <w:vAlign w:val="center"/>
          </w:tcPr>
          <w:p w14:paraId="030C5FB7">
            <w:pPr>
              <w:pStyle w:val="146"/>
              <w:ind w:left="0" w:leftChars="0" w:firstLine="0" w:firstLineChars="0"/>
              <w:rPr>
                <w:rFonts w:hint="default" w:ascii="Times New Roman" w:hAnsi="Times New Roman" w:eastAsia="宋体" w:cs="Times New Roman"/>
                <w:color w:val="auto"/>
                <w:highlight w:val="none"/>
              </w:rPr>
            </w:pPr>
          </w:p>
        </w:tc>
        <w:tc>
          <w:tcPr>
            <w:tcW w:w="1148" w:type="pct"/>
            <w:vAlign w:val="center"/>
          </w:tcPr>
          <w:p w14:paraId="21C6798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059" w:type="pct"/>
            <w:gridSpan w:val="2"/>
            <w:vAlign w:val="center"/>
          </w:tcPr>
          <w:p w14:paraId="0C23147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c>
          <w:tcPr>
            <w:tcW w:w="1149" w:type="pct"/>
            <w:gridSpan w:val="2"/>
            <w:vAlign w:val="center"/>
          </w:tcPr>
          <w:p w14:paraId="082132E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预测质量浓度/(μg/m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957" w:type="pct"/>
            <w:gridSpan w:val="2"/>
            <w:vAlign w:val="center"/>
          </w:tcPr>
          <w:p w14:paraId="34C734F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占标率/(%)</w:t>
            </w:r>
          </w:p>
        </w:tc>
      </w:tr>
      <w:tr w14:paraId="04F35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684" w:type="pct"/>
            <w:vAlign w:val="center"/>
          </w:tcPr>
          <w:p w14:paraId="3416CE2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84</w:t>
            </w:r>
          </w:p>
        </w:tc>
        <w:tc>
          <w:tcPr>
            <w:tcW w:w="1148" w:type="pct"/>
            <w:vAlign w:val="center"/>
          </w:tcPr>
          <w:p w14:paraId="458E2505">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3.45E-02</w:t>
            </w:r>
          </w:p>
        </w:tc>
        <w:tc>
          <w:tcPr>
            <w:tcW w:w="1059" w:type="pct"/>
            <w:gridSpan w:val="2"/>
            <w:shd w:val="clear" w:color="auto" w:fill="auto"/>
            <w:vAlign w:val="center"/>
          </w:tcPr>
          <w:p w14:paraId="7C8DF03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17.26</w:t>
            </w:r>
          </w:p>
        </w:tc>
        <w:tc>
          <w:tcPr>
            <w:tcW w:w="1149" w:type="pct"/>
            <w:gridSpan w:val="2"/>
            <w:shd w:val="clear" w:color="auto" w:fill="auto"/>
            <w:vAlign w:val="center"/>
          </w:tcPr>
          <w:p w14:paraId="69C898D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5.27E-04</w:t>
            </w:r>
          </w:p>
        </w:tc>
        <w:tc>
          <w:tcPr>
            <w:tcW w:w="957" w:type="pct"/>
            <w:gridSpan w:val="2"/>
            <w:shd w:val="clear" w:color="auto" w:fill="auto"/>
            <w:vAlign w:val="center"/>
          </w:tcPr>
          <w:p w14:paraId="070A954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5.27</w:t>
            </w:r>
          </w:p>
        </w:tc>
      </w:tr>
      <w:tr w14:paraId="7E52D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684" w:type="pct"/>
            <w:vAlign w:val="center"/>
          </w:tcPr>
          <w:p w14:paraId="3180328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1148" w:type="pct"/>
            <w:vAlign w:val="center"/>
          </w:tcPr>
          <w:p w14:paraId="51C52F3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3.00E-02</w:t>
            </w:r>
          </w:p>
        </w:tc>
        <w:tc>
          <w:tcPr>
            <w:tcW w:w="1059" w:type="pct"/>
            <w:gridSpan w:val="2"/>
            <w:shd w:val="clear" w:color="auto" w:fill="auto"/>
            <w:vAlign w:val="center"/>
          </w:tcPr>
          <w:p w14:paraId="0ABD5CD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15.02</w:t>
            </w:r>
          </w:p>
        </w:tc>
        <w:tc>
          <w:tcPr>
            <w:tcW w:w="1149" w:type="pct"/>
            <w:gridSpan w:val="2"/>
            <w:shd w:val="clear" w:color="auto" w:fill="auto"/>
            <w:vAlign w:val="center"/>
          </w:tcPr>
          <w:p w14:paraId="1929675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4.59E-04</w:t>
            </w:r>
          </w:p>
        </w:tc>
        <w:tc>
          <w:tcPr>
            <w:tcW w:w="957" w:type="pct"/>
            <w:gridSpan w:val="2"/>
            <w:vAlign w:val="center"/>
          </w:tcPr>
          <w:p w14:paraId="2E176981">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4.59</w:t>
            </w:r>
          </w:p>
        </w:tc>
      </w:tr>
      <w:tr w14:paraId="3D73D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2EE3F2D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1148" w:type="pct"/>
            <w:vAlign w:val="center"/>
          </w:tcPr>
          <w:p w14:paraId="2C8E2EC4">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1.45E-02</w:t>
            </w:r>
          </w:p>
        </w:tc>
        <w:tc>
          <w:tcPr>
            <w:tcW w:w="1059" w:type="pct"/>
            <w:gridSpan w:val="2"/>
            <w:shd w:val="clear" w:color="auto" w:fill="auto"/>
            <w:vAlign w:val="center"/>
          </w:tcPr>
          <w:p w14:paraId="6981CBA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7.27</w:t>
            </w:r>
          </w:p>
        </w:tc>
        <w:tc>
          <w:tcPr>
            <w:tcW w:w="1149" w:type="pct"/>
            <w:gridSpan w:val="2"/>
            <w:shd w:val="clear" w:color="auto" w:fill="auto"/>
            <w:vAlign w:val="center"/>
          </w:tcPr>
          <w:p w14:paraId="16E4419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2.22E-04</w:t>
            </w:r>
          </w:p>
        </w:tc>
        <w:tc>
          <w:tcPr>
            <w:tcW w:w="957" w:type="pct"/>
            <w:gridSpan w:val="2"/>
            <w:vAlign w:val="center"/>
          </w:tcPr>
          <w:p w14:paraId="0F0C75A3">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2.22</w:t>
            </w:r>
          </w:p>
        </w:tc>
      </w:tr>
      <w:tr w14:paraId="77677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2B8F77A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w:t>
            </w:r>
          </w:p>
        </w:tc>
        <w:tc>
          <w:tcPr>
            <w:tcW w:w="1148" w:type="pct"/>
            <w:vAlign w:val="center"/>
          </w:tcPr>
          <w:p w14:paraId="2F2AD37F">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8.90E-03</w:t>
            </w:r>
          </w:p>
        </w:tc>
        <w:tc>
          <w:tcPr>
            <w:tcW w:w="1059" w:type="pct"/>
            <w:gridSpan w:val="2"/>
            <w:shd w:val="clear" w:color="auto" w:fill="auto"/>
            <w:vAlign w:val="center"/>
          </w:tcPr>
          <w:p w14:paraId="3EC5164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4.45</w:t>
            </w:r>
          </w:p>
        </w:tc>
        <w:tc>
          <w:tcPr>
            <w:tcW w:w="1149" w:type="pct"/>
            <w:gridSpan w:val="2"/>
            <w:shd w:val="clear" w:color="auto" w:fill="auto"/>
            <w:vAlign w:val="center"/>
          </w:tcPr>
          <w:p w14:paraId="364CFEE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1.36E-04</w:t>
            </w:r>
          </w:p>
        </w:tc>
        <w:tc>
          <w:tcPr>
            <w:tcW w:w="957" w:type="pct"/>
            <w:gridSpan w:val="2"/>
            <w:vAlign w:val="center"/>
          </w:tcPr>
          <w:p w14:paraId="092542B7">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1.36</w:t>
            </w:r>
          </w:p>
        </w:tc>
      </w:tr>
      <w:tr w14:paraId="58631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4" w:type="pct"/>
            <w:vAlign w:val="center"/>
          </w:tcPr>
          <w:p w14:paraId="145C370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w:t>
            </w:r>
          </w:p>
        </w:tc>
        <w:tc>
          <w:tcPr>
            <w:tcW w:w="1148" w:type="pct"/>
            <w:vAlign w:val="center"/>
          </w:tcPr>
          <w:p w14:paraId="06BE0952">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6.19E-03</w:t>
            </w:r>
          </w:p>
        </w:tc>
        <w:tc>
          <w:tcPr>
            <w:tcW w:w="1059" w:type="pct"/>
            <w:gridSpan w:val="2"/>
            <w:shd w:val="clear" w:color="auto" w:fill="auto"/>
            <w:vAlign w:val="center"/>
          </w:tcPr>
          <w:p w14:paraId="0BEBE80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3.09</w:t>
            </w:r>
          </w:p>
        </w:tc>
        <w:tc>
          <w:tcPr>
            <w:tcW w:w="1149" w:type="pct"/>
            <w:gridSpan w:val="2"/>
            <w:shd w:val="clear" w:color="auto" w:fill="auto"/>
            <w:vAlign w:val="center"/>
          </w:tcPr>
          <w:p w14:paraId="5E999B5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9.45E-05</w:t>
            </w:r>
          </w:p>
        </w:tc>
        <w:tc>
          <w:tcPr>
            <w:tcW w:w="957" w:type="pct"/>
            <w:gridSpan w:val="2"/>
            <w:vAlign w:val="center"/>
          </w:tcPr>
          <w:p w14:paraId="4CCCFF40">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0.95</w:t>
            </w:r>
          </w:p>
        </w:tc>
      </w:tr>
      <w:tr w14:paraId="0304B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4DE9B89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w:t>
            </w:r>
          </w:p>
        </w:tc>
        <w:tc>
          <w:tcPr>
            <w:tcW w:w="1148" w:type="pct"/>
            <w:vAlign w:val="center"/>
          </w:tcPr>
          <w:p w14:paraId="242983BB">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4.65E-03</w:t>
            </w:r>
          </w:p>
        </w:tc>
        <w:tc>
          <w:tcPr>
            <w:tcW w:w="1059" w:type="pct"/>
            <w:gridSpan w:val="2"/>
            <w:shd w:val="clear" w:color="auto" w:fill="auto"/>
            <w:vAlign w:val="center"/>
          </w:tcPr>
          <w:p w14:paraId="2891980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2.32</w:t>
            </w:r>
          </w:p>
        </w:tc>
        <w:tc>
          <w:tcPr>
            <w:tcW w:w="1149" w:type="pct"/>
            <w:gridSpan w:val="2"/>
            <w:shd w:val="clear" w:color="auto" w:fill="auto"/>
            <w:vAlign w:val="center"/>
          </w:tcPr>
          <w:p w14:paraId="3AC4AB0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7.10E-05</w:t>
            </w:r>
          </w:p>
        </w:tc>
        <w:tc>
          <w:tcPr>
            <w:tcW w:w="957" w:type="pct"/>
            <w:gridSpan w:val="2"/>
            <w:vAlign w:val="center"/>
          </w:tcPr>
          <w:p w14:paraId="4795986B">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0.71</w:t>
            </w:r>
          </w:p>
        </w:tc>
      </w:tr>
      <w:tr w14:paraId="28DD5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684" w:type="pct"/>
            <w:vAlign w:val="center"/>
          </w:tcPr>
          <w:p w14:paraId="23625DE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600</w:t>
            </w:r>
          </w:p>
        </w:tc>
        <w:tc>
          <w:tcPr>
            <w:tcW w:w="1148" w:type="pct"/>
            <w:vAlign w:val="center"/>
          </w:tcPr>
          <w:p w14:paraId="3D8F4E8E">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3.67E-03</w:t>
            </w:r>
          </w:p>
        </w:tc>
        <w:tc>
          <w:tcPr>
            <w:tcW w:w="1059" w:type="pct"/>
            <w:gridSpan w:val="2"/>
            <w:shd w:val="clear" w:color="auto" w:fill="auto"/>
            <w:vAlign w:val="center"/>
          </w:tcPr>
          <w:p w14:paraId="19E02C8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1.83</w:t>
            </w:r>
          </w:p>
        </w:tc>
        <w:tc>
          <w:tcPr>
            <w:tcW w:w="1149" w:type="pct"/>
            <w:gridSpan w:val="2"/>
            <w:shd w:val="clear" w:color="auto" w:fill="auto"/>
            <w:vAlign w:val="center"/>
          </w:tcPr>
          <w:p w14:paraId="542C022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5.60E-05</w:t>
            </w:r>
          </w:p>
        </w:tc>
        <w:tc>
          <w:tcPr>
            <w:tcW w:w="957" w:type="pct"/>
            <w:gridSpan w:val="2"/>
            <w:vAlign w:val="center"/>
          </w:tcPr>
          <w:p w14:paraId="2DAF0746">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0.56</w:t>
            </w:r>
          </w:p>
        </w:tc>
      </w:tr>
      <w:tr w14:paraId="13DF8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7A738FF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700</w:t>
            </w:r>
          </w:p>
        </w:tc>
        <w:tc>
          <w:tcPr>
            <w:tcW w:w="1148" w:type="pct"/>
            <w:vAlign w:val="center"/>
          </w:tcPr>
          <w:p w14:paraId="7038C3EA">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2.99E-03</w:t>
            </w:r>
          </w:p>
        </w:tc>
        <w:tc>
          <w:tcPr>
            <w:tcW w:w="1059" w:type="pct"/>
            <w:gridSpan w:val="2"/>
            <w:shd w:val="clear" w:color="auto" w:fill="auto"/>
            <w:vAlign w:val="center"/>
          </w:tcPr>
          <w:p w14:paraId="59E8D9C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1.50</w:t>
            </w:r>
          </w:p>
        </w:tc>
        <w:tc>
          <w:tcPr>
            <w:tcW w:w="1149" w:type="pct"/>
            <w:gridSpan w:val="2"/>
            <w:shd w:val="clear" w:color="auto" w:fill="auto"/>
            <w:vAlign w:val="center"/>
          </w:tcPr>
          <w:p w14:paraId="613A1FA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4.57E-05</w:t>
            </w:r>
          </w:p>
        </w:tc>
        <w:tc>
          <w:tcPr>
            <w:tcW w:w="957" w:type="pct"/>
            <w:gridSpan w:val="2"/>
            <w:vAlign w:val="center"/>
          </w:tcPr>
          <w:p w14:paraId="48A57457">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0.46</w:t>
            </w:r>
          </w:p>
        </w:tc>
      </w:tr>
      <w:tr w14:paraId="0D1CC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7966799D">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1148" w:type="pct"/>
            <w:vAlign w:val="center"/>
          </w:tcPr>
          <w:p w14:paraId="582061B8">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2.51E-03</w:t>
            </w:r>
          </w:p>
        </w:tc>
        <w:tc>
          <w:tcPr>
            <w:tcW w:w="1059" w:type="pct"/>
            <w:gridSpan w:val="2"/>
            <w:shd w:val="clear" w:color="auto" w:fill="auto"/>
            <w:vAlign w:val="center"/>
          </w:tcPr>
          <w:p w14:paraId="76B0B96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1.25</w:t>
            </w:r>
          </w:p>
        </w:tc>
        <w:tc>
          <w:tcPr>
            <w:tcW w:w="1149" w:type="pct"/>
            <w:gridSpan w:val="2"/>
            <w:shd w:val="clear" w:color="auto" w:fill="auto"/>
            <w:vAlign w:val="center"/>
          </w:tcPr>
          <w:p w14:paraId="04704DA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3.83E-05</w:t>
            </w:r>
          </w:p>
        </w:tc>
        <w:tc>
          <w:tcPr>
            <w:tcW w:w="957" w:type="pct"/>
            <w:gridSpan w:val="2"/>
            <w:vAlign w:val="center"/>
          </w:tcPr>
          <w:p w14:paraId="50FADEFE">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0.38</w:t>
            </w:r>
          </w:p>
        </w:tc>
      </w:tr>
      <w:tr w14:paraId="73842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2458DD3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w:t>
            </w:r>
          </w:p>
        </w:tc>
        <w:tc>
          <w:tcPr>
            <w:tcW w:w="1148" w:type="pct"/>
            <w:vAlign w:val="center"/>
          </w:tcPr>
          <w:p w14:paraId="3CC3D12C">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2.15E-03</w:t>
            </w:r>
          </w:p>
        </w:tc>
        <w:tc>
          <w:tcPr>
            <w:tcW w:w="1059" w:type="pct"/>
            <w:gridSpan w:val="2"/>
            <w:shd w:val="clear" w:color="auto" w:fill="auto"/>
            <w:vAlign w:val="center"/>
          </w:tcPr>
          <w:p w14:paraId="1E328C8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1.07</w:t>
            </w:r>
          </w:p>
        </w:tc>
        <w:tc>
          <w:tcPr>
            <w:tcW w:w="1149" w:type="pct"/>
            <w:gridSpan w:val="2"/>
            <w:shd w:val="clear" w:color="auto" w:fill="auto"/>
            <w:vAlign w:val="center"/>
          </w:tcPr>
          <w:p w14:paraId="71430EC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3.28E-05</w:t>
            </w:r>
          </w:p>
        </w:tc>
        <w:tc>
          <w:tcPr>
            <w:tcW w:w="957" w:type="pct"/>
            <w:gridSpan w:val="2"/>
            <w:vAlign w:val="center"/>
          </w:tcPr>
          <w:p w14:paraId="13404BB6">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0.33</w:t>
            </w:r>
          </w:p>
        </w:tc>
      </w:tr>
      <w:tr w14:paraId="2E5192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684" w:type="pct"/>
            <w:vAlign w:val="center"/>
          </w:tcPr>
          <w:p w14:paraId="72EE0FB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148" w:type="pct"/>
            <w:vAlign w:val="center"/>
          </w:tcPr>
          <w:p w14:paraId="75442367">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1.87E-03</w:t>
            </w:r>
          </w:p>
        </w:tc>
        <w:tc>
          <w:tcPr>
            <w:tcW w:w="1059" w:type="pct"/>
            <w:gridSpan w:val="2"/>
            <w:shd w:val="clear" w:color="auto" w:fill="auto"/>
            <w:vAlign w:val="center"/>
          </w:tcPr>
          <w:p w14:paraId="52655FC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0.94</w:t>
            </w:r>
          </w:p>
        </w:tc>
        <w:tc>
          <w:tcPr>
            <w:tcW w:w="1149" w:type="pct"/>
            <w:gridSpan w:val="2"/>
            <w:shd w:val="clear" w:color="auto" w:fill="auto"/>
            <w:vAlign w:val="center"/>
          </w:tcPr>
          <w:p w14:paraId="02C92931">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2.86E-05</w:t>
            </w:r>
          </w:p>
        </w:tc>
        <w:tc>
          <w:tcPr>
            <w:tcW w:w="957" w:type="pct"/>
            <w:gridSpan w:val="2"/>
            <w:vAlign w:val="center"/>
          </w:tcPr>
          <w:p w14:paraId="22CCE539">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0.29</w:t>
            </w:r>
          </w:p>
        </w:tc>
      </w:tr>
      <w:tr w14:paraId="5A445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684" w:type="pct"/>
            <w:vAlign w:val="center"/>
          </w:tcPr>
          <w:p w14:paraId="7F8F826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1500</w:t>
            </w:r>
          </w:p>
        </w:tc>
        <w:tc>
          <w:tcPr>
            <w:tcW w:w="1148" w:type="pct"/>
            <w:vAlign w:val="center"/>
          </w:tcPr>
          <w:p w14:paraId="191DCD5E">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1.09E-03</w:t>
            </w:r>
          </w:p>
        </w:tc>
        <w:tc>
          <w:tcPr>
            <w:tcW w:w="1059" w:type="pct"/>
            <w:gridSpan w:val="2"/>
            <w:shd w:val="clear" w:color="auto" w:fill="auto"/>
            <w:vAlign w:val="center"/>
          </w:tcPr>
          <w:p w14:paraId="0FF5D2F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0.54</w:t>
            </w:r>
          </w:p>
        </w:tc>
        <w:tc>
          <w:tcPr>
            <w:tcW w:w="1149" w:type="pct"/>
            <w:gridSpan w:val="2"/>
            <w:shd w:val="clear" w:color="auto" w:fill="auto"/>
            <w:vAlign w:val="center"/>
          </w:tcPr>
          <w:p w14:paraId="52449D6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1.66E-05</w:t>
            </w:r>
          </w:p>
        </w:tc>
        <w:tc>
          <w:tcPr>
            <w:tcW w:w="957" w:type="pct"/>
            <w:gridSpan w:val="2"/>
            <w:vAlign w:val="center"/>
          </w:tcPr>
          <w:p w14:paraId="20B8CE3F">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0.17</w:t>
            </w:r>
          </w:p>
        </w:tc>
      </w:tr>
      <w:tr w14:paraId="0E2F8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4" w:type="pct"/>
            <w:vAlign w:val="center"/>
          </w:tcPr>
          <w:p w14:paraId="58FE0D1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w:t>
            </w:r>
          </w:p>
        </w:tc>
        <w:tc>
          <w:tcPr>
            <w:tcW w:w="1148" w:type="pct"/>
            <w:vAlign w:val="center"/>
          </w:tcPr>
          <w:p w14:paraId="4AEAB784">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7.39E-04</w:t>
            </w:r>
          </w:p>
        </w:tc>
        <w:tc>
          <w:tcPr>
            <w:tcW w:w="1059" w:type="pct"/>
            <w:gridSpan w:val="2"/>
            <w:shd w:val="clear" w:color="auto" w:fill="auto"/>
            <w:vAlign w:val="center"/>
          </w:tcPr>
          <w:p w14:paraId="0D90291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0.37</w:t>
            </w:r>
          </w:p>
        </w:tc>
        <w:tc>
          <w:tcPr>
            <w:tcW w:w="1149" w:type="pct"/>
            <w:gridSpan w:val="2"/>
            <w:shd w:val="clear" w:color="auto" w:fill="auto"/>
            <w:vAlign w:val="center"/>
          </w:tcPr>
          <w:p w14:paraId="0E6A7DB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1.13E-05</w:t>
            </w:r>
          </w:p>
        </w:tc>
        <w:tc>
          <w:tcPr>
            <w:tcW w:w="957" w:type="pct"/>
            <w:gridSpan w:val="2"/>
            <w:vAlign w:val="center"/>
          </w:tcPr>
          <w:p w14:paraId="30EF7DCA">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0.11</w:t>
            </w:r>
          </w:p>
        </w:tc>
      </w:tr>
      <w:tr w14:paraId="1658A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684" w:type="pct"/>
            <w:vAlign w:val="center"/>
          </w:tcPr>
          <w:p w14:paraId="55AC853D">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2500</w:t>
            </w:r>
          </w:p>
        </w:tc>
        <w:tc>
          <w:tcPr>
            <w:tcW w:w="1148" w:type="pct"/>
            <w:vAlign w:val="center"/>
          </w:tcPr>
          <w:p w14:paraId="3710B3B9">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5.47E-04</w:t>
            </w:r>
          </w:p>
        </w:tc>
        <w:tc>
          <w:tcPr>
            <w:tcW w:w="1059" w:type="pct"/>
            <w:gridSpan w:val="2"/>
            <w:shd w:val="clear" w:color="auto" w:fill="auto"/>
            <w:vAlign w:val="center"/>
          </w:tcPr>
          <w:p w14:paraId="2968032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0.27</w:t>
            </w:r>
          </w:p>
        </w:tc>
        <w:tc>
          <w:tcPr>
            <w:tcW w:w="1149" w:type="pct"/>
            <w:gridSpan w:val="2"/>
            <w:shd w:val="clear" w:color="auto" w:fill="auto"/>
            <w:vAlign w:val="center"/>
          </w:tcPr>
          <w:p w14:paraId="77EB9E1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8.35E-06</w:t>
            </w:r>
          </w:p>
        </w:tc>
        <w:tc>
          <w:tcPr>
            <w:tcW w:w="957" w:type="pct"/>
            <w:gridSpan w:val="2"/>
            <w:vAlign w:val="center"/>
          </w:tcPr>
          <w:p w14:paraId="3686421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0.08</w:t>
            </w:r>
          </w:p>
        </w:tc>
      </w:tr>
      <w:tr w14:paraId="05203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684" w:type="pct"/>
            <w:vAlign w:val="center"/>
          </w:tcPr>
          <w:p w14:paraId="09B043F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w:t>
            </w:r>
          </w:p>
        </w:tc>
        <w:tc>
          <w:tcPr>
            <w:tcW w:w="1148" w:type="pct"/>
            <w:shd w:val="clear" w:color="auto" w:fill="auto"/>
            <w:vAlign w:val="center"/>
          </w:tcPr>
          <w:p w14:paraId="26F04441">
            <w:pPr>
              <w:pStyle w:val="146"/>
              <w:ind w:left="0" w:leftChars="0" w:firstLine="0" w:firstLineChars="0"/>
              <w:rPr>
                <w:rFonts w:hint="default"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highlight w:val="none"/>
              </w:rPr>
              <w:t>3.45E-02</w:t>
            </w:r>
          </w:p>
        </w:tc>
        <w:tc>
          <w:tcPr>
            <w:tcW w:w="1059" w:type="pct"/>
            <w:gridSpan w:val="2"/>
            <w:shd w:val="clear" w:color="auto" w:fill="auto"/>
            <w:vAlign w:val="center"/>
          </w:tcPr>
          <w:p w14:paraId="43B836B6">
            <w:pPr>
              <w:pStyle w:val="146"/>
              <w:ind w:left="0" w:leftChars="0" w:firstLine="0" w:firstLineChars="0"/>
              <w:rPr>
                <w:rFonts w:hint="default"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highlight w:val="none"/>
              </w:rPr>
              <w:t>17.26</w:t>
            </w:r>
          </w:p>
        </w:tc>
        <w:tc>
          <w:tcPr>
            <w:tcW w:w="1149" w:type="pct"/>
            <w:gridSpan w:val="2"/>
            <w:shd w:val="clear" w:color="auto" w:fill="auto"/>
            <w:vAlign w:val="center"/>
          </w:tcPr>
          <w:p w14:paraId="3F4FE98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5.27E-04</w:t>
            </w:r>
          </w:p>
        </w:tc>
        <w:tc>
          <w:tcPr>
            <w:tcW w:w="957" w:type="pct"/>
            <w:gridSpan w:val="2"/>
            <w:shd w:val="clear" w:color="auto" w:fill="auto"/>
            <w:vAlign w:val="center"/>
          </w:tcPr>
          <w:p w14:paraId="7BBA543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rPr>
              <w:t>5.27</w:t>
            </w:r>
          </w:p>
        </w:tc>
      </w:tr>
      <w:tr w14:paraId="2A0A1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684" w:type="pct"/>
            <w:vAlign w:val="center"/>
          </w:tcPr>
          <w:p w14:paraId="6FF25F0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下风向最大浓度出现距离</w:t>
            </w:r>
          </w:p>
        </w:tc>
        <w:tc>
          <w:tcPr>
            <w:tcW w:w="4315" w:type="pct"/>
            <w:gridSpan w:val="7"/>
            <w:vAlign w:val="center"/>
          </w:tcPr>
          <w:p w14:paraId="1813F69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8</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m</w:t>
            </w:r>
          </w:p>
        </w:tc>
      </w:tr>
    </w:tbl>
    <w:p w14:paraId="5D77BD54">
      <w:pPr>
        <w:pageBreakBefore w:val="0"/>
        <w:widowControl w:val="0"/>
        <w:kinsoku/>
        <w:wordWrap/>
        <w:overflowPunct/>
        <w:topLinePunct w:val="0"/>
        <w:autoSpaceDE/>
        <w:autoSpaceDN/>
        <w:bidi w:val="0"/>
        <w:adjustRightInd w:val="0"/>
        <w:snapToGrid w:val="0"/>
        <w:spacing w:before="116" w:line="500" w:lineRule="atLeast"/>
        <w:ind w:left="24" w:right="12" w:firstLine="481"/>
        <w:jc w:val="both"/>
        <w:textAlignment w:val="auto"/>
        <w:rPr>
          <w:rFonts w:ascii="宋体" w:hAnsi="宋体" w:eastAsia="宋体" w:cs="宋体"/>
          <w:color w:val="auto"/>
          <w:sz w:val="24"/>
          <w:szCs w:val="24"/>
          <w:highlight w:val="none"/>
        </w:rPr>
      </w:pPr>
      <w:r>
        <w:rPr>
          <w:rFonts w:ascii="宋体" w:hAnsi="宋体" w:eastAsia="宋体" w:cs="宋体"/>
          <w:color w:val="auto"/>
          <w:sz w:val="24"/>
          <w:szCs w:val="24"/>
          <w:highlight w:val="none"/>
        </w:rPr>
        <w:t>综合以上分析，本项目</w:t>
      </w:r>
      <w:r>
        <w:rPr>
          <w:rFonts w:ascii="Times New Roman" w:hAnsi="Times New Roman" w:eastAsia="Times New Roman" w:cs="Times New Roman"/>
          <w:i/>
          <w:iCs/>
          <w:color w:val="auto"/>
          <w:sz w:val="24"/>
          <w:szCs w:val="24"/>
          <w:highlight w:val="none"/>
        </w:rPr>
        <w:t>P</w:t>
      </w:r>
      <w:r>
        <w:rPr>
          <w:rFonts w:ascii="Times New Roman" w:hAnsi="Times New Roman" w:eastAsia="Times New Roman" w:cs="Times New Roman"/>
          <w:i/>
          <w:iCs/>
          <w:color w:val="auto"/>
          <w:position w:val="-1"/>
          <w:sz w:val="15"/>
          <w:szCs w:val="15"/>
          <w:highlight w:val="none"/>
        </w:rPr>
        <w:t>max</w:t>
      </w:r>
      <w:r>
        <w:rPr>
          <w:rFonts w:ascii="Times New Roman" w:hAnsi="Times New Roman" w:eastAsia="Times New Roman" w:cs="Times New Roman"/>
          <w:i/>
          <w:iCs/>
          <w:color w:val="auto"/>
          <w:spacing w:val="16"/>
          <w:w w:val="102"/>
          <w:position w:val="-1"/>
          <w:sz w:val="15"/>
          <w:szCs w:val="15"/>
          <w:highlight w:val="none"/>
        </w:rPr>
        <w:t xml:space="preserve"> </w:t>
      </w:r>
      <w:r>
        <w:rPr>
          <w:rFonts w:ascii="宋体" w:hAnsi="宋体" w:eastAsia="宋体" w:cs="宋体"/>
          <w:color w:val="auto"/>
          <w:sz w:val="24"/>
          <w:szCs w:val="24"/>
          <w:highlight w:val="none"/>
        </w:rPr>
        <w:t>最大值出现在本项目堆肥车间面源排放的氨，占</w:t>
      </w:r>
      <w:r>
        <w:rPr>
          <w:rFonts w:ascii="宋体" w:hAnsi="宋体" w:eastAsia="宋体" w:cs="宋体"/>
          <w:color w:val="auto"/>
          <w:spacing w:val="11"/>
          <w:sz w:val="24"/>
          <w:szCs w:val="24"/>
          <w:highlight w:val="none"/>
        </w:rPr>
        <w:t>标率</w:t>
      </w:r>
      <w:r>
        <w:rPr>
          <w:rFonts w:ascii="Times New Roman" w:hAnsi="Times New Roman" w:eastAsia="Times New Roman" w:cs="Times New Roman"/>
          <w:i/>
          <w:iCs/>
          <w:color w:val="auto"/>
          <w:sz w:val="24"/>
          <w:szCs w:val="24"/>
          <w:highlight w:val="none"/>
        </w:rPr>
        <w:t>P</w:t>
      </w:r>
      <w:r>
        <w:rPr>
          <w:rFonts w:ascii="Times New Roman" w:hAnsi="Times New Roman" w:eastAsia="Times New Roman" w:cs="Times New Roman"/>
          <w:i/>
          <w:iCs/>
          <w:color w:val="auto"/>
          <w:position w:val="-1"/>
          <w:sz w:val="15"/>
          <w:szCs w:val="15"/>
          <w:highlight w:val="none"/>
        </w:rPr>
        <w:t>max</w:t>
      </w:r>
      <w:r>
        <w:rPr>
          <w:rFonts w:ascii="宋体" w:hAnsi="宋体" w:eastAsia="宋体" w:cs="宋体"/>
          <w:color w:val="auto"/>
          <w:spacing w:val="11"/>
          <w:sz w:val="24"/>
          <w:szCs w:val="24"/>
          <w:highlight w:val="none"/>
        </w:rPr>
        <w:t>（</w:t>
      </w:r>
      <w:r>
        <w:rPr>
          <w:rFonts w:ascii="Times New Roman" w:hAnsi="Times New Roman" w:eastAsia="Times New Roman" w:cs="Times New Roman"/>
          <w:color w:val="auto"/>
          <w:sz w:val="24"/>
          <w:szCs w:val="24"/>
          <w:highlight w:val="none"/>
        </w:rPr>
        <w:t>NH</w:t>
      </w:r>
      <w:r>
        <w:rPr>
          <w:rFonts w:ascii="Times New Roman" w:hAnsi="Times New Roman" w:eastAsia="Times New Roman" w:cs="Times New Roman"/>
          <w:color w:val="auto"/>
          <w:spacing w:val="11"/>
          <w:sz w:val="15"/>
          <w:szCs w:val="15"/>
          <w:highlight w:val="none"/>
        </w:rPr>
        <w:t>3</w:t>
      </w:r>
      <w:r>
        <w:rPr>
          <w:rFonts w:ascii="宋体" w:hAnsi="宋体" w:eastAsia="宋体" w:cs="宋体"/>
          <w:color w:val="auto"/>
          <w:spacing w:val="11"/>
          <w:sz w:val="24"/>
          <w:szCs w:val="24"/>
          <w:highlight w:val="none"/>
        </w:rPr>
        <w:t>）</w:t>
      </w:r>
      <w:r>
        <w:rPr>
          <w:rFonts w:ascii="Times New Roman" w:hAnsi="Times New Roman" w:eastAsia="Times New Roman" w:cs="Times New Roman"/>
          <w:color w:val="auto"/>
          <w:spacing w:val="11"/>
          <w:sz w:val="24"/>
          <w:szCs w:val="24"/>
          <w:highlight w:val="none"/>
        </w:rPr>
        <w:t>=</w:t>
      </w:r>
      <w:r>
        <w:rPr>
          <w:rFonts w:hint="eastAsia" w:ascii="Times New Roman" w:hAnsi="Times New Roman" w:eastAsia="宋体" w:cs="Times New Roman"/>
          <w:color w:val="auto"/>
          <w:spacing w:val="11"/>
          <w:sz w:val="24"/>
          <w:szCs w:val="24"/>
          <w:highlight w:val="none"/>
          <w:lang w:val="en-US" w:eastAsia="zh-CN"/>
        </w:rPr>
        <w:t>1</w:t>
      </w:r>
      <w:r>
        <w:rPr>
          <w:rFonts w:hint="eastAsia" w:cs="Times New Roman"/>
          <w:color w:val="auto"/>
          <w:spacing w:val="11"/>
          <w:sz w:val="24"/>
          <w:szCs w:val="24"/>
          <w:highlight w:val="none"/>
          <w:lang w:val="en-US" w:eastAsia="zh-CN"/>
        </w:rPr>
        <w:t>7.26</w:t>
      </w:r>
      <w:r>
        <w:rPr>
          <w:rFonts w:ascii="Times New Roman" w:hAnsi="Times New Roman" w:eastAsia="Times New Roman" w:cs="Times New Roman"/>
          <w:color w:val="auto"/>
          <w:spacing w:val="11"/>
          <w:sz w:val="24"/>
          <w:szCs w:val="24"/>
          <w:highlight w:val="none"/>
        </w:rPr>
        <w:t>%≥10%</w:t>
      </w:r>
      <w:r>
        <w:rPr>
          <w:rFonts w:ascii="宋体" w:hAnsi="宋体" w:eastAsia="宋体" w:cs="宋体"/>
          <w:color w:val="auto"/>
          <w:spacing w:val="11"/>
          <w:sz w:val="24"/>
          <w:szCs w:val="24"/>
          <w:highlight w:val="none"/>
        </w:rPr>
        <w:t>，根据《环境</w:t>
      </w:r>
      <w:r>
        <w:rPr>
          <w:rFonts w:ascii="宋体" w:hAnsi="宋体" w:eastAsia="宋体" w:cs="宋体"/>
          <w:color w:val="auto"/>
          <w:spacing w:val="10"/>
          <w:sz w:val="24"/>
          <w:szCs w:val="24"/>
          <w:highlight w:val="none"/>
        </w:rPr>
        <w:t>影响评价技术导则</w:t>
      </w:r>
      <w:r>
        <w:rPr>
          <w:rFonts w:ascii="宋体" w:hAnsi="宋体" w:eastAsia="宋体" w:cs="宋体"/>
          <w:color w:val="auto"/>
          <w:spacing w:val="53"/>
          <w:sz w:val="24"/>
          <w:szCs w:val="24"/>
          <w:highlight w:val="none"/>
        </w:rPr>
        <w:t xml:space="preserve"> </w:t>
      </w:r>
      <w:r>
        <w:rPr>
          <w:rFonts w:ascii="宋体" w:hAnsi="宋体" w:eastAsia="宋体" w:cs="宋体"/>
          <w:color w:val="auto"/>
          <w:spacing w:val="10"/>
          <w:sz w:val="24"/>
          <w:szCs w:val="24"/>
          <w:highlight w:val="none"/>
        </w:rPr>
        <w:t>大气环境》</w:t>
      </w:r>
      <w:r>
        <w:rPr>
          <w:rFonts w:ascii="宋体" w:hAnsi="宋体" w:eastAsia="宋体" w:cs="宋体"/>
          <w:color w:val="auto"/>
          <w:sz w:val="24"/>
          <w:szCs w:val="24"/>
          <w:highlight w:val="none"/>
        </w:rPr>
        <w:t>（</w:t>
      </w:r>
      <w:r>
        <w:rPr>
          <w:rFonts w:ascii="Times New Roman" w:hAnsi="Times New Roman" w:eastAsia="Times New Roman" w:cs="Times New Roman"/>
          <w:color w:val="auto"/>
          <w:sz w:val="24"/>
          <w:szCs w:val="24"/>
          <w:highlight w:val="none"/>
        </w:rPr>
        <w:t>HJ2.2-2018</w:t>
      </w:r>
      <w:r>
        <w:rPr>
          <w:rFonts w:ascii="宋体" w:hAnsi="宋体" w:eastAsia="宋体" w:cs="宋体"/>
          <w:color w:val="auto"/>
          <w:sz w:val="24"/>
          <w:szCs w:val="24"/>
          <w:highlight w:val="none"/>
        </w:rPr>
        <w:t>）分级判据，本项目大气环</w:t>
      </w:r>
      <w:r>
        <w:rPr>
          <w:rFonts w:ascii="宋体" w:hAnsi="宋体" w:eastAsia="宋体" w:cs="宋体"/>
          <w:color w:val="auto"/>
          <w:spacing w:val="-1"/>
          <w:sz w:val="24"/>
          <w:szCs w:val="24"/>
          <w:highlight w:val="none"/>
        </w:rPr>
        <w:t>境影响评价工作等级为一级。</w:t>
      </w:r>
    </w:p>
    <w:p w14:paraId="636C54DE">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仿宋" w:cs="Times New Roman"/>
          <w:color w:val="auto"/>
          <w:highlight w:val="none"/>
          <w:lang w:eastAsia="zh-CN"/>
        </w:rPr>
      </w:pPr>
      <w:r>
        <w:rPr>
          <w:rFonts w:ascii="宋体" w:hAnsi="宋体" w:eastAsia="宋体" w:cs="宋体"/>
          <w:color w:val="auto"/>
          <w:spacing w:val="-1"/>
          <w:sz w:val="24"/>
          <w:szCs w:val="24"/>
          <w:highlight w:val="none"/>
        </w:rPr>
        <w:t>根据《环境影响评价技术导则 大气环境》（</w:t>
      </w:r>
      <w:r>
        <w:rPr>
          <w:rFonts w:ascii="Times New Roman" w:hAnsi="Times New Roman" w:eastAsia="Times New Roman" w:cs="Times New Roman"/>
          <w:color w:val="auto"/>
          <w:spacing w:val="-1"/>
          <w:sz w:val="24"/>
          <w:szCs w:val="24"/>
          <w:highlight w:val="none"/>
        </w:rPr>
        <w:t>HJ2.2-201</w:t>
      </w:r>
      <w:r>
        <w:rPr>
          <w:rFonts w:ascii="Times New Roman" w:hAnsi="Times New Roman" w:eastAsia="Times New Roman" w:cs="Times New Roman"/>
          <w:color w:val="auto"/>
          <w:spacing w:val="-2"/>
          <w:sz w:val="24"/>
          <w:szCs w:val="24"/>
          <w:highlight w:val="none"/>
        </w:rPr>
        <w:t>8</w:t>
      </w:r>
      <w:r>
        <w:rPr>
          <w:rFonts w:ascii="宋体" w:hAnsi="宋体" w:eastAsia="宋体" w:cs="宋体"/>
          <w:color w:val="auto"/>
          <w:spacing w:val="-7"/>
          <w:sz w:val="24"/>
          <w:szCs w:val="24"/>
          <w:highlight w:val="none"/>
        </w:rPr>
        <w:t>），</w:t>
      </w:r>
      <w:r>
        <w:rPr>
          <w:rFonts w:ascii="Times New Roman" w:hAnsi="Times New Roman" w:eastAsia="Times New Roman" w:cs="Times New Roman"/>
          <w:color w:val="auto"/>
          <w:spacing w:val="-2"/>
          <w:sz w:val="24"/>
          <w:szCs w:val="24"/>
          <w:highlight w:val="none"/>
        </w:rPr>
        <w:t>“</w:t>
      </w:r>
      <w:r>
        <w:rPr>
          <w:rFonts w:ascii="宋体" w:hAnsi="宋体" w:eastAsia="宋体" w:cs="宋体"/>
          <w:color w:val="auto"/>
          <w:spacing w:val="-2"/>
          <w:sz w:val="24"/>
          <w:szCs w:val="24"/>
          <w:highlight w:val="none"/>
        </w:rPr>
        <w:t>一级评价项目根</w:t>
      </w:r>
      <w:r>
        <w:rPr>
          <w:rFonts w:ascii="宋体" w:hAnsi="宋体" w:eastAsia="宋体" w:cs="宋体"/>
          <w:color w:val="auto"/>
          <w:spacing w:val="-3"/>
          <w:sz w:val="24"/>
          <w:szCs w:val="24"/>
          <w:highlight w:val="none"/>
        </w:rPr>
        <w:t>据建设项目排放污染物的最远影响距离（</w:t>
      </w:r>
      <w:r>
        <w:rPr>
          <w:rFonts w:ascii="Times New Roman" w:hAnsi="Times New Roman" w:eastAsia="Times New Roman" w:cs="Times New Roman"/>
          <w:color w:val="auto"/>
          <w:spacing w:val="-3"/>
          <w:sz w:val="24"/>
          <w:szCs w:val="24"/>
          <w:highlight w:val="none"/>
        </w:rPr>
        <w:t>D</w:t>
      </w:r>
      <w:r>
        <w:rPr>
          <w:rFonts w:ascii="Times New Roman" w:hAnsi="Times New Roman" w:eastAsia="Times New Roman" w:cs="Times New Roman"/>
          <w:color w:val="auto"/>
          <w:spacing w:val="-3"/>
          <w:sz w:val="15"/>
          <w:szCs w:val="15"/>
          <w:highlight w:val="none"/>
        </w:rPr>
        <w:t>10%</w:t>
      </w:r>
      <w:r>
        <w:rPr>
          <w:rFonts w:ascii="宋体" w:hAnsi="宋体" w:eastAsia="宋体" w:cs="宋体"/>
          <w:color w:val="auto"/>
          <w:spacing w:val="-3"/>
          <w:sz w:val="24"/>
          <w:szCs w:val="24"/>
          <w:highlight w:val="none"/>
        </w:rPr>
        <w:t>）确定大气环境影响评价范围。即以</w:t>
      </w:r>
      <w:r>
        <w:rPr>
          <w:rFonts w:ascii="宋体" w:hAnsi="宋体" w:eastAsia="宋体" w:cs="宋体"/>
          <w:color w:val="auto"/>
          <w:sz w:val="24"/>
          <w:szCs w:val="24"/>
          <w:highlight w:val="none"/>
        </w:rPr>
        <w:t>项目厂址为中心区域，自厂界外延</w:t>
      </w:r>
      <w:r>
        <w:rPr>
          <w:rFonts w:ascii="Times New Roman" w:hAnsi="Times New Roman" w:eastAsia="Times New Roman" w:cs="Times New Roman"/>
          <w:color w:val="auto"/>
          <w:sz w:val="24"/>
          <w:szCs w:val="24"/>
          <w:highlight w:val="none"/>
        </w:rPr>
        <w:t>D</w:t>
      </w:r>
      <w:r>
        <w:rPr>
          <w:rFonts w:ascii="Times New Roman" w:hAnsi="Times New Roman" w:eastAsia="Times New Roman" w:cs="Times New Roman"/>
          <w:color w:val="auto"/>
          <w:position w:val="-1"/>
          <w:sz w:val="15"/>
          <w:szCs w:val="15"/>
          <w:highlight w:val="none"/>
        </w:rPr>
        <w:t>10%</w:t>
      </w:r>
      <w:r>
        <w:rPr>
          <w:rFonts w:ascii="宋体" w:hAnsi="宋体" w:eastAsia="宋体" w:cs="宋体"/>
          <w:color w:val="auto"/>
          <w:sz w:val="24"/>
          <w:szCs w:val="24"/>
          <w:highlight w:val="none"/>
        </w:rPr>
        <w:t>的矩形区域作为大气环境影响评价范围。</w:t>
      </w:r>
      <w:r>
        <w:rPr>
          <w:rFonts w:ascii="宋体" w:hAnsi="宋体" w:eastAsia="宋体" w:cs="宋体"/>
          <w:color w:val="auto"/>
          <w:spacing w:val="-3"/>
          <w:sz w:val="24"/>
          <w:szCs w:val="24"/>
          <w:highlight w:val="none"/>
        </w:rPr>
        <w:t>当</w:t>
      </w:r>
      <w:r>
        <w:rPr>
          <w:rFonts w:ascii="Times New Roman" w:hAnsi="Times New Roman" w:eastAsia="Times New Roman" w:cs="Times New Roman"/>
          <w:color w:val="auto"/>
          <w:spacing w:val="-3"/>
          <w:sz w:val="24"/>
          <w:szCs w:val="24"/>
          <w:highlight w:val="none"/>
        </w:rPr>
        <w:t>D</w:t>
      </w:r>
      <w:r>
        <w:rPr>
          <w:rFonts w:ascii="Times New Roman" w:hAnsi="Times New Roman" w:eastAsia="Times New Roman" w:cs="Times New Roman"/>
          <w:color w:val="auto"/>
          <w:spacing w:val="-3"/>
          <w:position w:val="-1"/>
          <w:sz w:val="15"/>
          <w:szCs w:val="15"/>
          <w:highlight w:val="none"/>
        </w:rPr>
        <w:t>10%</w:t>
      </w:r>
      <w:r>
        <w:rPr>
          <w:rFonts w:ascii="宋体" w:hAnsi="宋体" w:eastAsia="宋体" w:cs="宋体"/>
          <w:color w:val="auto"/>
          <w:spacing w:val="-3"/>
          <w:sz w:val="24"/>
          <w:szCs w:val="24"/>
          <w:highlight w:val="none"/>
        </w:rPr>
        <w:t>超过</w:t>
      </w:r>
      <w:r>
        <w:rPr>
          <w:rFonts w:ascii="Times New Roman" w:hAnsi="Times New Roman" w:eastAsia="Times New Roman" w:cs="Times New Roman"/>
          <w:color w:val="auto"/>
          <w:spacing w:val="-3"/>
          <w:sz w:val="24"/>
          <w:szCs w:val="24"/>
          <w:highlight w:val="none"/>
        </w:rPr>
        <w:t>25km</w:t>
      </w:r>
      <w:r>
        <w:rPr>
          <w:rFonts w:ascii="宋体" w:hAnsi="宋体" w:eastAsia="宋体" w:cs="宋体"/>
          <w:color w:val="auto"/>
          <w:spacing w:val="-3"/>
          <w:sz w:val="24"/>
          <w:szCs w:val="24"/>
          <w:highlight w:val="none"/>
        </w:rPr>
        <w:t>时，确定评价范围为边长</w:t>
      </w:r>
      <w:r>
        <w:rPr>
          <w:rFonts w:ascii="Times New Roman" w:hAnsi="Times New Roman" w:eastAsia="Times New Roman" w:cs="Times New Roman"/>
          <w:color w:val="auto"/>
          <w:spacing w:val="-3"/>
          <w:sz w:val="24"/>
          <w:szCs w:val="24"/>
          <w:highlight w:val="none"/>
        </w:rPr>
        <w:t>50km</w:t>
      </w:r>
      <w:r>
        <w:rPr>
          <w:rFonts w:ascii="宋体" w:hAnsi="宋体" w:eastAsia="宋体" w:cs="宋体"/>
          <w:color w:val="auto"/>
          <w:spacing w:val="-3"/>
          <w:sz w:val="24"/>
          <w:szCs w:val="24"/>
          <w:highlight w:val="none"/>
        </w:rPr>
        <w:t>的矩形区域；当</w:t>
      </w:r>
      <w:r>
        <w:rPr>
          <w:rFonts w:ascii="Times New Roman" w:hAnsi="Times New Roman" w:eastAsia="Times New Roman" w:cs="Times New Roman"/>
          <w:color w:val="auto"/>
          <w:spacing w:val="-3"/>
          <w:sz w:val="24"/>
          <w:szCs w:val="24"/>
          <w:highlight w:val="none"/>
        </w:rPr>
        <w:t>D</w:t>
      </w:r>
      <w:r>
        <w:rPr>
          <w:rFonts w:ascii="Times New Roman" w:hAnsi="Times New Roman" w:eastAsia="Times New Roman" w:cs="Times New Roman"/>
          <w:color w:val="auto"/>
          <w:spacing w:val="-3"/>
          <w:position w:val="-1"/>
          <w:sz w:val="15"/>
          <w:szCs w:val="15"/>
          <w:highlight w:val="none"/>
        </w:rPr>
        <w:t>10%</w:t>
      </w:r>
      <w:r>
        <w:rPr>
          <w:rFonts w:ascii="宋体" w:hAnsi="宋体" w:eastAsia="宋体" w:cs="宋体"/>
          <w:color w:val="auto"/>
          <w:spacing w:val="-3"/>
          <w:sz w:val="24"/>
          <w:szCs w:val="24"/>
          <w:highlight w:val="none"/>
        </w:rPr>
        <w:t>小于</w:t>
      </w:r>
      <w:r>
        <w:rPr>
          <w:rFonts w:ascii="Times New Roman" w:hAnsi="Times New Roman" w:eastAsia="Times New Roman" w:cs="Times New Roman"/>
          <w:color w:val="auto"/>
          <w:spacing w:val="-3"/>
          <w:sz w:val="24"/>
          <w:szCs w:val="24"/>
          <w:highlight w:val="none"/>
        </w:rPr>
        <w:t>2.5km</w:t>
      </w:r>
      <w:r>
        <w:rPr>
          <w:rFonts w:ascii="宋体" w:hAnsi="宋体" w:eastAsia="宋体" w:cs="宋体"/>
          <w:color w:val="auto"/>
          <w:spacing w:val="-1"/>
          <w:sz w:val="24"/>
          <w:szCs w:val="24"/>
          <w:highlight w:val="none"/>
        </w:rPr>
        <w:t>时，评价范围边长取</w:t>
      </w:r>
      <w:r>
        <w:rPr>
          <w:rFonts w:ascii="Times New Roman" w:hAnsi="Times New Roman" w:eastAsia="Times New Roman" w:cs="Times New Roman"/>
          <w:color w:val="auto"/>
          <w:spacing w:val="-1"/>
          <w:sz w:val="24"/>
          <w:szCs w:val="24"/>
          <w:highlight w:val="none"/>
        </w:rPr>
        <w:t>5km”</w:t>
      </w:r>
      <w:r>
        <w:rPr>
          <w:rFonts w:ascii="宋体" w:hAnsi="宋体" w:eastAsia="宋体" w:cs="宋体"/>
          <w:color w:val="auto"/>
          <w:spacing w:val="-1"/>
          <w:sz w:val="24"/>
          <w:szCs w:val="24"/>
          <w:highlight w:val="none"/>
        </w:rPr>
        <w:t>。根据估算模型，本项目</w:t>
      </w:r>
      <w:r>
        <w:rPr>
          <w:rFonts w:ascii="Times New Roman" w:hAnsi="Times New Roman" w:eastAsia="Times New Roman" w:cs="Times New Roman"/>
          <w:color w:val="auto"/>
          <w:spacing w:val="-1"/>
          <w:sz w:val="24"/>
          <w:szCs w:val="24"/>
          <w:highlight w:val="none"/>
        </w:rPr>
        <w:t>D</w:t>
      </w:r>
      <w:r>
        <w:rPr>
          <w:rFonts w:ascii="Times New Roman" w:hAnsi="Times New Roman" w:eastAsia="Times New Roman" w:cs="Times New Roman"/>
          <w:color w:val="auto"/>
          <w:spacing w:val="-1"/>
          <w:position w:val="-1"/>
          <w:sz w:val="15"/>
          <w:szCs w:val="15"/>
          <w:highlight w:val="none"/>
        </w:rPr>
        <w:t>10%</w:t>
      </w:r>
      <w:r>
        <w:rPr>
          <w:rFonts w:ascii="宋体" w:hAnsi="宋体" w:eastAsia="宋体" w:cs="宋体"/>
          <w:color w:val="auto"/>
          <w:spacing w:val="-1"/>
          <w:sz w:val="24"/>
          <w:szCs w:val="24"/>
          <w:highlight w:val="none"/>
        </w:rPr>
        <w:t>为</w:t>
      </w:r>
      <w:r>
        <w:rPr>
          <w:rFonts w:hint="eastAsia" w:ascii="Times New Roman" w:hAnsi="Times New Roman" w:eastAsia="宋体" w:cs="Times New Roman"/>
          <w:color w:val="auto"/>
          <w:spacing w:val="-1"/>
          <w:sz w:val="24"/>
          <w:szCs w:val="24"/>
          <w:highlight w:val="none"/>
          <w:lang w:val="en-US" w:eastAsia="zh-CN"/>
        </w:rPr>
        <w:t>1</w:t>
      </w:r>
      <w:r>
        <w:rPr>
          <w:rFonts w:hint="eastAsia" w:eastAsia="宋体" w:cs="Times New Roman"/>
          <w:color w:val="auto"/>
          <w:spacing w:val="-1"/>
          <w:sz w:val="24"/>
          <w:szCs w:val="24"/>
          <w:highlight w:val="none"/>
          <w:lang w:val="en-US" w:eastAsia="zh-CN"/>
        </w:rPr>
        <w:t>5</w:t>
      </w:r>
      <w:r>
        <w:rPr>
          <w:rFonts w:ascii="Times New Roman" w:hAnsi="Times New Roman" w:eastAsia="Times New Roman" w:cs="Times New Roman"/>
          <w:color w:val="auto"/>
          <w:spacing w:val="-1"/>
          <w:sz w:val="24"/>
          <w:szCs w:val="24"/>
          <w:highlight w:val="none"/>
        </w:rPr>
        <w:t>0m</w:t>
      </w:r>
      <w:r>
        <w:rPr>
          <w:rFonts w:ascii="宋体" w:hAnsi="宋体" w:eastAsia="宋体" w:cs="宋体"/>
          <w:color w:val="auto"/>
          <w:spacing w:val="-1"/>
          <w:sz w:val="24"/>
          <w:szCs w:val="24"/>
          <w:highlight w:val="none"/>
        </w:rPr>
        <w:t>，故本项目大气</w:t>
      </w:r>
      <w:r>
        <w:rPr>
          <w:rFonts w:ascii="宋体" w:hAnsi="宋体" w:eastAsia="宋体" w:cs="宋体"/>
          <w:color w:val="auto"/>
          <w:spacing w:val="1"/>
          <w:sz w:val="24"/>
          <w:szCs w:val="24"/>
          <w:highlight w:val="none"/>
        </w:rPr>
        <w:t>环境影响评价范围以项目厂址为中心区域，边长为</w:t>
      </w:r>
      <w:r>
        <w:rPr>
          <w:rFonts w:ascii="Times New Roman" w:hAnsi="Times New Roman" w:eastAsia="Times New Roman" w:cs="Times New Roman"/>
          <w:color w:val="auto"/>
          <w:spacing w:val="1"/>
          <w:sz w:val="24"/>
          <w:szCs w:val="24"/>
          <w:highlight w:val="none"/>
        </w:rPr>
        <w:t>5×5</w:t>
      </w:r>
      <w:r>
        <w:rPr>
          <w:rFonts w:ascii="Times New Roman" w:hAnsi="Times New Roman" w:eastAsia="Times New Roman" w:cs="Times New Roman"/>
          <w:color w:val="auto"/>
          <w:sz w:val="24"/>
          <w:szCs w:val="24"/>
          <w:highlight w:val="none"/>
        </w:rPr>
        <w:t>km</w:t>
      </w:r>
      <w:r>
        <w:rPr>
          <w:rFonts w:ascii="宋体" w:hAnsi="宋体" w:eastAsia="宋体" w:cs="宋体"/>
          <w:color w:val="auto"/>
          <w:spacing w:val="1"/>
          <w:sz w:val="24"/>
          <w:szCs w:val="24"/>
          <w:highlight w:val="none"/>
        </w:rPr>
        <w:t>矩形范围。</w:t>
      </w:r>
    </w:p>
    <w:p w14:paraId="380C81B4">
      <w:pPr>
        <w:pStyle w:val="5"/>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bookmarkStart w:id="99" w:name="_Toc524431288"/>
      <w:bookmarkStart w:id="100" w:name="_Toc31084"/>
      <w:bookmarkStart w:id="101" w:name="_Toc57713617"/>
      <w:r>
        <w:rPr>
          <w:rFonts w:hint="default" w:ascii="Times New Roman" w:hAnsi="Times New Roman" w:cs="Times New Roman"/>
          <w:color w:val="auto"/>
          <w:highlight w:val="none"/>
        </w:rPr>
        <w:t>2.5.2地表水</w:t>
      </w:r>
      <w:bookmarkEnd w:id="99"/>
      <w:bookmarkEnd w:id="100"/>
      <w:bookmarkEnd w:id="101"/>
    </w:p>
    <w:p w14:paraId="36B1779A">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根据《畜禽养殖业污染防治技术规范》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HJ/T81-2001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的有关规定，畜禽养殖过程产生的生产废水应坚持种养结合的原则，经无害化处理后充分还田，实现污水资源化利用。牛舍内的牛粪采用畜禽养殖生物发酵床技术，</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default" w:ascii="Times New Roman" w:hAnsi="Times New Roman" w:eastAsia="宋体" w:cs="Times New Roman"/>
          <w:color w:val="auto"/>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渗滤液与精料按比例配合饲喂肉牛，其味道酸甜，可促进食欲，但须随配随用，以免发霉。冬季不进行玉米秸秆青贮发酵生产，无渗滤液产生</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w:t>
      </w:r>
      <w:r>
        <w:rPr>
          <w:rFonts w:hint="eastAsia" w:eastAsia="宋体" w:cs="Times New Roman"/>
          <w:color w:val="auto"/>
          <w:highlight w:val="none"/>
          <w:lang w:val="en-US" w:eastAsia="zh-CN"/>
        </w:rPr>
        <w:t>采取以上措施，</w:t>
      </w:r>
      <w:r>
        <w:rPr>
          <w:rFonts w:hint="default" w:ascii="Times New Roman" w:hAnsi="Times New Roman" w:eastAsia="宋体" w:cs="Times New Roman"/>
          <w:color w:val="auto"/>
          <w:highlight w:val="none"/>
        </w:rPr>
        <w:t>可减少废水产生量</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对地表水环境无影响。</w:t>
      </w:r>
    </w:p>
    <w:p w14:paraId="523B5E65">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表水环境》（HJ2.3-2018），地表水环境影响评价等级按照影响类型、排放方式、排放量或影响情况、受纳水体环境质量现状、水环境保护目标等综合确定。本项目属于水污染影响型建设项目，具体评价等级判定见下表。</w:t>
      </w:r>
    </w:p>
    <w:p w14:paraId="29CF4A7B">
      <w:pPr>
        <w:pStyle w:val="210"/>
        <w:rPr>
          <w:rFonts w:hint="default" w:ascii="Times New Roman" w:hAnsi="Times New Roman" w:cs="Times New Roman"/>
          <w:color w:val="auto"/>
          <w:highlight w:val="none"/>
        </w:rPr>
      </w:pPr>
    </w:p>
    <w:p w14:paraId="7A6E8A85">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表2-5-</w:t>
      </w:r>
      <w:r>
        <w:rPr>
          <w:rFonts w:hint="eastAsia" w:cs="Times New Roman"/>
          <w:color w:val="auto"/>
          <w:highlight w:val="none"/>
          <w:lang w:val="en-US" w:eastAsia="zh-CN"/>
        </w:rPr>
        <w:t>8</w:t>
      </w:r>
      <w:r>
        <w:rPr>
          <w:rFonts w:hint="default" w:ascii="Times New Roman" w:hAnsi="Times New Roman" w:cs="Times New Roman"/>
          <w:color w:val="auto"/>
          <w:highlight w:val="none"/>
        </w:rPr>
        <w:t>水污染影响型建设项目评价等级判定</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8"/>
        <w:gridCol w:w="2158"/>
        <w:gridCol w:w="3910"/>
      </w:tblGrid>
      <w:tr w14:paraId="52EC8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Merge w:val="restart"/>
            <w:vAlign w:val="center"/>
          </w:tcPr>
          <w:p w14:paraId="4C5D053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评价等级</w:t>
            </w:r>
          </w:p>
        </w:tc>
        <w:tc>
          <w:tcPr>
            <w:tcW w:w="3653" w:type="pct"/>
            <w:gridSpan w:val="2"/>
            <w:vAlign w:val="center"/>
          </w:tcPr>
          <w:p w14:paraId="5835D4B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判定依据</w:t>
            </w:r>
          </w:p>
        </w:tc>
      </w:tr>
      <w:tr w14:paraId="40383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Merge w:val="continue"/>
            <w:vAlign w:val="center"/>
          </w:tcPr>
          <w:p w14:paraId="201C20A2">
            <w:pPr>
              <w:pStyle w:val="146"/>
              <w:rPr>
                <w:rFonts w:hint="default" w:ascii="Times New Roman" w:hAnsi="Times New Roman" w:eastAsia="宋体" w:cs="Times New Roman"/>
                <w:color w:val="auto"/>
                <w:highlight w:val="none"/>
              </w:rPr>
            </w:pPr>
          </w:p>
        </w:tc>
        <w:tc>
          <w:tcPr>
            <w:tcW w:w="1299" w:type="pct"/>
            <w:vAlign w:val="center"/>
          </w:tcPr>
          <w:p w14:paraId="3EB6F5F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排放方式</w:t>
            </w:r>
          </w:p>
        </w:tc>
        <w:tc>
          <w:tcPr>
            <w:tcW w:w="2354" w:type="pct"/>
            <w:vAlign w:val="center"/>
          </w:tcPr>
          <w:p w14:paraId="1B930EA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废水排放量</w:t>
            </w:r>
            <w:r>
              <w:rPr>
                <w:rFonts w:hint="default" w:ascii="Times New Roman" w:hAnsi="Times New Roman" w:eastAsia="宋体" w:cs="Times New Roman"/>
                <w:color w:val="auto"/>
                <w:spacing w:val="-47"/>
                <w:highlight w:val="none"/>
              </w:rPr>
              <w:t xml:space="preserve"> </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position w:val="6"/>
                <w:sz w:val="12"/>
                <w:szCs w:val="12"/>
                <w:highlight w:val="none"/>
              </w:rPr>
              <w:t>3</w:t>
            </w:r>
            <w:r>
              <w:rPr>
                <w:rFonts w:hint="default" w:ascii="Times New Roman" w:hAnsi="Times New Roman" w:eastAsia="宋体" w:cs="Times New Roman"/>
                <w:color w:val="auto"/>
                <w:highlight w:val="none"/>
              </w:rPr>
              <w:t>/d）；</w:t>
            </w:r>
          </w:p>
          <w:p w14:paraId="1472C5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水污染物当量数</w:t>
            </w:r>
            <w:r>
              <w:rPr>
                <w:rFonts w:hint="default" w:ascii="Times New Roman" w:hAnsi="Times New Roman" w:eastAsia="宋体" w:cs="Times New Roman"/>
                <w:color w:val="auto"/>
                <w:spacing w:val="-44"/>
                <w:highlight w:val="none"/>
              </w:rPr>
              <w:t xml:space="preserve"> </w:t>
            </w:r>
            <w:r>
              <w:rPr>
                <w:rFonts w:hint="default" w:ascii="Times New Roman" w:hAnsi="Times New Roman" w:eastAsia="宋体" w:cs="Times New Roman"/>
                <w:i/>
                <w:color w:val="auto"/>
                <w:highlight w:val="none"/>
              </w:rPr>
              <w:t>W</w:t>
            </w:r>
            <w:r>
              <w:rPr>
                <w:rFonts w:hint="default" w:ascii="Times New Roman" w:hAnsi="Times New Roman" w:eastAsia="宋体" w:cs="Times New Roman"/>
                <w:color w:val="auto"/>
                <w:highlight w:val="none"/>
              </w:rPr>
              <w:t>/（无量纲）</w:t>
            </w:r>
          </w:p>
        </w:tc>
      </w:tr>
      <w:tr w14:paraId="5C76A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Align w:val="center"/>
          </w:tcPr>
          <w:p w14:paraId="406B65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一级</w:t>
            </w:r>
          </w:p>
        </w:tc>
        <w:tc>
          <w:tcPr>
            <w:tcW w:w="1299" w:type="pct"/>
            <w:vAlign w:val="center"/>
          </w:tcPr>
          <w:p w14:paraId="7A1E34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直接排放</w:t>
            </w:r>
          </w:p>
        </w:tc>
        <w:tc>
          <w:tcPr>
            <w:tcW w:w="2354" w:type="pct"/>
            <w:vAlign w:val="center"/>
          </w:tcPr>
          <w:p w14:paraId="665A936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≥20000或</w:t>
            </w:r>
            <w:r>
              <w:rPr>
                <w:rFonts w:hint="default" w:ascii="Times New Roman" w:hAnsi="Times New Roman" w:eastAsia="宋体" w:cs="Times New Roman"/>
                <w:i/>
                <w:color w:val="auto"/>
                <w:highlight w:val="none"/>
              </w:rPr>
              <w:t>W</w:t>
            </w:r>
            <w:r>
              <w:rPr>
                <w:rFonts w:hint="default" w:ascii="Times New Roman" w:hAnsi="Times New Roman" w:eastAsia="宋体" w:cs="Times New Roman"/>
                <w:color w:val="auto"/>
                <w:highlight w:val="none"/>
              </w:rPr>
              <w:t>≥600000</w:t>
            </w:r>
          </w:p>
        </w:tc>
      </w:tr>
      <w:tr w14:paraId="4218B6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Align w:val="center"/>
          </w:tcPr>
          <w:p w14:paraId="0F3295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二级</w:t>
            </w:r>
          </w:p>
        </w:tc>
        <w:tc>
          <w:tcPr>
            <w:tcW w:w="1299" w:type="pct"/>
            <w:vAlign w:val="center"/>
          </w:tcPr>
          <w:p w14:paraId="1321D94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直接排放</w:t>
            </w:r>
          </w:p>
        </w:tc>
        <w:tc>
          <w:tcPr>
            <w:tcW w:w="2354" w:type="pct"/>
            <w:vAlign w:val="center"/>
          </w:tcPr>
          <w:p w14:paraId="3AB796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r>
      <w:tr w14:paraId="72782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Align w:val="center"/>
          </w:tcPr>
          <w:p w14:paraId="67BB6F0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三级A</w:t>
            </w:r>
          </w:p>
        </w:tc>
        <w:tc>
          <w:tcPr>
            <w:tcW w:w="1299" w:type="pct"/>
            <w:vAlign w:val="center"/>
          </w:tcPr>
          <w:p w14:paraId="48084E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直接排放</w:t>
            </w:r>
          </w:p>
        </w:tc>
        <w:tc>
          <w:tcPr>
            <w:tcW w:w="2354" w:type="pct"/>
            <w:vAlign w:val="center"/>
          </w:tcPr>
          <w:p w14:paraId="2326EF4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＜200且</w:t>
            </w:r>
            <w:r>
              <w:rPr>
                <w:rFonts w:hint="default" w:ascii="Times New Roman" w:hAnsi="Times New Roman" w:eastAsia="宋体" w:cs="Times New Roman"/>
                <w:i/>
                <w:color w:val="auto"/>
                <w:highlight w:val="none"/>
              </w:rPr>
              <w:t>W</w:t>
            </w:r>
            <w:r>
              <w:rPr>
                <w:rFonts w:hint="default" w:ascii="Times New Roman" w:hAnsi="Times New Roman" w:eastAsia="宋体" w:cs="Times New Roman"/>
                <w:color w:val="auto"/>
                <w:highlight w:val="none"/>
              </w:rPr>
              <w:t>＜6000</w:t>
            </w:r>
          </w:p>
        </w:tc>
      </w:tr>
      <w:tr w14:paraId="059C5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47" w:type="pct"/>
            <w:vAlign w:val="center"/>
          </w:tcPr>
          <w:p w14:paraId="6A1005F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三级B</w:t>
            </w:r>
          </w:p>
        </w:tc>
        <w:tc>
          <w:tcPr>
            <w:tcW w:w="1299" w:type="pct"/>
            <w:vAlign w:val="center"/>
          </w:tcPr>
          <w:p w14:paraId="4785395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间接排放</w:t>
            </w:r>
          </w:p>
        </w:tc>
        <w:tc>
          <w:tcPr>
            <w:tcW w:w="2354" w:type="pct"/>
            <w:vAlign w:val="center"/>
          </w:tcPr>
          <w:p w14:paraId="493E2A0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2783D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3"/>
            <w:vAlign w:val="center"/>
          </w:tcPr>
          <w:p w14:paraId="6E7A49B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44E6BED7">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w:t>
            </w:r>
            <w:r>
              <w:rPr>
                <w:rFonts w:hint="default" w:ascii="Times New Roman" w:hAnsi="Times New Roman" w:eastAsia="宋体" w:cs="Times New Roman"/>
                <w:color w:val="auto"/>
                <w:spacing w:val="-47"/>
                <w:highlight w:val="none"/>
              </w:rPr>
              <w:t xml:space="preserve"> </w:t>
            </w:r>
            <w:r>
              <w:rPr>
                <w:rFonts w:hint="default" w:ascii="Times New Roman" w:hAnsi="Times New Roman" w:eastAsia="宋体" w:cs="Times New Roman"/>
                <w:color w:val="auto"/>
                <w:highlight w:val="none"/>
              </w:rPr>
              <w:t>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044BF4C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注3：厂区存在堆积物（露天堆放的原料、燃料、废渣等以及垃圾堆放场）、降尘污染的，应将初期雨污水纳入废水排放量，相应的主要污染物纳入水污染当量计算。</w:t>
            </w:r>
          </w:p>
          <w:p w14:paraId="2F7C4EF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注4：建设项目直接排放第一类污染物的，其评价等级为一级；建设项目直接排放的污染物为受纳水体超标因子的，评价等级不低于二级。</w:t>
            </w:r>
          </w:p>
          <w:p w14:paraId="3B4FBBE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注5：直接排放受纳水体影响范围涉及饮用水水源保护区、饮用水取水口、重点保护与珍稀水生生物的栖息地、重要水生生物的自然产卵场等保护目标时，评价等级不低于二级。</w:t>
            </w:r>
          </w:p>
          <w:p w14:paraId="51C8F54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注6：建设项目向河流、湖库排放温排水引起受纳水体水温变化超过水环境质量标准要求，且评价范围有水温敏感目标 时，评价等级为一级。</w:t>
            </w:r>
          </w:p>
          <w:p w14:paraId="186EC30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注7：建设项目利用海水作为调节温度介质，排水量≥500万m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/d，评价等级为一级；排水量＜500万m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/d，评价等级为二级。</w:t>
            </w:r>
          </w:p>
          <w:p w14:paraId="1A24F08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注8：仅涉及清净下水排放的，如其排放水质满足受纳水体水环境质量标准要求的，评价等级为三级 A。</w:t>
            </w:r>
          </w:p>
          <w:p w14:paraId="40C0A81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注9：依托现有排放口，且对外环境未新增排放污染物的直接排放建设项目，评价等级参照间接排放，定为三级B。</w:t>
            </w:r>
          </w:p>
          <w:p w14:paraId="4626425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注10：建设项目生产工艺中有废水产生，但作为回水利用，不排放到外环境的，按三级B评价。</w:t>
            </w:r>
          </w:p>
        </w:tc>
      </w:tr>
    </w:tbl>
    <w:p w14:paraId="394EFBDD">
      <w:pPr>
        <w:pStyle w:val="67"/>
        <w:ind w:firstLine="480"/>
        <w:rPr>
          <w:rFonts w:hint="default" w:ascii="Times New Roman" w:hAnsi="Times New Roman" w:eastAsia="宋体" w:cs="Times New Roman"/>
          <w:color w:val="auto"/>
          <w:highlight w:val="none"/>
        </w:rPr>
      </w:pPr>
      <w:bookmarkStart w:id="102" w:name="_Toc524431289"/>
      <w:bookmarkStart w:id="103" w:name="_Toc57713618"/>
      <w:r>
        <w:rPr>
          <w:rFonts w:hint="default" w:ascii="Times New Roman" w:hAnsi="Times New Roman" w:eastAsia="宋体" w:cs="Times New Roman"/>
          <w:color w:val="auto"/>
          <w:highlight w:val="none"/>
        </w:rPr>
        <w:t>本项目运营期</w:t>
      </w:r>
      <w:bookmarkStart w:id="104" w:name="_Hlk524423152"/>
      <w:r>
        <w:rPr>
          <w:rFonts w:hint="default" w:ascii="Times New Roman" w:hAnsi="Times New Roman" w:eastAsia="宋体" w:cs="Times New Roman"/>
          <w:color w:val="auto"/>
          <w:highlight w:val="none"/>
          <w:lang w:val="zh-CN"/>
        </w:rPr>
        <w:t>生活污水排入化粪池，定期外运，不外排。</w:t>
      </w:r>
      <w:r>
        <w:rPr>
          <w:rFonts w:hint="default" w:ascii="Times New Roman" w:hAnsi="Times New Roman" w:eastAsia="宋体" w:cs="Times New Roman"/>
          <w:color w:val="auto"/>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渗滤液与精料按比例配合饲喂肉牛，其味道酸甜，可促进食欲，但须随配随用，以免发霉。冬季不进行玉米秸秆青贮发酵生产，无渗滤液产生</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定期喷洒至粪肥表面翻耕搅拌，不外排。根据《环境影响评价技术导则 地表水环境》（HJ2.3-2018），本项目评价等级为三级B，可不进行水环境影响预测。</w:t>
      </w:r>
      <w:bookmarkEnd w:id="104"/>
      <w:r>
        <w:rPr>
          <w:rFonts w:hint="default" w:ascii="Times New Roman" w:hAnsi="Times New Roman" w:eastAsia="宋体" w:cs="Times New Roman"/>
          <w:color w:val="auto"/>
          <w:highlight w:val="none"/>
        </w:rPr>
        <w:t>主要评价内容包括：（1）水污染控制和水环境影响减缓措施有效性评价；（2）依托污水处理措施的环境可行性评价。</w:t>
      </w:r>
    </w:p>
    <w:p w14:paraId="44BC68DD">
      <w:pPr>
        <w:pStyle w:val="5"/>
        <w:spacing w:line="500" w:lineRule="exact"/>
        <w:rPr>
          <w:rFonts w:hint="default" w:ascii="Times New Roman" w:hAnsi="Times New Roman" w:cs="Times New Roman"/>
          <w:color w:val="auto"/>
          <w:highlight w:val="none"/>
        </w:rPr>
      </w:pPr>
      <w:bookmarkStart w:id="105" w:name="_Toc1372"/>
      <w:r>
        <w:rPr>
          <w:rFonts w:hint="default" w:ascii="Times New Roman" w:hAnsi="Times New Roman" w:cs="Times New Roman"/>
          <w:color w:val="auto"/>
          <w:highlight w:val="none"/>
        </w:rPr>
        <w:t>2.5.3地下水</w:t>
      </w:r>
      <w:bookmarkEnd w:id="102"/>
      <w:bookmarkEnd w:id="103"/>
      <w:bookmarkEnd w:id="105"/>
    </w:p>
    <w:p w14:paraId="1B55623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地下水环境》（HJ610-2016），评价工作等级的划分应依据建设项目行业分类和地下水环境敏感程度分级进行判定。</w:t>
      </w:r>
    </w:p>
    <w:p w14:paraId="6D4E6CE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（1）根据《环境影响评价技术导则 地下水环境》附录A确定，本项目所属的地下水环境影响评价项目类别为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p>
    <w:p w14:paraId="25EB91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（2）建设项目场地的地下水环境敏感程度可分为敏感、较敏感、不敏感三级，分级原则见下表。</w:t>
      </w:r>
    </w:p>
    <w:p w14:paraId="5A4834EE">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表2-5-</w:t>
      </w:r>
      <w:r>
        <w:rPr>
          <w:rFonts w:hint="eastAsia" w:eastAsia="黑体" w:cs="Times New Roman"/>
          <w:snapToGrid w:val="0"/>
          <w:color w:val="auto"/>
          <w:kern w:val="0"/>
          <w:highlight w:val="none"/>
          <w:lang w:val="en-US" w:eastAsia="zh-CN"/>
        </w:rPr>
        <w:t>9</w:t>
      </w:r>
      <w:r>
        <w:rPr>
          <w:rFonts w:hint="default" w:ascii="Times New Roman" w:hAnsi="Times New Roman" w:eastAsia="黑体" w:cs="Times New Roman"/>
          <w:snapToGrid w:val="0"/>
          <w:color w:val="auto"/>
          <w:kern w:val="0"/>
          <w:highlight w:val="none"/>
          <w:lang w:val="zh-CN"/>
        </w:rPr>
        <w:t>地下水环境敏感程度分级</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7172"/>
      </w:tblGrid>
      <w:tr w14:paraId="72FC4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shd w:val="clear" w:color="auto" w:fill="auto"/>
            <w:vAlign w:val="center"/>
          </w:tcPr>
          <w:p w14:paraId="2DB626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敏感程度</w:t>
            </w:r>
          </w:p>
        </w:tc>
        <w:tc>
          <w:tcPr>
            <w:tcW w:w="7172" w:type="dxa"/>
            <w:shd w:val="clear" w:color="auto" w:fill="auto"/>
            <w:vAlign w:val="center"/>
          </w:tcPr>
          <w:p w14:paraId="7250B32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地下水环境敏感特征</w:t>
            </w:r>
          </w:p>
        </w:tc>
      </w:tr>
      <w:tr w14:paraId="62EB1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shd w:val="clear" w:color="auto" w:fill="auto"/>
            <w:vAlign w:val="center"/>
          </w:tcPr>
          <w:p w14:paraId="329BE9B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敏感</w:t>
            </w:r>
          </w:p>
        </w:tc>
        <w:tc>
          <w:tcPr>
            <w:tcW w:w="7172" w:type="dxa"/>
            <w:shd w:val="clear" w:color="auto" w:fill="auto"/>
            <w:vAlign w:val="center"/>
          </w:tcPr>
          <w:p w14:paraId="5B512F3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7F284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shd w:val="clear" w:color="auto" w:fill="auto"/>
            <w:vAlign w:val="center"/>
          </w:tcPr>
          <w:p w14:paraId="2DA1B02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较敏感</w:t>
            </w:r>
          </w:p>
        </w:tc>
        <w:tc>
          <w:tcPr>
            <w:tcW w:w="7172" w:type="dxa"/>
            <w:shd w:val="clear" w:color="auto" w:fill="auto"/>
            <w:vAlign w:val="center"/>
          </w:tcPr>
          <w:p w14:paraId="10110787">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r>
              <w:rPr>
                <w:rFonts w:hint="default" w:ascii="Times New Roman" w:hAnsi="Times New Roman" w:eastAsia="宋体" w:cs="Times New Roman"/>
                <w:snapToGrid w:val="0"/>
                <w:color w:val="auto"/>
                <w:highlight w:val="none"/>
                <w:vertAlign w:val="superscript"/>
              </w:rPr>
              <w:t>a</w:t>
            </w:r>
            <w:r>
              <w:rPr>
                <w:rFonts w:hint="default" w:ascii="Times New Roman" w:hAnsi="Times New Roman" w:eastAsia="宋体" w:cs="Times New Roman"/>
                <w:snapToGrid w:val="0"/>
                <w:color w:val="auto"/>
                <w:highlight w:val="none"/>
              </w:rPr>
              <w:t>。</w:t>
            </w:r>
          </w:p>
        </w:tc>
      </w:tr>
      <w:tr w14:paraId="4A31A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shd w:val="clear" w:color="auto" w:fill="auto"/>
            <w:vAlign w:val="center"/>
          </w:tcPr>
          <w:p w14:paraId="48EFE4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不敏感</w:t>
            </w:r>
          </w:p>
        </w:tc>
        <w:tc>
          <w:tcPr>
            <w:tcW w:w="7172" w:type="dxa"/>
            <w:shd w:val="clear" w:color="auto" w:fill="auto"/>
            <w:vAlign w:val="center"/>
          </w:tcPr>
          <w:p w14:paraId="0DF9814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上述地区之外的其它地区。</w:t>
            </w:r>
          </w:p>
        </w:tc>
      </w:tr>
      <w:tr w14:paraId="0CCEA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06" w:type="dxa"/>
            <w:gridSpan w:val="2"/>
            <w:shd w:val="clear" w:color="auto" w:fill="auto"/>
            <w:vAlign w:val="center"/>
          </w:tcPr>
          <w:p w14:paraId="4F49528B">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注：a“环境敏感区”是指《建设项目环境影响评价分类管理目录》中所界定的涉及地下水的环境敏感区。</w:t>
            </w:r>
          </w:p>
        </w:tc>
      </w:tr>
    </w:tbl>
    <w:p w14:paraId="2C671208">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表2-5-1</w:t>
      </w:r>
      <w:r>
        <w:rPr>
          <w:rFonts w:hint="eastAsia" w:eastAsia="黑体" w:cs="Times New Roman"/>
          <w:snapToGrid w:val="0"/>
          <w:color w:val="auto"/>
          <w:kern w:val="0"/>
          <w:highlight w:val="none"/>
          <w:lang w:val="en-US" w:eastAsia="zh-CN"/>
        </w:rPr>
        <w:t>0</w:t>
      </w:r>
      <w:r>
        <w:rPr>
          <w:rFonts w:hint="default" w:ascii="Times New Roman" w:hAnsi="Times New Roman" w:eastAsia="黑体" w:cs="Times New Roman"/>
          <w:snapToGrid w:val="0"/>
          <w:color w:val="auto"/>
          <w:kern w:val="0"/>
          <w:highlight w:val="none"/>
          <w:lang w:val="zh-CN"/>
        </w:rPr>
        <w:t>地下水环境敏感程度分级表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709"/>
        <w:gridCol w:w="426"/>
        <w:gridCol w:w="1136"/>
        <w:gridCol w:w="708"/>
        <w:gridCol w:w="3979"/>
        <w:gridCol w:w="641"/>
      </w:tblGrid>
      <w:tr w14:paraId="4F32EB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shd w:val="clear" w:color="auto" w:fill="auto"/>
            <w:vAlign w:val="center"/>
          </w:tcPr>
          <w:p w14:paraId="2BF0F54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序号</w:t>
            </w:r>
          </w:p>
        </w:tc>
        <w:tc>
          <w:tcPr>
            <w:tcW w:w="427" w:type="pct"/>
            <w:shd w:val="clear" w:color="auto" w:fill="auto"/>
            <w:vAlign w:val="center"/>
          </w:tcPr>
          <w:p w14:paraId="384442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c>
          <w:tcPr>
            <w:tcW w:w="940" w:type="pct"/>
            <w:gridSpan w:val="2"/>
            <w:shd w:val="clear" w:color="auto" w:fill="auto"/>
            <w:vAlign w:val="center"/>
          </w:tcPr>
          <w:p w14:paraId="6275DB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特征</w:t>
            </w:r>
          </w:p>
        </w:tc>
        <w:tc>
          <w:tcPr>
            <w:tcW w:w="426" w:type="pct"/>
            <w:shd w:val="clear" w:color="auto" w:fill="auto"/>
            <w:vAlign w:val="center"/>
          </w:tcPr>
          <w:p w14:paraId="62AE4E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敏感</w:t>
            </w:r>
          </w:p>
        </w:tc>
        <w:tc>
          <w:tcPr>
            <w:tcW w:w="2395" w:type="pct"/>
            <w:shd w:val="clear" w:color="auto" w:fill="auto"/>
            <w:vAlign w:val="center"/>
          </w:tcPr>
          <w:p w14:paraId="790614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较敏感</w:t>
            </w:r>
          </w:p>
        </w:tc>
        <w:tc>
          <w:tcPr>
            <w:tcW w:w="386" w:type="pct"/>
            <w:shd w:val="clear" w:color="auto" w:fill="auto"/>
            <w:vAlign w:val="center"/>
          </w:tcPr>
          <w:p w14:paraId="230B34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备注</w:t>
            </w:r>
          </w:p>
        </w:tc>
      </w:tr>
      <w:tr w14:paraId="43EFE9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restart"/>
            <w:shd w:val="clear" w:color="auto" w:fill="auto"/>
            <w:vAlign w:val="center"/>
          </w:tcPr>
          <w:p w14:paraId="7DF3F5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c>
          <w:tcPr>
            <w:tcW w:w="427" w:type="pct"/>
            <w:vMerge w:val="restart"/>
            <w:shd w:val="clear" w:color="auto" w:fill="auto"/>
            <w:vAlign w:val="center"/>
          </w:tcPr>
          <w:p w14:paraId="2270DE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集中式</w:t>
            </w:r>
          </w:p>
        </w:tc>
        <w:tc>
          <w:tcPr>
            <w:tcW w:w="256" w:type="pct"/>
            <w:vMerge w:val="restart"/>
            <w:shd w:val="clear" w:color="auto" w:fill="auto"/>
            <w:vAlign w:val="center"/>
          </w:tcPr>
          <w:p w14:paraId="47183B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已划定保护区</w:t>
            </w:r>
          </w:p>
        </w:tc>
        <w:tc>
          <w:tcPr>
            <w:tcW w:w="683" w:type="pct"/>
            <w:shd w:val="clear" w:color="auto" w:fill="auto"/>
            <w:vAlign w:val="center"/>
          </w:tcPr>
          <w:p w14:paraId="5BE8DC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已划定准保护区</w:t>
            </w:r>
          </w:p>
        </w:tc>
        <w:tc>
          <w:tcPr>
            <w:tcW w:w="426" w:type="pct"/>
            <w:shd w:val="clear" w:color="auto" w:fill="auto"/>
            <w:vAlign w:val="center"/>
          </w:tcPr>
          <w:p w14:paraId="7F1A228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位于准保护区</w:t>
            </w:r>
          </w:p>
        </w:tc>
        <w:tc>
          <w:tcPr>
            <w:tcW w:w="2395" w:type="pct"/>
            <w:shd w:val="clear" w:color="auto" w:fill="auto"/>
            <w:vAlign w:val="center"/>
          </w:tcPr>
          <w:p w14:paraId="744B86C7">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准保护边界外扩</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000天的质点迁移距离范围内。</w:t>
            </w:r>
          </w:p>
        </w:tc>
        <w:tc>
          <w:tcPr>
            <w:tcW w:w="386" w:type="pct"/>
            <w:vMerge w:val="restart"/>
            <w:shd w:val="clear" w:color="auto" w:fill="auto"/>
            <w:vAlign w:val="center"/>
          </w:tcPr>
          <w:p w14:paraId="14063E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外扩边界不得超过水源地所在区水文地质单元的边界范围</w:t>
            </w:r>
          </w:p>
        </w:tc>
      </w:tr>
      <w:tr w14:paraId="30794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shd w:val="clear" w:color="auto" w:fill="auto"/>
            <w:vAlign w:val="center"/>
          </w:tcPr>
          <w:p w14:paraId="33EA7630">
            <w:pPr>
              <w:pStyle w:val="146"/>
              <w:rPr>
                <w:rFonts w:hint="default" w:ascii="Times New Roman" w:hAnsi="Times New Roman" w:eastAsia="宋体" w:cs="Times New Roman"/>
                <w:snapToGrid w:val="0"/>
                <w:color w:val="auto"/>
                <w:highlight w:val="none"/>
              </w:rPr>
            </w:pPr>
          </w:p>
        </w:tc>
        <w:tc>
          <w:tcPr>
            <w:tcW w:w="427" w:type="pct"/>
            <w:vMerge w:val="continue"/>
            <w:shd w:val="clear" w:color="auto" w:fill="auto"/>
            <w:vAlign w:val="center"/>
          </w:tcPr>
          <w:p w14:paraId="59AA8967">
            <w:pPr>
              <w:pStyle w:val="146"/>
              <w:rPr>
                <w:rFonts w:hint="default" w:ascii="Times New Roman" w:hAnsi="Times New Roman" w:eastAsia="宋体" w:cs="Times New Roman"/>
                <w:snapToGrid w:val="0"/>
                <w:color w:val="auto"/>
                <w:highlight w:val="none"/>
              </w:rPr>
            </w:pPr>
          </w:p>
        </w:tc>
        <w:tc>
          <w:tcPr>
            <w:tcW w:w="256" w:type="pct"/>
            <w:vMerge w:val="continue"/>
            <w:shd w:val="clear" w:color="auto" w:fill="auto"/>
            <w:vAlign w:val="center"/>
          </w:tcPr>
          <w:p w14:paraId="513D402B">
            <w:pPr>
              <w:pStyle w:val="146"/>
              <w:rPr>
                <w:rFonts w:hint="default" w:ascii="Times New Roman" w:hAnsi="Times New Roman" w:eastAsia="宋体" w:cs="Times New Roman"/>
                <w:snapToGrid w:val="0"/>
                <w:color w:val="auto"/>
                <w:highlight w:val="none"/>
              </w:rPr>
            </w:pPr>
          </w:p>
        </w:tc>
        <w:tc>
          <w:tcPr>
            <w:tcW w:w="683" w:type="pct"/>
            <w:shd w:val="clear" w:color="auto" w:fill="auto"/>
            <w:vAlign w:val="center"/>
          </w:tcPr>
          <w:p w14:paraId="502F434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未划定准保护区</w:t>
            </w:r>
          </w:p>
        </w:tc>
        <w:tc>
          <w:tcPr>
            <w:tcW w:w="426" w:type="pct"/>
            <w:shd w:val="clear" w:color="auto" w:fill="auto"/>
            <w:vAlign w:val="center"/>
          </w:tcPr>
          <w:p w14:paraId="328AE3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w:t>
            </w:r>
          </w:p>
        </w:tc>
        <w:tc>
          <w:tcPr>
            <w:tcW w:w="2395" w:type="pct"/>
            <w:shd w:val="clear" w:color="auto" w:fill="auto"/>
            <w:vAlign w:val="center"/>
          </w:tcPr>
          <w:p w14:paraId="2EC95C2E">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以二级保护区边界为起点，中小型水源地外扩3000天，大型水源地外扩4000天的质点迁移距离范围作为敏感区。</w:t>
            </w:r>
          </w:p>
        </w:tc>
        <w:tc>
          <w:tcPr>
            <w:tcW w:w="386" w:type="pct"/>
            <w:vMerge w:val="continue"/>
            <w:shd w:val="clear" w:color="auto" w:fill="auto"/>
            <w:vAlign w:val="center"/>
          </w:tcPr>
          <w:p w14:paraId="1DA843DD">
            <w:pPr>
              <w:pStyle w:val="146"/>
              <w:rPr>
                <w:rFonts w:hint="default" w:ascii="Times New Roman" w:hAnsi="Times New Roman" w:eastAsia="宋体" w:cs="Times New Roman"/>
                <w:snapToGrid w:val="0"/>
                <w:color w:val="auto"/>
                <w:highlight w:val="none"/>
              </w:rPr>
            </w:pPr>
          </w:p>
        </w:tc>
      </w:tr>
      <w:tr w14:paraId="3FDCD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shd w:val="clear" w:color="auto" w:fill="auto"/>
            <w:vAlign w:val="center"/>
          </w:tcPr>
          <w:p w14:paraId="045D2A43">
            <w:pPr>
              <w:pStyle w:val="146"/>
              <w:rPr>
                <w:rFonts w:hint="default" w:ascii="Times New Roman" w:hAnsi="Times New Roman" w:eastAsia="宋体" w:cs="Times New Roman"/>
                <w:snapToGrid w:val="0"/>
                <w:color w:val="auto"/>
                <w:highlight w:val="none"/>
              </w:rPr>
            </w:pPr>
          </w:p>
        </w:tc>
        <w:tc>
          <w:tcPr>
            <w:tcW w:w="427" w:type="pct"/>
            <w:vMerge w:val="continue"/>
            <w:shd w:val="clear" w:color="auto" w:fill="auto"/>
            <w:vAlign w:val="center"/>
          </w:tcPr>
          <w:p w14:paraId="2B34B5EE">
            <w:pPr>
              <w:pStyle w:val="146"/>
              <w:rPr>
                <w:rFonts w:hint="default" w:ascii="Times New Roman" w:hAnsi="Times New Roman" w:eastAsia="宋体" w:cs="Times New Roman"/>
                <w:snapToGrid w:val="0"/>
                <w:color w:val="auto"/>
                <w:highlight w:val="none"/>
              </w:rPr>
            </w:pPr>
          </w:p>
        </w:tc>
        <w:tc>
          <w:tcPr>
            <w:tcW w:w="940" w:type="pct"/>
            <w:gridSpan w:val="2"/>
            <w:shd w:val="clear" w:color="auto" w:fill="auto"/>
            <w:vAlign w:val="center"/>
          </w:tcPr>
          <w:p w14:paraId="45BDC1A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未划定保护区</w:t>
            </w:r>
          </w:p>
        </w:tc>
        <w:tc>
          <w:tcPr>
            <w:tcW w:w="426" w:type="pct"/>
            <w:shd w:val="clear" w:color="auto" w:fill="auto"/>
            <w:vAlign w:val="center"/>
          </w:tcPr>
          <w:p w14:paraId="0645E55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w:t>
            </w:r>
          </w:p>
        </w:tc>
        <w:tc>
          <w:tcPr>
            <w:tcW w:w="2395" w:type="pct"/>
            <w:shd w:val="clear" w:color="auto" w:fill="auto"/>
            <w:vAlign w:val="center"/>
          </w:tcPr>
          <w:p w14:paraId="2A4E5D83">
            <w:pPr>
              <w:pStyle w:val="146"/>
              <w:jc w:val="both"/>
              <w:rPr>
                <w:rFonts w:hint="default" w:ascii="Times New Roman" w:hAnsi="Times New Roman" w:eastAsia="宋体" w:cs="Times New Roman"/>
                <w:snapToGrid w:val="0"/>
                <w:color w:val="auto"/>
                <w:sz w:val="20"/>
                <w:szCs w:val="20"/>
                <w:highlight w:val="none"/>
              </w:rPr>
            </w:pPr>
            <w:r>
              <w:rPr>
                <w:rFonts w:hint="default" w:ascii="Times New Roman" w:hAnsi="Times New Roman" w:eastAsia="宋体" w:cs="Times New Roman"/>
                <w:snapToGrid w:val="0"/>
                <w:color w:val="auto"/>
                <w:highlight w:val="none"/>
              </w:rPr>
              <w:t>首先应根据HJ/T338，预先判定二级保护区的边界位置。以预判的二级保护区边界为起点，中小型水源地外扩3000天，大型水源地外扩4000天的质点迁移距离范围作为较敏感区。</w:t>
            </w:r>
          </w:p>
        </w:tc>
        <w:tc>
          <w:tcPr>
            <w:tcW w:w="386" w:type="pct"/>
            <w:vMerge w:val="continue"/>
            <w:shd w:val="clear" w:color="auto" w:fill="auto"/>
            <w:vAlign w:val="center"/>
          </w:tcPr>
          <w:p w14:paraId="5FF295C7">
            <w:pPr>
              <w:pStyle w:val="146"/>
              <w:rPr>
                <w:rFonts w:hint="default" w:ascii="Times New Roman" w:hAnsi="Times New Roman" w:eastAsia="宋体" w:cs="Times New Roman"/>
                <w:snapToGrid w:val="0"/>
                <w:color w:val="auto"/>
                <w:highlight w:val="none"/>
              </w:rPr>
            </w:pPr>
          </w:p>
        </w:tc>
      </w:tr>
      <w:tr w14:paraId="397D6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restart"/>
            <w:shd w:val="clear" w:color="auto" w:fill="auto"/>
            <w:vAlign w:val="center"/>
          </w:tcPr>
          <w:p w14:paraId="209658B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c>
          <w:tcPr>
            <w:tcW w:w="427" w:type="pct"/>
            <w:vMerge w:val="restart"/>
            <w:shd w:val="clear" w:color="auto" w:fill="auto"/>
            <w:vAlign w:val="center"/>
          </w:tcPr>
          <w:p w14:paraId="40A770C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分散式</w:t>
            </w:r>
          </w:p>
        </w:tc>
        <w:tc>
          <w:tcPr>
            <w:tcW w:w="940" w:type="pct"/>
            <w:gridSpan w:val="2"/>
            <w:shd w:val="clear" w:color="auto" w:fill="auto"/>
            <w:vAlign w:val="center"/>
          </w:tcPr>
          <w:p w14:paraId="2CBC670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单井</w:t>
            </w:r>
          </w:p>
        </w:tc>
        <w:tc>
          <w:tcPr>
            <w:tcW w:w="426" w:type="pct"/>
            <w:vMerge w:val="restart"/>
            <w:shd w:val="clear" w:color="auto" w:fill="auto"/>
            <w:vAlign w:val="center"/>
          </w:tcPr>
          <w:p w14:paraId="2D19CD6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w:t>
            </w:r>
          </w:p>
        </w:tc>
        <w:tc>
          <w:tcPr>
            <w:tcW w:w="2395" w:type="pct"/>
            <w:shd w:val="clear" w:color="auto" w:fill="auto"/>
            <w:vAlign w:val="center"/>
          </w:tcPr>
          <w:p w14:paraId="75EB5771">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以井（泉）口为中心，半径50m为界，外扩2000天的质点迁移距离范围作为较敏感区。</w:t>
            </w:r>
          </w:p>
        </w:tc>
        <w:tc>
          <w:tcPr>
            <w:tcW w:w="386" w:type="pct"/>
            <w:vMerge w:val="continue"/>
            <w:shd w:val="clear" w:color="auto" w:fill="auto"/>
            <w:vAlign w:val="center"/>
          </w:tcPr>
          <w:p w14:paraId="6BF4FEE0">
            <w:pPr>
              <w:pStyle w:val="146"/>
              <w:rPr>
                <w:rFonts w:hint="default" w:ascii="Times New Roman" w:hAnsi="Times New Roman" w:eastAsia="宋体" w:cs="Times New Roman"/>
                <w:snapToGrid w:val="0"/>
                <w:color w:val="auto"/>
                <w:highlight w:val="none"/>
              </w:rPr>
            </w:pPr>
          </w:p>
        </w:tc>
      </w:tr>
      <w:tr w14:paraId="4F369C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6" w:type="pct"/>
            <w:vMerge w:val="continue"/>
            <w:shd w:val="clear" w:color="auto" w:fill="auto"/>
            <w:vAlign w:val="center"/>
          </w:tcPr>
          <w:p w14:paraId="5D69962D">
            <w:pPr>
              <w:pStyle w:val="146"/>
              <w:rPr>
                <w:rFonts w:hint="default" w:ascii="Times New Roman" w:hAnsi="Times New Roman" w:eastAsia="宋体" w:cs="Times New Roman"/>
                <w:snapToGrid w:val="0"/>
                <w:color w:val="auto"/>
                <w:highlight w:val="none"/>
              </w:rPr>
            </w:pPr>
          </w:p>
        </w:tc>
        <w:tc>
          <w:tcPr>
            <w:tcW w:w="427" w:type="pct"/>
            <w:vMerge w:val="continue"/>
            <w:shd w:val="clear" w:color="auto" w:fill="auto"/>
            <w:vAlign w:val="center"/>
          </w:tcPr>
          <w:p w14:paraId="4FB54DD5">
            <w:pPr>
              <w:pStyle w:val="146"/>
              <w:rPr>
                <w:rFonts w:hint="default" w:ascii="Times New Roman" w:hAnsi="Times New Roman" w:eastAsia="宋体" w:cs="Times New Roman"/>
                <w:snapToGrid w:val="0"/>
                <w:color w:val="auto"/>
                <w:highlight w:val="none"/>
              </w:rPr>
            </w:pPr>
          </w:p>
        </w:tc>
        <w:tc>
          <w:tcPr>
            <w:tcW w:w="940" w:type="pct"/>
            <w:gridSpan w:val="2"/>
            <w:shd w:val="clear" w:color="auto" w:fill="auto"/>
            <w:vAlign w:val="center"/>
          </w:tcPr>
          <w:p w14:paraId="76E28B0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联村、联片</w:t>
            </w:r>
          </w:p>
        </w:tc>
        <w:tc>
          <w:tcPr>
            <w:tcW w:w="426" w:type="pct"/>
            <w:vMerge w:val="continue"/>
            <w:shd w:val="clear" w:color="auto" w:fill="auto"/>
            <w:vAlign w:val="center"/>
          </w:tcPr>
          <w:p w14:paraId="69F3218F">
            <w:pPr>
              <w:pStyle w:val="146"/>
              <w:rPr>
                <w:rFonts w:hint="default" w:ascii="Times New Roman" w:hAnsi="Times New Roman" w:eastAsia="宋体" w:cs="Times New Roman"/>
                <w:snapToGrid w:val="0"/>
                <w:color w:val="auto"/>
                <w:highlight w:val="none"/>
              </w:rPr>
            </w:pPr>
          </w:p>
        </w:tc>
        <w:tc>
          <w:tcPr>
            <w:tcW w:w="2395" w:type="pct"/>
            <w:shd w:val="clear" w:color="auto" w:fill="auto"/>
            <w:vAlign w:val="center"/>
          </w:tcPr>
          <w:p w14:paraId="55758E9F">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以村屯边界为起点，外扩3000天的质点迁移距离范围作为较敏感区。</w:t>
            </w:r>
          </w:p>
        </w:tc>
        <w:tc>
          <w:tcPr>
            <w:tcW w:w="386" w:type="pct"/>
            <w:vMerge w:val="continue"/>
            <w:shd w:val="clear" w:color="auto" w:fill="auto"/>
            <w:vAlign w:val="center"/>
          </w:tcPr>
          <w:p w14:paraId="083AD9EF">
            <w:pPr>
              <w:pStyle w:val="146"/>
              <w:rPr>
                <w:rFonts w:hint="default" w:ascii="Times New Roman" w:hAnsi="Times New Roman" w:eastAsia="宋体" w:cs="Times New Roman"/>
                <w:snapToGrid w:val="0"/>
                <w:color w:val="auto"/>
                <w:highlight w:val="none"/>
              </w:rPr>
            </w:pPr>
          </w:p>
        </w:tc>
      </w:tr>
    </w:tbl>
    <w:p w14:paraId="0762ED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根据场区拟建位置，本项目位于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，地下水走向为由</w:t>
      </w:r>
      <w:r>
        <w:rPr>
          <w:rFonts w:hint="eastAsia" w:eastAsia="宋体" w:cs="Times New Roman"/>
          <w:color w:val="auto"/>
          <w:highlight w:val="none"/>
          <w:lang w:val="en-US" w:eastAsia="zh-CN"/>
        </w:rPr>
        <w:t>西南</w:t>
      </w:r>
      <w:r>
        <w:rPr>
          <w:rFonts w:hint="default" w:ascii="Times New Roman" w:hAnsi="Times New Roman" w:eastAsia="宋体" w:cs="Times New Roman"/>
          <w:color w:val="auto"/>
          <w:highlight w:val="none"/>
          <w:lang w:val="en-US" w:eastAsia="zh-CN"/>
        </w:rPr>
        <w:t>向</w:t>
      </w:r>
      <w:r>
        <w:rPr>
          <w:rFonts w:hint="eastAsia" w:eastAsia="宋体" w:cs="Times New Roman"/>
          <w:color w:val="auto"/>
          <w:highlight w:val="none"/>
          <w:lang w:val="en-US" w:eastAsia="zh-CN"/>
        </w:rPr>
        <w:t>东北</w:t>
      </w:r>
      <w:r>
        <w:rPr>
          <w:rFonts w:hint="default" w:ascii="Times New Roman" w:hAnsi="Times New Roman" w:eastAsia="宋体" w:cs="Times New Roman"/>
          <w:color w:val="auto"/>
          <w:highlight w:val="none"/>
        </w:rPr>
        <w:t>。项目区地下水范围内</w:t>
      </w:r>
      <w:r>
        <w:rPr>
          <w:rFonts w:hint="default"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rPr>
        <w:t>存在分散式饮用水水源：项目区域周边最近村屯为</w:t>
      </w:r>
      <w:r>
        <w:rPr>
          <w:rFonts w:hint="default" w:ascii="Times New Roman" w:hAnsi="Times New Roman" w:eastAsia="宋体" w:cs="Times New Roman"/>
          <w:color w:val="auto"/>
          <w:highlight w:val="none"/>
          <w:lang w:val="en-US" w:eastAsia="zh-CN"/>
        </w:rPr>
        <w:t>河北屯</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距离本项目约6460m，</w:t>
      </w:r>
      <w:r>
        <w:rPr>
          <w:rFonts w:hint="default" w:ascii="Times New Roman" w:hAnsi="Times New Roman" w:eastAsia="宋体" w:cs="Times New Roman"/>
          <w:color w:val="auto"/>
          <w:highlight w:val="none"/>
        </w:rPr>
        <w:t>水源为地下水，位于地下水流向</w:t>
      </w:r>
      <w:r>
        <w:rPr>
          <w:rFonts w:hint="eastAsia" w:eastAsia="宋体" w:cs="Times New Roman"/>
          <w:color w:val="auto"/>
          <w:highlight w:val="none"/>
          <w:lang w:val="en-US" w:eastAsia="zh-CN"/>
        </w:rPr>
        <w:t>下</w:t>
      </w:r>
      <w:r>
        <w:rPr>
          <w:rFonts w:hint="default" w:ascii="Times New Roman" w:hAnsi="Times New Roman" w:eastAsia="宋体" w:cs="Times New Roman"/>
          <w:color w:val="auto"/>
          <w:highlight w:val="none"/>
        </w:rPr>
        <w:t>游，地下水评价范围内不存在集中式饮用水源保护区。因此，以村边界为起点，外扩3000天的质点迁移距离范围作为较敏感区。根据《饮用水水源保护区划分技术规范》（HJ/T338</w:t>
      </w:r>
      <w:r>
        <w:rPr>
          <w:rFonts w:hint="default" w:ascii="Times New Roman" w:hAnsi="Times New Roman" w:eastAsia="宋体" w:cs="Times New Roman"/>
          <w:color w:val="auto"/>
          <w:highlight w:val="none"/>
          <w:lang w:val="en-US" w:eastAsia="zh-CN"/>
        </w:rPr>
        <w:t>-2018</w:t>
      </w:r>
      <w:r>
        <w:rPr>
          <w:rFonts w:hint="default" w:ascii="Times New Roman" w:hAnsi="Times New Roman" w:eastAsia="宋体" w:cs="Times New Roman"/>
          <w:color w:val="auto"/>
          <w:highlight w:val="none"/>
        </w:rPr>
        <w:t>）计算公式法确定地下水饮用水水源地环境敏感程度。</w:t>
      </w:r>
      <w:r>
        <w:rPr>
          <w:rFonts w:hint="default" w:ascii="Times New Roman" w:hAnsi="Times New Roman" w:eastAsia="宋体" w:cs="Times New Roman"/>
          <w:color w:val="auto"/>
          <w:szCs w:val="24"/>
          <w:highlight w:val="none"/>
        </w:rPr>
        <w:t>计算公式如下：</w:t>
      </w:r>
    </w:p>
    <w:p w14:paraId="00B48F6D">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L=a×K×I×T/n</w:t>
      </w:r>
      <w:r>
        <w:rPr>
          <w:rFonts w:hint="default" w:ascii="Times New Roman" w:hAnsi="Times New Roman" w:eastAsia="宋体" w:cs="Times New Roman"/>
          <w:color w:val="auto"/>
          <w:highlight w:val="none"/>
          <w:vertAlign w:val="subscript"/>
        </w:rPr>
        <w:t>e</w:t>
      </w:r>
    </w:p>
    <w:p w14:paraId="17BA97B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式中：L-下游迁移距离，m</w:t>
      </w:r>
    </w:p>
    <w:p w14:paraId="3EF6174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a-变化系数，a≥1，一般取2；</w:t>
      </w:r>
    </w:p>
    <w:p w14:paraId="7E3EFC7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K-渗透系数，m/d，本项目地质层岩性主要为砂砾石，渗透系数取50m/d；</w:t>
      </w:r>
    </w:p>
    <w:p w14:paraId="0CE5DAD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I-水力坡度，无量纲，参考区域水文地质数据，</w:t>
      </w:r>
      <w:r>
        <w:rPr>
          <w:rFonts w:hint="default" w:ascii="Times New Roman" w:hAnsi="Times New Roman" w:eastAsia="宋体" w:cs="Times New Roman"/>
          <w:bCs/>
          <w:color w:val="auto"/>
          <w:highlight w:val="none"/>
        </w:rPr>
        <w:t>水力坡度I</w:t>
      </w:r>
      <w:r>
        <w:rPr>
          <w:rFonts w:hint="default" w:ascii="Times New Roman" w:hAnsi="Times New Roman" w:eastAsia="宋体" w:cs="Times New Roman"/>
          <w:color w:val="auto"/>
          <w:highlight w:val="none"/>
        </w:rPr>
        <w:t>=0.1%；</w:t>
      </w:r>
    </w:p>
    <w:p w14:paraId="3EBB740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T-质点运移天数，以村边界为起点，外扩3000天的质点迁移距离范围作为较敏感区。</w:t>
      </w:r>
      <w:r>
        <w:rPr>
          <w:rFonts w:hint="default" w:ascii="Times New Roman" w:hAnsi="Times New Roman" w:eastAsia="宋体" w:cs="Times New Roman"/>
          <w:color w:val="auto"/>
          <w:szCs w:val="24"/>
          <w:highlight w:val="none"/>
        </w:rPr>
        <w:t>因此</w:t>
      </w:r>
      <w:r>
        <w:rPr>
          <w:rFonts w:hint="default" w:ascii="Times New Roman" w:hAnsi="Times New Roman" w:eastAsia="宋体" w:cs="Times New Roman"/>
          <w:color w:val="auto"/>
          <w:highlight w:val="none"/>
        </w:rPr>
        <w:t>T取3000。</w:t>
      </w:r>
    </w:p>
    <w:p w14:paraId="7C3A643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w:t>
      </w:r>
      <w:r>
        <w:rPr>
          <w:rFonts w:hint="default" w:ascii="Times New Roman" w:hAnsi="Times New Roman" w:eastAsia="宋体" w:cs="Times New Roman"/>
          <w:color w:val="auto"/>
          <w:highlight w:val="none"/>
          <w:vertAlign w:val="subscript"/>
        </w:rPr>
        <w:t>e</w:t>
      </w:r>
      <w:r>
        <w:rPr>
          <w:rFonts w:hint="default" w:ascii="Times New Roman" w:hAnsi="Times New Roman" w:eastAsia="宋体" w:cs="Times New Roman"/>
          <w:color w:val="auto"/>
          <w:highlight w:val="none"/>
        </w:rPr>
        <w:t>-有效孔隙度，无量纲。参考区域水文地质数据，有效孔隙度取0.3；</w:t>
      </w:r>
    </w:p>
    <w:p w14:paraId="192E6EF2">
      <w:pPr>
        <w:pStyle w:val="67"/>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L=2×50×0.1%×3000/0.3=1000m</w:t>
      </w:r>
    </w:p>
    <w:p w14:paraId="1365115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经计算，较敏感区为1000范围，本项目</w:t>
      </w:r>
      <w:r>
        <w:rPr>
          <w:rFonts w:hint="eastAsia" w:eastAsia="宋体" w:cs="Times New Roman"/>
          <w:color w:val="auto"/>
          <w:highlight w:val="none"/>
          <w:lang w:val="en-US" w:eastAsia="zh-CN"/>
        </w:rPr>
        <w:t>不</w:t>
      </w:r>
      <w:r>
        <w:rPr>
          <w:rFonts w:hint="default" w:ascii="Times New Roman" w:hAnsi="Times New Roman" w:eastAsia="宋体" w:cs="Times New Roman"/>
          <w:color w:val="auto"/>
          <w:highlight w:val="none"/>
        </w:rPr>
        <w:t>位于较敏感区范围内，因此为</w:t>
      </w:r>
      <w:r>
        <w:rPr>
          <w:rFonts w:hint="eastAsia" w:eastAsia="宋体" w:cs="Times New Roman"/>
          <w:color w:val="auto"/>
          <w:highlight w:val="none"/>
          <w:lang w:val="en-US" w:eastAsia="zh-CN"/>
        </w:rPr>
        <w:t>不</w:t>
      </w:r>
      <w:r>
        <w:rPr>
          <w:rFonts w:hint="default" w:ascii="Times New Roman" w:hAnsi="Times New Roman" w:eastAsia="宋体" w:cs="Times New Roman"/>
          <w:color w:val="auto"/>
          <w:highlight w:val="none"/>
        </w:rPr>
        <w:t>敏感。场区内用于提供水源的自打饮用水水井为分散式饮用水水源</w:t>
      </w:r>
      <w:r>
        <w:rPr>
          <w:rFonts w:hint="eastAsia" w:eastAsia="宋体" w:cs="Times New Roman"/>
          <w:color w:val="auto"/>
          <w:highlight w:val="none"/>
          <w:lang w:val="en-US" w:eastAsia="zh-CN"/>
        </w:rPr>
        <w:t>井</w:t>
      </w:r>
      <w:r>
        <w:rPr>
          <w:rFonts w:hint="default" w:ascii="Times New Roman" w:hAnsi="Times New Roman" w:eastAsia="宋体" w:cs="Times New Roman"/>
          <w:color w:val="auto"/>
          <w:highlight w:val="none"/>
        </w:rPr>
        <w:t>，为较敏感。综上所述，本项目地下水敏感程度为较敏感。</w:t>
      </w:r>
    </w:p>
    <w:p w14:paraId="5A1B42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（3）建设项目评价工作等级</w:t>
      </w:r>
    </w:p>
    <w:p w14:paraId="7B1475D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建设项目地下水环境影响评价工作等级的划分见下表。</w:t>
      </w:r>
    </w:p>
    <w:p w14:paraId="603B1EE2">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表2-5-1</w:t>
      </w:r>
      <w:r>
        <w:rPr>
          <w:rFonts w:hint="eastAsia" w:cs="Times New Roman"/>
          <w:snapToGrid w:val="0"/>
          <w:color w:val="auto"/>
          <w:highlight w:val="none"/>
          <w:lang w:val="en-US" w:eastAsia="zh-CN"/>
        </w:rPr>
        <w:t>1</w:t>
      </w:r>
      <w:r>
        <w:rPr>
          <w:rFonts w:hint="default" w:ascii="Times New Roman" w:hAnsi="Times New Roman" w:cs="Times New Roman"/>
          <w:snapToGrid w:val="0"/>
          <w:color w:val="auto"/>
          <w:highlight w:val="none"/>
        </w:rPr>
        <w:t>地下水评价工作等级分级表</w:t>
      </w:r>
    </w:p>
    <w:tbl>
      <w:tblPr>
        <w:tblStyle w:val="47"/>
        <w:tblW w:w="85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6"/>
        <w:gridCol w:w="1820"/>
        <w:gridCol w:w="2125"/>
        <w:gridCol w:w="2125"/>
      </w:tblGrid>
      <w:tr w14:paraId="0C807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6" w:type="dxa"/>
            <w:tcBorders>
              <w:top w:val="single" w:color="auto" w:sz="12" w:space="0"/>
              <w:bottom w:val="single" w:color="auto" w:sz="4" w:space="0"/>
              <w:tl2br w:val="single" w:color="auto" w:sz="4" w:space="0"/>
            </w:tcBorders>
            <w:shd w:val="clear" w:color="auto" w:fill="auto"/>
            <w:vAlign w:val="center"/>
          </w:tcPr>
          <w:p w14:paraId="5E0AB5B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项目类别</w:t>
            </w:r>
          </w:p>
          <w:p w14:paraId="3EE59D7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环境敏感程度</w:t>
            </w:r>
          </w:p>
        </w:tc>
        <w:tc>
          <w:tcPr>
            <w:tcW w:w="1820" w:type="dxa"/>
            <w:shd w:val="clear" w:color="auto" w:fill="auto"/>
            <w:vAlign w:val="center"/>
          </w:tcPr>
          <w:p w14:paraId="48E9A3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类项目</w:t>
            </w:r>
          </w:p>
        </w:tc>
        <w:tc>
          <w:tcPr>
            <w:tcW w:w="2125" w:type="dxa"/>
            <w:shd w:val="clear" w:color="auto" w:fill="auto"/>
            <w:vAlign w:val="center"/>
          </w:tcPr>
          <w:p w14:paraId="3163427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类项目</w:t>
            </w:r>
          </w:p>
        </w:tc>
        <w:tc>
          <w:tcPr>
            <w:tcW w:w="2125" w:type="dxa"/>
            <w:shd w:val="clear" w:color="auto" w:fill="auto"/>
            <w:vAlign w:val="center"/>
          </w:tcPr>
          <w:p w14:paraId="4DAF42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类项目</w:t>
            </w:r>
          </w:p>
        </w:tc>
      </w:tr>
      <w:tr w14:paraId="22BF4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6" w:type="dxa"/>
            <w:tcBorders>
              <w:top w:val="single" w:color="auto" w:sz="4" w:space="0"/>
            </w:tcBorders>
            <w:shd w:val="clear" w:color="auto" w:fill="auto"/>
            <w:vAlign w:val="center"/>
          </w:tcPr>
          <w:p w14:paraId="1A77260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敏感</w:t>
            </w:r>
          </w:p>
        </w:tc>
        <w:tc>
          <w:tcPr>
            <w:tcW w:w="1820" w:type="dxa"/>
            <w:shd w:val="clear" w:color="auto" w:fill="auto"/>
            <w:vAlign w:val="center"/>
          </w:tcPr>
          <w:p w14:paraId="424848E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w:t>
            </w:r>
          </w:p>
        </w:tc>
        <w:tc>
          <w:tcPr>
            <w:tcW w:w="2125" w:type="dxa"/>
            <w:shd w:val="clear" w:color="auto" w:fill="auto"/>
            <w:vAlign w:val="center"/>
          </w:tcPr>
          <w:p w14:paraId="157DC4D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w:t>
            </w:r>
          </w:p>
        </w:tc>
        <w:tc>
          <w:tcPr>
            <w:tcW w:w="2125" w:type="dxa"/>
            <w:shd w:val="clear" w:color="auto" w:fill="auto"/>
            <w:vAlign w:val="center"/>
          </w:tcPr>
          <w:p w14:paraId="01D6636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w:t>
            </w:r>
          </w:p>
        </w:tc>
      </w:tr>
      <w:tr w14:paraId="7799E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6" w:type="dxa"/>
            <w:shd w:val="clear" w:color="auto" w:fill="auto"/>
            <w:vAlign w:val="center"/>
          </w:tcPr>
          <w:p w14:paraId="249EFE2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较敏感</w:t>
            </w:r>
          </w:p>
        </w:tc>
        <w:tc>
          <w:tcPr>
            <w:tcW w:w="1820" w:type="dxa"/>
            <w:shd w:val="clear" w:color="auto" w:fill="auto"/>
            <w:vAlign w:val="center"/>
          </w:tcPr>
          <w:p w14:paraId="7D52A5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w:t>
            </w:r>
          </w:p>
        </w:tc>
        <w:tc>
          <w:tcPr>
            <w:tcW w:w="2125" w:type="dxa"/>
            <w:shd w:val="clear" w:color="auto" w:fill="auto"/>
            <w:vAlign w:val="center"/>
          </w:tcPr>
          <w:p w14:paraId="1EF9AFA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w:t>
            </w:r>
          </w:p>
        </w:tc>
        <w:tc>
          <w:tcPr>
            <w:tcW w:w="2125" w:type="dxa"/>
            <w:shd w:val="clear" w:color="auto" w:fill="auto"/>
            <w:vAlign w:val="center"/>
          </w:tcPr>
          <w:p w14:paraId="7BBEB7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w:t>
            </w:r>
          </w:p>
        </w:tc>
      </w:tr>
      <w:tr w14:paraId="26AD4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6" w:type="dxa"/>
            <w:shd w:val="clear" w:color="auto" w:fill="auto"/>
            <w:vAlign w:val="center"/>
          </w:tcPr>
          <w:p w14:paraId="616FDB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不敏感</w:t>
            </w:r>
          </w:p>
        </w:tc>
        <w:tc>
          <w:tcPr>
            <w:tcW w:w="1820" w:type="dxa"/>
            <w:shd w:val="clear" w:color="auto" w:fill="auto"/>
            <w:vAlign w:val="center"/>
          </w:tcPr>
          <w:p w14:paraId="6AC2FC6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w:t>
            </w:r>
          </w:p>
        </w:tc>
        <w:tc>
          <w:tcPr>
            <w:tcW w:w="2125" w:type="dxa"/>
            <w:shd w:val="clear" w:color="auto" w:fill="auto"/>
            <w:vAlign w:val="center"/>
          </w:tcPr>
          <w:p w14:paraId="626AAC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w:t>
            </w:r>
          </w:p>
        </w:tc>
        <w:tc>
          <w:tcPr>
            <w:tcW w:w="2125" w:type="dxa"/>
            <w:shd w:val="clear" w:color="auto" w:fill="auto"/>
            <w:vAlign w:val="center"/>
          </w:tcPr>
          <w:p w14:paraId="22638EB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w:t>
            </w:r>
          </w:p>
        </w:tc>
      </w:tr>
    </w:tbl>
    <w:p w14:paraId="2360DB15">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综上分析，拟建项目属于地下水环境影响评价分类的</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类项目，地下水环境敏感程度为较敏感，因此评价工作等级确定为三级。</w:t>
      </w:r>
    </w:p>
    <w:p w14:paraId="473D036D">
      <w:pPr>
        <w:pStyle w:val="5"/>
        <w:spacing w:line="500" w:lineRule="exact"/>
        <w:rPr>
          <w:rFonts w:hint="default" w:ascii="Times New Roman" w:hAnsi="Times New Roman" w:cs="Times New Roman"/>
          <w:color w:val="auto"/>
          <w:highlight w:val="none"/>
        </w:rPr>
      </w:pPr>
      <w:bookmarkStart w:id="106" w:name="_Toc7397"/>
      <w:bookmarkStart w:id="107" w:name="_Toc524431290"/>
      <w:bookmarkStart w:id="108" w:name="_Toc57713619"/>
      <w:r>
        <w:rPr>
          <w:rFonts w:hint="default" w:ascii="Times New Roman" w:hAnsi="Times New Roman" w:cs="Times New Roman"/>
          <w:color w:val="auto"/>
          <w:highlight w:val="none"/>
        </w:rPr>
        <w:t>2.5.4声环境</w:t>
      </w:r>
      <w:bookmarkEnd w:id="106"/>
      <w:bookmarkEnd w:id="107"/>
      <w:bookmarkEnd w:id="108"/>
    </w:p>
    <w:p w14:paraId="473527A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声环境》（HJ2.4-2021）5.1.3：建设项目所处的声环境功能区为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声环境质量标准》（</w:t>
      </w:r>
      <w:r>
        <w:rPr>
          <w:rFonts w:hint="default" w:ascii="Times New Roman" w:hAnsi="Times New Roman" w:eastAsia="宋体" w:cs="Times New Roman"/>
          <w:color w:val="auto"/>
          <w:highlight w:val="none"/>
        </w:rPr>
        <w:t>GB3096</w:t>
      </w:r>
      <w:r>
        <w:rPr>
          <w:rFonts w:hint="default" w:ascii="Times New Roman" w:hAnsi="Times New Roman" w:eastAsia="宋体" w:cs="Times New Roman"/>
          <w:color w:val="auto"/>
          <w:highlight w:val="none"/>
          <w:lang w:val="en-US" w:eastAsia="zh-CN"/>
        </w:rPr>
        <w:t>-2008）</w:t>
      </w:r>
      <w:r>
        <w:rPr>
          <w:rFonts w:hint="default" w:ascii="Times New Roman" w:hAnsi="Times New Roman" w:eastAsia="宋体" w:cs="Times New Roman"/>
          <w:color w:val="auto"/>
          <w:highlight w:val="none"/>
        </w:rPr>
        <w:t>规定的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2类</w:t>
      </w:r>
      <w:r>
        <w:rPr>
          <w:rFonts w:hint="default" w:ascii="Times New Roman" w:hAnsi="Times New Roman" w:eastAsia="宋体" w:cs="Times New Roman"/>
          <w:color w:val="auto"/>
          <w:highlight w:val="none"/>
        </w:rPr>
        <w:t>地区，或建设项目建设前后评价范围内敏感目标噪声级增量达3dB（A）~5dB（A），或受噪声影响人口数量增加较多时，评价等级为二级评价。</w:t>
      </w:r>
    </w:p>
    <w:p w14:paraId="7FF7AD0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本项目所在声环境功能区为</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类功能区，项目周围200m范围内无声环境敏感目标，项目建设前后评价范围内敏感目标噪声级增高量小于3dB(A)，受噪声影响人口数量变化不大。因此，确定本次声环境影响评价工作等级为二级。详见下表。</w:t>
      </w:r>
    </w:p>
    <w:p w14:paraId="7042402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表2-5-1</w:t>
      </w:r>
      <w:r>
        <w:rPr>
          <w:rFonts w:hint="eastAsia" w:cs="Times New Roman"/>
          <w:color w:val="auto"/>
          <w:highlight w:val="none"/>
          <w:lang w:val="en-US" w:eastAsia="zh-CN"/>
        </w:rPr>
        <w:t>2</w:t>
      </w:r>
      <w:r>
        <w:rPr>
          <w:rFonts w:hint="default" w:ascii="Times New Roman" w:hAnsi="Times New Roman" w:cs="Times New Roman"/>
          <w:color w:val="auto"/>
          <w:highlight w:val="none"/>
        </w:rPr>
        <w:t>声环境评价工作等级判断表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2975"/>
        <w:gridCol w:w="2568"/>
        <w:gridCol w:w="1344"/>
      </w:tblGrid>
      <w:tr w14:paraId="588AF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4" w:type="pct"/>
            <w:shd w:val="clear" w:color="auto" w:fill="auto"/>
            <w:vAlign w:val="center"/>
          </w:tcPr>
          <w:p w14:paraId="7CE209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功能区</w:t>
            </w:r>
          </w:p>
        </w:tc>
        <w:tc>
          <w:tcPr>
            <w:tcW w:w="1791" w:type="pct"/>
            <w:shd w:val="clear" w:color="auto" w:fill="auto"/>
            <w:vAlign w:val="center"/>
          </w:tcPr>
          <w:p w14:paraId="1630BF9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建设前后噪声级的增加量</w:t>
            </w:r>
          </w:p>
        </w:tc>
        <w:tc>
          <w:tcPr>
            <w:tcW w:w="1546" w:type="pct"/>
            <w:shd w:val="clear" w:color="auto" w:fill="auto"/>
            <w:vAlign w:val="center"/>
          </w:tcPr>
          <w:p w14:paraId="38D3F6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受影响人口变化情况</w:t>
            </w:r>
          </w:p>
        </w:tc>
        <w:tc>
          <w:tcPr>
            <w:tcW w:w="0" w:type="auto"/>
            <w:shd w:val="clear" w:color="auto" w:fill="auto"/>
            <w:vAlign w:val="center"/>
          </w:tcPr>
          <w:p w14:paraId="0DE47BF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判定等级</w:t>
            </w:r>
          </w:p>
        </w:tc>
      </w:tr>
      <w:tr w14:paraId="3D20E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4" w:type="pct"/>
            <w:shd w:val="clear" w:color="auto" w:fill="auto"/>
            <w:vAlign w:val="center"/>
          </w:tcPr>
          <w:p w14:paraId="20353A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w:t>
            </w:r>
          </w:p>
        </w:tc>
        <w:tc>
          <w:tcPr>
            <w:tcW w:w="1791" w:type="pct"/>
            <w:shd w:val="clear" w:color="auto" w:fill="auto"/>
            <w:vAlign w:val="center"/>
          </w:tcPr>
          <w:p w14:paraId="3CA67A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＜3dB（A）</w:t>
            </w:r>
          </w:p>
        </w:tc>
        <w:tc>
          <w:tcPr>
            <w:tcW w:w="1546" w:type="pct"/>
            <w:shd w:val="clear" w:color="auto" w:fill="auto"/>
            <w:vAlign w:val="center"/>
          </w:tcPr>
          <w:p w14:paraId="3C4E03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不明显</w:t>
            </w:r>
          </w:p>
        </w:tc>
        <w:tc>
          <w:tcPr>
            <w:tcW w:w="0" w:type="auto"/>
            <w:shd w:val="clear" w:color="auto" w:fill="auto"/>
            <w:vAlign w:val="center"/>
          </w:tcPr>
          <w:p w14:paraId="554D1B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二级</w:t>
            </w:r>
          </w:p>
        </w:tc>
      </w:tr>
    </w:tbl>
    <w:p w14:paraId="63031686">
      <w:pPr>
        <w:pStyle w:val="5"/>
        <w:spacing w:line="500" w:lineRule="exact"/>
        <w:rPr>
          <w:rFonts w:hint="default" w:ascii="Times New Roman" w:hAnsi="Times New Roman" w:cs="Times New Roman"/>
          <w:color w:val="auto"/>
          <w:highlight w:val="none"/>
        </w:rPr>
      </w:pPr>
      <w:bookmarkStart w:id="109" w:name="_Toc57713620"/>
      <w:bookmarkStart w:id="110" w:name="_Toc17194"/>
      <w:bookmarkStart w:id="111" w:name="_Toc524431291"/>
      <w:r>
        <w:rPr>
          <w:rFonts w:hint="default" w:ascii="Times New Roman" w:hAnsi="Times New Roman" w:cs="Times New Roman"/>
          <w:color w:val="auto"/>
          <w:highlight w:val="none"/>
        </w:rPr>
        <w:t>2.5.5生态环境</w:t>
      </w:r>
      <w:bookmarkEnd w:id="109"/>
      <w:bookmarkEnd w:id="110"/>
      <w:bookmarkEnd w:id="111"/>
    </w:p>
    <w:p w14:paraId="73888687">
      <w:pPr>
        <w:pStyle w:val="311"/>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color w:val="auto"/>
          <w:highlight w:val="none"/>
          <w:lang w:val="en-US"/>
        </w:rPr>
      </w:pPr>
      <w:r>
        <w:rPr>
          <w:color w:val="auto"/>
          <w:highlight w:val="none"/>
        </w:rPr>
        <w:t>（</w:t>
      </w:r>
      <w:r>
        <w:rPr>
          <w:color w:val="auto"/>
          <w:highlight w:val="none"/>
          <w:lang w:val="en-US"/>
        </w:rPr>
        <w:t>1</w:t>
      </w:r>
      <w:r>
        <w:rPr>
          <w:color w:val="auto"/>
          <w:highlight w:val="none"/>
        </w:rPr>
        <w:t>）</w:t>
      </w:r>
      <w:r>
        <w:rPr>
          <w:color w:val="auto"/>
          <w:highlight w:val="none"/>
          <w:lang w:val="en-US"/>
        </w:rPr>
        <w:t>判定原则</w:t>
      </w:r>
    </w:p>
    <w:p w14:paraId="16F5C14F">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jc w:val="both"/>
        <w:textAlignment w:val="auto"/>
        <w:rPr>
          <w:rFonts w:ascii="Times New Roman" w:hAnsi="Times New Roman" w:cs="Times New Roman"/>
          <w:color w:val="auto"/>
          <w:kern w:val="21"/>
          <w:szCs w:val="24"/>
          <w:highlight w:val="none"/>
          <w:lang w:val="en-US"/>
        </w:rPr>
      </w:pPr>
      <w:r>
        <w:rPr>
          <w:rFonts w:ascii="Times New Roman" w:hAnsi="Times New Roman" w:cs="Times New Roman"/>
          <w:color w:val="auto"/>
          <w:kern w:val="21"/>
          <w:highlight w:val="none"/>
        </w:rPr>
        <w:t>根据《环境影响评价技术导则 生态影响》（HJ 19-20</w:t>
      </w:r>
      <w:r>
        <w:rPr>
          <w:rFonts w:ascii="Times New Roman" w:hAnsi="Times New Roman" w:cs="Times New Roman"/>
          <w:color w:val="auto"/>
          <w:kern w:val="21"/>
          <w:highlight w:val="none"/>
          <w:lang w:val="en-US"/>
        </w:rPr>
        <w:t>22</w:t>
      </w:r>
      <w:r>
        <w:rPr>
          <w:rFonts w:ascii="Times New Roman" w:hAnsi="Times New Roman" w:cs="Times New Roman"/>
          <w:color w:val="auto"/>
          <w:kern w:val="21"/>
          <w:highlight w:val="none"/>
        </w:rPr>
        <w:t>）</w:t>
      </w:r>
      <w:r>
        <w:rPr>
          <w:rFonts w:ascii="Times New Roman" w:hAnsi="Times New Roman" w:cs="Times New Roman"/>
          <w:color w:val="auto"/>
          <w:kern w:val="21"/>
          <w:highlight w:val="none"/>
          <w:lang w:val="en-US"/>
        </w:rPr>
        <w:t>相关内容</w:t>
      </w:r>
      <w:r>
        <w:rPr>
          <w:rFonts w:ascii="Times New Roman" w:hAnsi="Times New Roman" w:cs="Times New Roman"/>
          <w:color w:val="auto"/>
          <w:kern w:val="21"/>
          <w:highlight w:val="none"/>
        </w:rPr>
        <w:t>，依据建设项目影响区域的生态敏感性和影响程度，评价等级划分为一级、二级和三级。</w:t>
      </w:r>
      <w:r>
        <w:rPr>
          <w:rFonts w:ascii="Times New Roman" w:hAnsi="Times New Roman" w:cs="Times New Roman"/>
          <w:color w:val="auto"/>
          <w:kern w:val="21"/>
          <w:highlight w:val="none"/>
          <w:lang w:val="en-US"/>
        </w:rPr>
        <w:t>线性工程可分段确定评价等级。</w:t>
      </w:r>
      <w:r>
        <w:rPr>
          <w:rFonts w:ascii="Times New Roman" w:hAnsi="Times New Roman" w:cs="Times New Roman"/>
          <w:color w:val="auto"/>
          <w:kern w:val="21"/>
          <w:szCs w:val="24"/>
          <w:highlight w:val="none"/>
          <w:lang w:val="en-US"/>
        </w:rPr>
        <w:t>建设项目同时涉及陆生、水生生态影响时，可针对陆生生态、水生生态分别判定评价等级。</w:t>
      </w:r>
    </w:p>
    <w:p w14:paraId="5F3E76DB">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按以下原则确定评价等级：</w:t>
      </w:r>
    </w:p>
    <w:p w14:paraId="5BDCF086">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a）涉及国家公园、自然保护区、世界自然遗产、重要生境时，评价等级为一级；</w:t>
      </w:r>
    </w:p>
    <w:p w14:paraId="15D50885">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b）涉及自然公园时，评价等级为二级；</w:t>
      </w:r>
    </w:p>
    <w:p w14:paraId="64003150">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c）涉及生态保护红线时，评价等级不低于二级；</w:t>
      </w:r>
    </w:p>
    <w:p w14:paraId="03B7F14F">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d）根据HJ2.3判断属于水文要素影响型且地表水评价等级不低于二级的建设项目，生态影响评价等级不低于二级；</w:t>
      </w:r>
    </w:p>
    <w:p w14:paraId="73BC3FE7">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e）根据HJ610、HJ964判断地下水水位或土壤影响范围内分布有天然林、公益林、湿地等生态保护目标的建设项目，生态影响评价等级不低于二级；</w:t>
      </w:r>
    </w:p>
    <w:p w14:paraId="60772982">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f）当工程占地规模大于20</w:t>
      </w:r>
      <w:r>
        <w:rPr>
          <w:rFonts w:cs="Times New Roman"/>
          <w:color w:val="auto"/>
          <w:highlight w:val="none"/>
          <w:lang w:val="en-US"/>
        </w:rPr>
        <w:t xml:space="preserve"> </w:t>
      </w:r>
      <w:r>
        <w:rPr>
          <w:rFonts w:cs="Times New Roman"/>
          <w:color w:val="auto"/>
          <w:highlight w:val="none"/>
        </w:rPr>
        <w:t>km</w:t>
      </w:r>
      <w:r>
        <w:rPr>
          <w:rFonts w:cs="Times New Roman"/>
          <w:color w:val="auto"/>
          <w:highlight w:val="none"/>
          <w:vertAlign w:val="superscript"/>
        </w:rPr>
        <w:t>2</w:t>
      </w:r>
      <w:r>
        <w:rPr>
          <w:rFonts w:cs="Times New Roman"/>
          <w:color w:val="auto"/>
          <w:highlight w:val="none"/>
        </w:rPr>
        <w:t>时（包括永久和临时占用陆域和水域），评价等级不低于二级；改扩建项目的占地范围以新增占地（包括陆域和水域）确定；</w:t>
      </w:r>
    </w:p>
    <w:p w14:paraId="1B7DE7FF">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g）除本条a）、b）、c）、d）、e）、f）以外的情况，评价等级为三级；</w:t>
      </w:r>
    </w:p>
    <w:p w14:paraId="53A0085D">
      <w:pPr>
        <w:pStyle w:val="495"/>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cs="Times New Roman"/>
          <w:color w:val="auto"/>
          <w:highlight w:val="none"/>
        </w:rPr>
      </w:pPr>
      <w:r>
        <w:rPr>
          <w:rFonts w:cs="Times New Roman"/>
          <w:color w:val="auto"/>
          <w:highlight w:val="none"/>
        </w:rPr>
        <w:t>h）当评价等级判定同时符合上述多种情况时，应采用其中最高的评价等级。</w:t>
      </w:r>
    </w:p>
    <w:p w14:paraId="38E4C36A">
      <w:pPr>
        <w:pStyle w:val="311"/>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color w:val="auto"/>
          <w:highlight w:val="none"/>
          <w:lang w:val="en-US"/>
        </w:rPr>
      </w:pPr>
      <w:r>
        <w:rPr>
          <w:color w:val="auto"/>
          <w:highlight w:val="none"/>
        </w:rPr>
        <w:t>（</w:t>
      </w:r>
      <w:r>
        <w:rPr>
          <w:color w:val="auto"/>
          <w:highlight w:val="none"/>
          <w:lang w:val="en-US"/>
        </w:rPr>
        <w:t>2</w:t>
      </w:r>
      <w:r>
        <w:rPr>
          <w:color w:val="auto"/>
          <w:highlight w:val="none"/>
        </w:rPr>
        <w:t>）</w:t>
      </w:r>
      <w:r>
        <w:rPr>
          <w:color w:val="auto"/>
          <w:highlight w:val="none"/>
          <w:lang w:val="en-US"/>
        </w:rPr>
        <w:t>判定结果</w:t>
      </w:r>
    </w:p>
    <w:p w14:paraId="63A8B98D">
      <w:pPr>
        <w:pStyle w:val="311"/>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color w:val="auto"/>
          <w:highlight w:val="none"/>
        </w:rPr>
      </w:pPr>
      <w:r>
        <w:rPr>
          <w:color w:val="auto"/>
          <w:kern w:val="21"/>
          <w:szCs w:val="24"/>
          <w:highlight w:val="none"/>
          <w:lang w:val="en-US"/>
        </w:rPr>
        <w:t>经资料收集及现场调查，项目拟选厂址不涉及国家公园、自然保护区、世界自然遗产、重要生境；</w:t>
      </w:r>
      <w:r>
        <w:rPr>
          <w:color w:val="auto"/>
          <w:kern w:val="21"/>
          <w:highlight w:val="none"/>
        </w:rPr>
        <w:t>根据《环境影响评价技术导则 土壤环境(试行)》（HJ 964-2018）判断土壤影响范围内分布有天然林。</w:t>
      </w:r>
    </w:p>
    <w:p w14:paraId="1A3B04CA">
      <w:pPr>
        <w:pStyle w:val="311"/>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kern w:val="21"/>
          <w:highlight w:val="none"/>
        </w:rPr>
      </w:pPr>
      <w:r>
        <w:rPr>
          <w:rFonts w:ascii="Times New Roman" w:hAnsi="Times New Roman" w:eastAsia="宋体" w:cs="Times New Roman"/>
          <w:color w:val="auto"/>
          <w:kern w:val="21"/>
          <w:highlight w:val="none"/>
          <w:lang w:val="en-US"/>
        </w:rPr>
        <w:t>项目无涉水工程，故本次仅对陆生生态评价进行评价。因</w:t>
      </w:r>
      <w:r>
        <w:rPr>
          <w:rFonts w:ascii="Times New Roman" w:hAnsi="Times New Roman" w:eastAsia="宋体" w:cs="Times New Roman"/>
          <w:color w:val="auto"/>
          <w:kern w:val="21"/>
          <w:highlight w:val="none"/>
        </w:rPr>
        <w:t>根据《环境影响评价技术导则 土壤环境(试行)》（HJ 964-2018）判断土壤影响范围内分布有天然林，</w:t>
      </w:r>
      <w:r>
        <w:rPr>
          <w:rFonts w:ascii="Times New Roman" w:hAnsi="Times New Roman" w:eastAsia="宋体" w:cs="Times New Roman"/>
          <w:color w:val="auto"/>
          <w:kern w:val="21"/>
          <w:highlight w:val="none"/>
          <w:lang w:val="en-US"/>
        </w:rPr>
        <w:t>故</w:t>
      </w:r>
      <w:r>
        <w:rPr>
          <w:rFonts w:ascii="Times New Roman" w:hAnsi="Times New Roman" w:eastAsia="宋体" w:cs="Times New Roman"/>
          <w:color w:val="auto"/>
          <w:kern w:val="21"/>
          <w:highlight w:val="none"/>
        </w:rPr>
        <w:t>根据《环境影响评价技术导则 生态影响》（HJ 19-20</w:t>
      </w:r>
      <w:r>
        <w:rPr>
          <w:rFonts w:ascii="Times New Roman" w:hAnsi="Times New Roman" w:eastAsia="宋体" w:cs="Times New Roman"/>
          <w:color w:val="auto"/>
          <w:kern w:val="21"/>
          <w:highlight w:val="none"/>
          <w:lang w:val="en-US"/>
        </w:rPr>
        <w:t>22</w:t>
      </w:r>
      <w:r>
        <w:rPr>
          <w:rFonts w:ascii="Times New Roman" w:hAnsi="Times New Roman" w:eastAsia="宋体" w:cs="Times New Roman"/>
          <w:color w:val="auto"/>
          <w:kern w:val="21"/>
          <w:highlight w:val="none"/>
        </w:rPr>
        <w:t>）</w:t>
      </w:r>
      <w:r>
        <w:rPr>
          <w:rFonts w:ascii="Times New Roman" w:hAnsi="Times New Roman" w:eastAsia="宋体" w:cs="Times New Roman"/>
          <w:color w:val="auto"/>
          <w:kern w:val="21"/>
          <w:highlight w:val="none"/>
          <w:lang w:val="en-US"/>
        </w:rPr>
        <w:t>相关内容</w:t>
      </w:r>
      <w:r>
        <w:rPr>
          <w:rFonts w:ascii="Times New Roman" w:hAnsi="Times New Roman" w:eastAsia="宋体" w:cs="Times New Roman"/>
          <w:color w:val="auto"/>
          <w:kern w:val="21"/>
          <w:highlight w:val="none"/>
        </w:rPr>
        <w:t>，</w:t>
      </w:r>
      <w:r>
        <w:rPr>
          <w:rFonts w:ascii="Times New Roman" w:hAnsi="Times New Roman" w:eastAsia="宋体" w:cs="Times New Roman"/>
          <w:color w:val="auto"/>
          <w:kern w:val="21"/>
          <w:highlight w:val="none"/>
          <w:lang w:val="en-US"/>
        </w:rPr>
        <w:t>判定为项目陆生生态评价等级为二级。</w:t>
      </w:r>
    </w:p>
    <w:p w14:paraId="6EBD3E13">
      <w:pPr>
        <w:pStyle w:val="5"/>
        <w:spacing w:line="500" w:lineRule="exact"/>
        <w:rPr>
          <w:rFonts w:hint="default" w:ascii="Times New Roman" w:hAnsi="Times New Roman" w:cs="Times New Roman"/>
          <w:color w:val="auto"/>
          <w:highlight w:val="none"/>
        </w:rPr>
      </w:pPr>
      <w:bookmarkStart w:id="112" w:name="_Toc27886"/>
      <w:bookmarkStart w:id="113" w:name="_Toc57713621"/>
      <w:bookmarkStart w:id="114" w:name="_Toc524431292"/>
      <w:r>
        <w:rPr>
          <w:rFonts w:hint="default" w:ascii="Times New Roman" w:hAnsi="Times New Roman" w:cs="Times New Roman"/>
          <w:color w:val="auto"/>
          <w:highlight w:val="none"/>
        </w:rPr>
        <w:t>2.5.6环境风险</w:t>
      </w:r>
      <w:bookmarkEnd w:id="112"/>
      <w:bookmarkEnd w:id="113"/>
    </w:p>
    <w:p w14:paraId="2986AB0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（1）风险调查</w:t>
      </w:r>
    </w:p>
    <w:p w14:paraId="7B1E0802">
      <w:pPr>
        <w:pStyle w:val="67"/>
        <w:ind w:firstLine="480"/>
        <w:rPr>
          <w:rFonts w:hint="default" w:ascii="Times New Roman" w:hAnsi="Times New Roman" w:eastAsia="宋体" w:cs="Times New Roman"/>
          <w:color w:val="auto"/>
          <w:highlight w:val="none"/>
          <w:lang w:val="en-US" w:eastAsia="zh-CN"/>
        </w:rPr>
      </w:pPr>
      <w:bookmarkStart w:id="115" w:name="_Hlk11609849"/>
      <w:r>
        <w:rPr>
          <w:rFonts w:hint="default" w:ascii="Times New Roman" w:hAnsi="Times New Roman" w:eastAsia="宋体" w:cs="Times New Roman"/>
          <w:color w:val="auto"/>
          <w:highlight w:val="none"/>
        </w:rPr>
        <w:t>根据《建设项目环境风险评价技术导则》（HJ169-2018）附录B及《危险化学品重大危险源辨识》（GB18218-2018）</w:t>
      </w:r>
      <w:r>
        <w:rPr>
          <w:rFonts w:hint="default" w:ascii="Times New Roman" w:hAnsi="Times New Roman" w:eastAsia="宋体" w:cs="Times New Roman"/>
          <w:color w:val="auto"/>
          <w:highlight w:val="none"/>
        </w:rPr>
        <w:t>，本项目主要风险物质为</w:t>
      </w:r>
      <w:r>
        <w:rPr>
          <w:rFonts w:hint="default" w:ascii="Times New Roman" w:hAnsi="Times New Roman" w:eastAsia="宋体" w:cs="Times New Roman"/>
          <w:color w:val="auto"/>
          <w:highlight w:val="none"/>
          <w:lang w:val="en-US" w:eastAsia="zh-CN"/>
        </w:rPr>
        <w:t>消毒剂</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主要成分为次氯酸钠</w:t>
      </w:r>
      <w:r>
        <w:rPr>
          <w:rFonts w:hint="eastAsia" w:eastAsia="宋体" w:cs="Times New Roman"/>
          <w:color w:val="auto"/>
          <w:highlight w:val="none"/>
          <w:lang w:val="en-US" w:eastAsia="zh-CN"/>
        </w:rPr>
        <w:t>，</w:t>
      </w:r>
      <w:r>
        <w:rPr>
          <w:rFonts w:hint="eastAsia" w:eastAsia="宋体" w:cs="Times New Roman"/>
          <w:snapToGrid w:val="0"/>
          <w:color w:val="auto"/>
          <w:highlight w:val="none"/>
          <w:lang w:val="en-US" w:eastAsia="zh-CN"/>
        </w:rPr>
        <w:t>CODcr浓度≥10000mg/L的有机废液及NH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r>
        <w:rPr>
          <w:rFonts w:hint="default" w:ascii="Times New Roman" w:hAnsi="Times New Roman" w:eastAsia="宋体" w:cs="Times New Roman"/>
          <w:color w:val="auto"/>
          <w:highlight w:val="none"/>
        </w:rPr>
        <w:t>。</w:t>
      </w:r>
    </w:p>
    <w:p w14:paraId="6CE95FA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（2）环境风险潜势初判</w:t>
      </w:r>
    </w:p>
    <w:p w14:paraId="6549636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根据建设项目涉及的物质和工艺系统的危险性及其所在地的环境敏感程度，结合事故情形下环境影响途径，对建设项目潜在环境危害程度进行概化分析，建设项目环境风险潜势划分表见下表。</w:t>
      </w:r>
    </w:p>
    <w:p w14:paraId="1BEE60DD">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表2-5-</w:t>
      </w:r>
      <w:r>
        <w:rPr>
          <w:rFonts w:hint="eastAsia" w:cs="Times New Roman"/>
          <w:snapToGrid w:val="0"/>
          <w:color w:val="auto"/>
          <w:highlight w:val="none"/>
          <w:lang w:val="en-US" w:eastAsia="zh-CN"/>
        </w:rPr>
        <w:t>13</w:t>
      </w:r>
      <w:r>
        <w:rPr>
          <w:rFonts w:hint="default" w:ascii="Times New Roman" w:hAnsi="Times New Roman" w:cs="Times New Roman"/>
          <w:snapToGrid w:val="0"/>
          <w:color w:val="auto"/>
          <w:highlight w:val="none"/>
        </w:rPr>
        <w:t>建设项目环境风险潜势划分表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0"/>
        <w:gridCol w:w="1287"/>
        <w:gridCol w:w="1520"/>
        <w:gridCol w:w="1518"/>
        <w:gridCol w:w="1571"/>
      </w:tblGrid>
      <w:tr w14:paraId="4BE428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51" w:type="pct"/>
            <w:vMerge w:val="restart"/>
            <w:shd w:val="clear" w:color="auto" w:fill="auto"/>
            <w:vAlign w:val="center"/>
          </w:tcPr>
          <w:p w14:paraId="233535B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环境敏感程度（E）</w:t>
            </w:r>
          </w:p>
        </w:tc>
        <w:tc>
          <w:tcPr>
            <w:tcW w:w="3549" w:type="pct"/>
            <w:gridSpan w:val="4"/>
            <w:shd w:val="clear" w:color="auto" w:fill="auto"/>
            <w:vAlign w:val="center"/>
          </w:tcPr>
          <w:p w14:paraId="6C1804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危险物质及工艺系统危险性（P）</w:t>
            </w:r>
          </w:p>
        </w:tc>
      </w:tr>
      <w:tr w14:paraId="2306B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51" w:type="pct"/>
            <w:vMerge w:val="continue"/>
            <w:shd w:val="clear" w:color="auto" w:fill="auto"/>
            <w:vAlign w:val="center"/>
          </w:tcPr>
          <w:p w14:paraId="21E6DAA7">
            <w:pPr>
              <w:pStyle w:val="146"/>
              <w:rPr>
                <w:rFonts w:hint="default" w:ascii="Times New Roman" w:hAnsi="Times New Roman" w:eastAsia="宋体" w:cs="Times New Roman"/>
                <w:snapToGrid w:val="0"/>
                <w:color w:val="auto"/>
                <w:highlight w:val="none"/>
              </w:rPr>
            </w:pPr>
          </w:p>
        </w:tc>
        <w:tc>
          <w:tcPr>
            <w:tcW w:w="775" w:type="pct"/>
            <w:shd w:val="clear" w:color="auto" w:fill="auto"/>
            <w:vAlign w:val="center"/>
          </w:tcPr>
          <w:p w14:paraId="38F3D5C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极高危害（P1）</w:t>
            </w:r>
          </w:p>
        </w:tc>
        <w:tc>
          <w:tcPr>
            <w:tcW w:w="915" w:type="pct"/>
            <w:shd w:val="clear" w:color="auto" w:fill="auto"/>
            <w:vAlign w:val="center"/>
          </w:tcPr>
          <w:p w14:paraId="026C282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高度危害（P2）</w:t>
            </w:r>
          </w:p>
        </w:tc>
        <w:tc>
          <w:tcPr>
            <w:tcW w:w="914" w:type="pct"/>
            <w:shd w:val="clear" w:color="auto" w:fill="auto"/>
            <w:vAlign w:val="center"/>
          </w:tcPr>
          <w:p w14:paraId="2EFD7D7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中度危害（P3）</w:t>
            </w:r>
          </w:p>
        </w:tc>
        <w:tc>
          <w:tcPr>
            <w:tcW w:w="945" w:type="pct"/>
            <w:shd w:val="clear" w:color="auto" w:fill="auto"/>
            <w:vAlign w:val="center"/>
          </w:tcPr>
          <w:p w14:paraId="5B26A6F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轻度危害（P4）</w:t>
            </w:r>
          </w:p>
        </w:tc>
      </w:tr>
      <w:tr w14:paraId="0BF2E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51" w:type="pct"/>
            <w:shd w:val="clear" w:color="auto" w:fill="auto"/>
            <w:vAlign w:val="center"/>
          </w:tcPr>
          <w:p w14:paraId="5CEB0E9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环境高度敏感区（E1）</w:t>
            </w:r>
          </w:p>
        </w:tc>
        <w:tc>
          <w:tcPr>
            <w:tcW w:w="775" w:type="pct"/>
            <w:shd w:val="clear" w:color="auto" w:fill="auto"/>
            <w:vAlign w:val="center"/>
          </w:tcPr>
          <w:p w14:paraId="4181AC0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IV</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w:t>
            </w:r>
          </w:p>
        </w:tc>
        <w:tc>
          <w:tcPr>
            <w:tcW w:w="915" w:type="pct"/>
            <w:shd w:val="clear" w:color="auto" w:fill="auto"/>
            <w:vAlign w:val="center"/>
          </w:tcPr>
          <w:p w14:paraId="4CCEB10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IV</w:t>
            </w:r>
            <w:r>
              <w:rPr>
                <w:rFonts w:hint="default" w:ascii="Times New Roman" w:hAnsi="Times New Roman" w:eastAsia="宋体" w:cs="Times New Roman"/>
                <w:snapToGrid w:val="0"/>
                <w:color w:val="auto"/>
                <w:highlight w:val="none"/>
              </w:rPr>
              <w:fldChar w:fldCharType="end"/>
            </w:r>
          </w:p>
        </w:tc>
        <w:tc>
          <w:tcPr>
            <w:tcW w:w="914" w:type="pct"/>
            <w:shd w:val="clear" w:color="auto" w:fill="auto"/>
            <w:vAlign w:val="center"/>
          </w:tcPr>
          <w:p w14:paraId="0A9873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c>
          <w:tcPr>
            <w:tcW w:w="945" w:type="pct"/>
            <w:shd w:val="clear" w:color="auto" w:fill="auto"/>
            <w:vAlign w:val="center"/>
          </w:tcPr>
          <w:p w14:paraId="54052E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r>
      <w:tr w14:paraId="00EC5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51" w:type="pct"/>
            <w:shd w:val="clear" w:color="auto" w:fill="auto"/>
            <w:vAlign w:val="center"/>
          </w:tcPr>
          <w:p w14:paraId="49FC47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环境中度敏感区（E2）</w:t>
            </w:r>
          </w:p>
        </w:tc>
        <w:tc>
          <w:tcPr>
            <w:tcW w:w="775" w:type="pct"/>
            <w:shd w:val="clear" w:color="auto" w:fill="auto"/>
            <w:vAlign w:val="center"/>
          </w:tcPr>
          <w:p w14:paraId="76404CC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IV</w:t>
            </w:r>
            <w:r>
              <w:rPr>
                <w:rFonts w:hint="default" w:ascii="Times New Roman" w:hAnsi="Times New Roman" w:eastAsia="宋体" w:cs="Times New Roman"/>
                <w:snapToGrid w:val="0"/>
                <w:color w:val="auto"/>
                <w:highlight w:val="none"/>
              </w:rPr>
              <w:fldChar w:fldCharType="end"/>
            </w:r>
          </w:p>
        </w:tc>
        <w:tc>
          <w:tcPr>
            <w:tcW w:w="915" w:type="pct"/>
            <w:shd w:val="clear" w:color="auto" w:fill="auto"/>
            <w:vAlign w:val="center"/>
          </w:tcPr>
          <w:p w14:paraId="7F1EB13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c>
          <w:tcPr>
            <w:tcW w:w="914" w:type="pct"/>
            <w:shd w:val="clear" w:color="auto" w:fill="auto"/>
            <w:vAlign w:val="center"/>
          </w:tcPr>
          <w:p w14:paraId="6F7D39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c>
          <w:tcPr>
            <w:tcW w:w="945" w:type="pct"/>
            <w:shd w:val="clear" w:color="auto" w:fill="auto"/>
            <w:vAlign w:val="center"/>
          </w:tcPr>
          <w:p w14:paraId="07865CB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p>
        </w:tc>
      </w:tr>
      <w:tr w14:paraId="5AE24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51" w:type="pct"/>
            <w:shd w:val="clear" w:color="auto" w:fill="auto"/>
            <w:vAlign w:val="center"/>
          </w:tcPr>
          <w:p w14:paraId="2B1670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环境低度敏感区（E3）</w:t>
            </w:r>
          </w:p>
        </w:tc>
        <w:tc>
          <w:tcPr>
            <w:tcW w:w="775" w:type="pct"/>
            <w:shd w:val="clear" w:color="auto" w:fill="auto"/>
            <w:vAlign w:val="center"/>
          </w:tcPr>
          <w:p w14:paraId="225E15F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c>
          <w:tcPr>
            <w:tcW w:w="915" w:type="pct"/>
            <w:shd w:val="clear" w:color="auto" w:fill="auto"/>
            <w:vAlign w:val="center"/>
          </w:tcPr>
          <w:p w14:paraId="2E9A2D1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c>
          <w:tcPr>
            <w:tcW w:w="914" w:type="pct"/>
            <w:shd w:val="clear" w:color="auto" w:fill="auto"/>
            <w:vAlign w:val="center"/>
          </w:tcPr>
          <w:p w14:paraId="3A4FCC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p>
        </w:tc>
        <w:tc>
          <w:tcPr>
            <w:tcW w:w="945" w:type="pct"/>
            <w:shd w:val="clear" w:color="auto" w:fill="auto"/>
            <w:vAlign w:val="center"/>
          </w:tcPr>
          <w:p w14:paraId="3105025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p>
        </w:tc>
      </w:tr>
      <w:tr w14:paraId="03BEC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000" w:type="pct"/>
            <w:gridSpan w:val="5"/>
            <w:shd w:val="clear" w:color="auto" w:fill="auto"/>
            <w:vAlign w:val="center"/>
          </w:tcPr>
          <w:p w14:paraId="1DBB6A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注：Ⅳ</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为极高环境风险。</w:t>
            </w:r>
          </w:p>
        </w:tc>
      </w:tr>
      <w:bookmarkEnd w:id="115"/>
    </w:tbl>
    <w:p w14:paraId="729561D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（3）P的分级确定</w:t>
      </w:r>
    </w:p>
    <w:p w14:paraId="14C3D9F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建设项目生产、使用、储存过程中涉及的有毒有害、易燃易爆物质，参考附录B确定危险物质的临界量。定量分析危险物质数量与临界量的比值（Q）和所属行业及生产工艺特点（M），按附录C对危险物质及工艺系统危险性（P）等级进行判断。</w:t>
      </w:r>
    </w:p>
    <w:p w14:paraId="02F2F221">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eastAsia="zh-CN"/>
        </w:rPr>
        <w:t>（</w:t>
      </w:r>
      <w:r>
        <w:rPr>
          <w:rFonts w:hint="eastAsia" w:eastAsia="宋体" w:cs="Times New Roman"/>
          <w:color w:val="auto"/>
          <w:highlight w:val="none"/>
          <w:lang w:val="en-US" w:eastAsia="zh-CN"/>
        </w:rPr>
        <w:t>1</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危险物质数量与临界量的比值（Q）</w:t>
      </w:r>
    </w:p>
    <w:p w14:paraId="16A5AA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计算所涉及的每种危险物质在厂界内的最大存在总量与其在附录B中对应临界量的比值Q。</w:t>
      </w:r>
      <w:r>
        <w:rPr>
          <w:rFonts w:hint="default" w:ascii="Times New Roman" w:hAnsi="Times New Roman" w:eastAsia="宋体" w:cs="Times New Roman"/>
          <w:color w:val="auto"/>
          <w:szCs w:val="24"/>
          <w:highlight w:val="none"/>
        </w:rPr>
        <w:t>在不同厂区的同一种物质，按其在厂界内的最大存在总量计算。</w:t>
      </w:r>
    </w:p>
    <w:p w14:paraId="4084A21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当只涉及一种危险物质时，计算该物质的总量与其临界量比值，即为Q；</w:t>
      </w:r>
    </w:p>
    <w:p w14:paraId="1A8073A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当存在多种危险物质时，则按式（C.1）计算物质总量与其临界量比值（Q）：</w:t>
      </w:r>
    </w:p>
    <w:p w14:paraId="37502190">
      <w:pPr>
        <w:pStyle w:val="67"/>
        <w:spacing w:line="240" w:lineRule="auto"/>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highlight w:val="none"/>
        </w:rPr>
        <w:drawing>
          <wp:inline distT="0" distB="0" distL="0" distR="0">
            <wp:extent cx="3476625" cy="5048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476625" cy="504825"/>
                    </a:xfrm>
                    <a:prstGeom prst="rect">
                      <a:avLst/>
                    </a:prstGeom>
                    <a:noFill/>
                    <a:ln>
                      <a:noFill/>
                    </a:ln>
                  </pic:spPr>
                </pic:pic>
              </a:graphicData>
            </a:graphic>
          </wp:inline>
        </w:drawing>
      </w:r>
    </w:p>
    <w:p w14:paraId="68E684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——每种危险物质的最大存在总量，t；</w:t>
      </w:r>
    </w:p>
    <w:p w14:paraId="6C17904D">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——每种危险物质的临界量，t。</w:t>
      </w:r>
    </w:p>
    <w:p w14:paraId="72FC7F6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＜1时，该项目环境风险潜势为Ⅰ。</w:t>
      </w:r>
    </w:p>
    <w:p w14:paraId="5325FC3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≥1时，将</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值划分为：（1）1≤</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＜10；（2）10≤</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＜100；（3）</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≥100。</w:t>
      </w:r>
    </w:p>
    <w:p w14:paraId="10319356">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根据《建设项目环境风险评价技术导则》（HJ169-2018）附录B可知，</w:t>
      </w:r>
      <w:r>
        <w:rPr>
          <w:rFonts w:hint="default" w:ascii="Times New Roman" w:hAnsi="Times New Roman" w:eastAsia="宋体" w:cs="Times New Roman"/>
          <w:color w:val="auto"/>
          <w:highlight w:val="none"/>
        </w:rPr>
        <w:t>本项目主要风险物质为</w:t>
      </w:r>
      <w:r>
        <w:rPr>
          <w:rFonts w:hint="default" w:ascii="Times New Roman" w:hAnsi="Times New Roman" w:eastAsia="宋体" w:cs="Times New Roman"/>
          <w:color w:val="auto"/>
          <w:highlight w:val="none"/>
          <w:lang w:val="en-US" w:eastAsia="zh-CN"/>
        </w:rPr>
        <w:t>消毒剂</w:t>
      </w:r>
      <w:r>
        <w:rPr>
          <w:rFonts w:hint="eastAsia" w:ascii="Times New Roman" w:hAnsi="Times New Roman" w:eastAsia="宋体" w:cs="Times New Roman"/>
          <w:color w:val="auto"/>
          <w:highlight w:val="none"/>
          <w:lang w:val="en-US" w:eastAsia="zh-CN"/>
        </w:rPr>
        <w:t>（次氯酸钠）</w:t>
      </w:r>
      <w:r>
        <w:rPr>
          <w:rFonts w:hint="eastAsia" w:eastAsia="宋体" w:cs="Times New Roman"/>
          <w:color w:val="auto"/>
          <w:highlight w:val="none"/>
          <w:lang w:val="en-US" w:eastAsia="zh-CN"/>
        </w:rPr>
        <w:t>、</w:t>
      </w:r>
      <w:r>
        <w:rPr>
          <w:rFonts w:hint="eastAsia" w:eastAsia="宋体" w:cs="Times New Roman"/>
          <w:snapToGrid w:val="0"/>
          <w:color w:val="auto"/>
          <w:highlight w:val="none"/>
          <w:lang w:val="en-US" w:eastAsia="zh-CN"/>
        </w:rPr>
        <w:t>CODcr浓度≥10000mg/L的有机废液及NH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zh-CN"/>
        </w:rPr>
        <w:t>拟建项目Q值判定结果见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lang w:val="zh-CN"/>
        </w:rPr>
        <w:t>表。</w:t>
      </w:r>
    </w:p>
    <w:p w14:paraId="21C4D234">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表2-5-1</w:t>
      </w:r>
      <w:r>
        <w:rPr>
          <w:rFonts w:hint="eastAsia" w:cs="Times New Roman"/>
          <w:color w:val="auto"/>
          <w:highlight w:val="none"/>
          <w:lang w:val="en-US" w:eastAsia="zh-CN"/>
        </w:rPr>
        <w:t>4</w:t>
      </w:r>
      <w:r>
        <w:rPr>
          <w:rFonts w:hint="default" w:ascii="Times New Roman" w:hAnsi="Times New Roman" w:cs="Times New Roman"/>
          <w:color w:val="auto"/>
          <w:highlight w:val="none"/>
        </w:rPr>
        <w:t>项目危险物质存储情况</w:t>
      </w:r>
    </w:p>
    <w:tbl>
      <w:tblPr>
        <w:tblStyle w:val="47"/>
        <w:tblW w:w="48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2020"/>
        <w:gridCol w:w="1154"/>
        <w:gridCol w:w="1365"/>
        <w:gridCol w:w="1475"/>
        <w:gridCol w:w="1326"/>
      </w:tblGrid>
      <w:tr w14:paraId="23773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465" w:type="pct"/>
            <w:shd w:val="clear" w:color="auto" w:fill="auto"/>
            <w:vAlign w:val="center"/>
          </w:tcPr>
          <w:p w14:paraId="151433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序号</w:t>
            </w:r>
          </w:p>
        </w:tc>
        <w:tc>
          <w:tcPr>
            <w:tcW w:w="1248" w:type="pct"/>
            <w:shd w:val="clear" w:color="auto" w:fill="auto"/>
            <w:vAlign w:val="center"/>
          </w:tcPr>
          <w:p w14:paraId="66BCB8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物质名称</w:t>
            </w:r>
          </w:p>
        </w:tc>
        <w:tc>
          <w:tcPr>
            <w:tcW w:w="713" w:type="pct"/>
            <w:vAlign w:val="center"/>
          </w:tcPr>
          <w:p w14:paraId="6ABB140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CAS号</w:t>
            </w:r>
          </w:p>
        </w:tc>
        <w:tc>
          <w:tcPr>
            <w:tcW w:w="843" w:type="pct"/>
            <w:shd w:val="clear" w:color="auto" w:fill="auto"/>
            <w:vAlign w:val="center"/>
          </w:tcPr>
          <w:p w14:paraId="595053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临界量</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/t</w:t>
            </w:r>
          </w:p>
        </w:tc>
        <w:tc>
          <w:tcPr>
            <w:tcW w:w="910" w:type="pct"/>
            <w:shd w:val="clear" w:color="auto" w:fill="auto"/>
            <w:vAlign w:val="center"/>
          </w:tcPr>
          <w:p w14:paraId="00B557B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单元实际储存量（</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/t</w:t>
            </w:r>
            <w:r>
              <w:rPr>
                <w:rFonts w:hint="default" w:ascii="Times New Roman" w:hAnsi="Times New Roman" w:eastAsia="宋体" w:cs="Times New Roman"/>
                <w:snapToGrid w:val="0"/>
                <w:color w:val="auto"/>
                <w:highlight w:val="none"/>
              </w:rPr>
              <w:t>）</w:t>
            </w:r>
          </w:p>
        </w:tc>
        <w:tc>
          <w:tcPr>
            <w:tcW w:w="819" w:type="pct"/>
            <w:shd w:val="clear" w:color="auto" w:fill="auto"/>
            <w:vAlign w:val="center"/>
          </w:tcPr>
          <w:p w14:paraId="57D21B6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q/Q</w:t>
            </w:r>
          </w:p>
        </w:tc>
      </w:tr>
      <w:tr w14:paraId="4F739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2362CA0E">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1</w:t>
            </w:r>
          </w:p>
        </w:tc>
        <w:tc>
          <w:tcPr>
            <w:tcW w:w="1248" w:type="pct"/>
            <w:shd w:val="clear" w:color="auto" w:fill="auto"/>
            <w:vAlign w:val="center"/>
          </w:tcPr>
          <w:p w14:paraId="1B67595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次氯酸钠</w:t>
            </w:r>
          </w:p>
        </w:tc>
        <w:tc>
          <w:tcPr>
            <w:tcW w:w="713" w:type="pct"/>
            <w:vAlign w:val="center"/>
          </w:tcPr>
          <w:p w14:paraId="629E4FF5">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7681-52-9</w:t>
            </w:r>
          </w:p>
        </w:tc>
        <w:tc>
          <w:tcPr>
            <w:tcW w:w="843" w:type="pct"/>
            <w:shd w:val="clear" w:color="auto" w:fill="auto"/>
            <w:vAlign w:val="center"/>
          </w:tcPr>
          <w:p w14:paraId="482A6ED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910" w:type="pct"/>
            <w:shd w:val="clear" w:color="auto" w:fill="auto"/>
            <w:vAlign w:val="center"/>
          </w:tcPr>
          <w:p w14:paraId="76174C7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2.0</w:t>
            </w:r>
          </w:p>
        </w:tc>
        <w:tc>
          <w:tcPr>
            <w:tcW w:w="819" w:type="pct"/>
            <w:shd w:val="clear" w:color="auto" w:fill="auto"/>
            <w:vAlign w:val="center"/>
          </w:tcPr>
          <w:p w14:paraId="6C8959E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.4</w:t>
            </w:r>
          </w:p>
        </w:tc>
      </w:tr>
      <w:tr w14:paraId="1C168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30F4A3A4">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w:t>
            </w:r>
          </w:p>
        </w:tc>
        <w:tc>
          <w:tcPr>
            <w:tcW w:w="1248" w:type="pct"/>
            <w:shd w:val="clear" w:color="auto" w:fill="auto"/>
            <w:vAlign w:val="center"/>
          </w:tcPr>
          <w:p w14:paraId="7E86E11E">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CODcr浓度≥10000mg/L的有机废液</w:t>
            </w:r>
          </w:p>
        </w:tc>
        <w:tc>
          <w:tcPr>
            <w:tcW w:w="713" w:type="pct"/>
            <w:vAlign w:val="center"/>
          </w:tcPr>
          <w:p w14:paraId="0756BC7A">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w:t>
            </w:r>
          </w:p>
        </w:tc>
        <w:tc>
          <w:tcPr>
            <w:tcW w:w="843" w:type="pct"/>
            <w:shd w:val="clear" w:color="auto" w:fill="auto"/>
            <w:vAlign w:val="center"/>
          </w:tcPr>
          <w:p w14:paraId="71942E7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w:t>
            </w:r>
          </w:p>
        </w:tc>
        <w:tc>
          <w:tcPr>
            <w:tcW w:w="910" w:type="pct"/>
            <w:shd w:val="clear" w:color="auto" w:fill="auto"/>
            <w:vAlign w:val="center"/>
          </w:tcPr>
          <w:p w14:paraId="03432697">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16.8</w:t>
            </w:r>
          </w:p>
        </w:tc>
        <w:tc>
          <w:tcPr>
            <w:tcW w:w="819" w:type="pct"/>
            <w:shd w:val="clear" w:color="auto" w:fill="auto"/>
            <w:vAlign w:val="center"/>
          </w:tcPr>
          <w:p w14:paraId="2AFA662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1.68</w:t>
            </w:r>
          </w:p>
        </w:tc>
      </w:tr>
      <w:tr w14:paraId="30212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4A1E2332">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w:t>
            </w:r>
          </w:p>
        </w:tc>
        <w:tc>
          <w:tcPr>
            <w:tcW w:w="1248" w:type="pct"/>
            <w:shd w:val="clear" w:color="auto" w:fill="auto"/>
            <w:vAlign w:val="center"/>
          </w:tcPr>
          <w:p w14:paraId="773F2464">
            <w:pPr>
              <w:pStyle w:val="146"/>
              <w:rPr>
                <w:rFonts w:hint="eastAsia"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p>
        </w:tc>
        <w:tc>
          <w:tcPr>
            <w:tcW w:w="713" w:type="pct"/>
            <w:vAlign w:val="center"/>
          </w:tcPr>
          <w:p w14:paraId="7A1A9832">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w:t>
            </w:r>
          </w:p>
        </w:tc>
        <w:tc>
          <w:tcPr>
            <w:tcW w:w="843" w:type="pct"/>
            <w:shd w:val="clear" w:color="auto" w:fill="auto"/>
            <w:vAlign w:val="center"/>
          </w:tcPr>
          <w:p w14:paraId="1F468BF8">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5</w:t>
            </w:r>
          </w:p>
        </w:tc>
        <w:tc>
          <w:tcPr>
            <w:tcW w:w="910" w:type="pct"/>
            <w:shd w:val="clear" w:color="auto" w:fill="auto"/>
            <w:vAlign w:val="center"/>
          </w:tcPr>
          <w:p w14:paraId="0DE1DD79">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16.8</w:t>
            </w:r>
          </w:p>
        </w:tc>
        <w:tc>
          <w:tcPr>
            <w:tcW w:w="819" w:type="pct"/>
            <w:shd w:val="clear" w:color="auto" w:fill="auto"/>
            <w:vAlign w:val="center"/>
          </w:tcPr>
          <w:p w14:paraId="449E565B">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3.36</w:t>
            </w:r>
          </w:p>
        </w:tc>
      </w:tr>
      <w:tr w14:paraId="3A873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713" w:type="pct"/>
            <w:gridSpan w:val="2"/>
            <w:shd w:val="clear" w:color="auto" w:fill="auto"/>
            <w:vAlign w:val="center"/>
          </w:tcPr>
          <w:p w14:paraId="4D6650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总计</w:t>
            </w:r>
          </w:p>
        </w:tc>
        <w:tc>
          <w:tcPr>
            <w:tcW w:w="2467" w:type="pct"/>
            <w:gridSpan w:val="3"/>
            <w:vAlign w:val="center"/>
          </w:tcPr>
          <w:p w14:paraId="3E171752">
            <w:pPr>
              <w:pStyle w:val="146"/>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i/>
                <w:iCs/>
                <w:color w:val="auto"/>
                <w:highlight w:val="none"/>
              </w:rPr>
              <w:t>Q</w:t>
            </w:r>
            <w:r>
              <w:rPr>
                <w:rFonts w:hint="default" w:ascii="Times New Roman" w:hAnsi="Times New Roman" w:eastAsia="宋体" w:cs="Times New Roman"/>
                <w:color w:val="auto"/>
                <w:highlight w:val="none"/>
              </w:rPr>
              <w:t>值Σ</w:t>
            </w:r>
          </w:p>
        </w:tc>
        <w:tc>
          <w:tcPr>
            <w:tcW w:w="819" w:type="pct"/>
            <w:shd w:val="clear" w:color="auto" w:fill="auto"/>
            <w:vAlign w:val="center"/>
          </w:tcPr>
          <w:p w14:paraId="19422514">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5.44</w:t>
            </w:r>
          </w:p>
        </w:tc>
      </w:tr>
    </w:tbl>
    <w:p w14:paraId="001210FC">
      <w:pPr>
        <w:widowControl w:val="0"/>
        <w:kinsoku/>
        <w:autoSpaceDE/>
        <w:autoSpaceDN/>
        <w:adjustRightInd/>
        <w:snapToGrid/>
        <w:spacing w:line="480" w:lineRule="exact"/>
        <w:ind w:firstLine="472" w:firstLineChars="200"/>
        <w:jc w:val="both"/>
        <w:textAlignment w:val="auto"/>
        <w:rPr>
          <w:rFonts w:ascii="Times New Roman" w:hAnsi="Times New Roman" w:cs="Times New Roman"/>
          <w:color w:val="auto"/>
          <w:spacing w:val="-2"/>
          <w:sz w:val="24"/>
          <w:szCs w:val="24"/>
          <w:highlight w:val="none"/>
        </w:rPr>
      </w:pPr>
      <w:r>
        <w:rPr>
          <w:rFonts w:ascii="Times New Roman" w:hAnsi="Times New Roman" w:cs="Times New Roman"/>
          <w:color w:val="auto"/>
          <w:spacing w:val="-2"/>
          <w:sz w:val="24"/>
          <w:szCs w:val="24"/>
          <w:highlight w:val="none"/>
        </w:rPr>
        <w:t>（2）行业及生产工艺（M）</w:t>
      </w:r>
    </w:p>
    <w:p w14:paraId="502243E0">
      <w:pPr>
        <w:widowControl w:val="0"/>
        <w:kinsoku/>
        <w:autoSpaceDE/>
        <w:autoSpaceDN/>
        <w:adjustRightInd/>
        <w:snapToGrid/>
        <w:spacing w:line="480" w:lineRule="exact"/>
        <w:ind w:firstLine="480" w:firstLineChars="200"/>
        <w:jc w:val="both"/>
        <w:textAlignment w:val="auto"/>
        <w:rPr>
          <w:rFonts w:ascii="Times New Roman" w:hAnsi="Times New Roman" w:cs="Times New Roman"/>
          <w:color w:val="auto"/>
          <w:spacing w:val="-2"/>
          <w:sz w:val="24"/>
          <w:szCs w:val="24"/>
          <w:highlight w:val="none"/>
        </w:rPr>
      </w:pPr>
      <w:r>
        <w:rPr>
          <w:rFonts w:ascii="Times New Roman" w:hAnsi="Times New Roman" w:cs="Times New Roman"/>
          <w:color w:val="auto"/>
          <w:sz w:val="24"/>
          <w:szCs w:val="24"/>
          <w:highlight w:val="none"/>
        </w:rPr>
        <w:t>根据《建设项目环境风险评价技术导则》（HJ169-2018）中“附录C中C.1.2可知，应</w:t>
      </w:r>
      <w:r>
        <w:rPr>
          <w:rFonts w:ascii="Times New Roman" w:hAnsi="Times New Roman" w:cs="Times New Roman"/>
          <w:color w:val="auto"/>
          <w:spacing w:val="-2"/>
          <w:sz w:val="24"/>
          <w:szCs w:val="24"/>
          <w:highlight w:val="none"/>
        </w:rPr>
        <w:t>分析项目所属行业及生产工艺特点，按照“附录C中表C.1评估生产工艺情况”。具有多套工艺单元的项目，对每套生产工艺分别评分并求和。将M划分为M＞20；10＜M≤20；5＜M≤10；M=5，分别以M1、M2、M3和M4表示。</w:t>
      </w:r>
    </w:p>
    <w:p w14:paraId="4D92C849">
      <w:pPr>
        <w:pStyle w:val="38"/>
        <w:spacing w:line="480" w:lineRule="exact"/>
        <w:ind w:left="0" w:firstLine="472" w:firstLineChars="200"/>
        <w:jc w:val="both"/>
        <w:rPr>
          <w:rFonts w:cs="Times New Roman"/>
          <w:color w:val="auto"/>
          <w:highlight w:val="none"/>
        </w:rPr>
      </w:pPr>
      <w:r>
        <w:rPr>
          <w:rFonts w:cs="Times New Roman"/>
          <w:color w:val="auto"/>
          <w:spacing w:val="-2"/>
          <w:sz w:val="24"/>
          <w:szCs w:val="24"/>
          <w:highlight w:val="none"/>
        </w:rPr>
        <w:t>本项目判定结果：本项目属于危险物质使用、贮存的项目，通过计算可知本项目M值为5，行业及生产工艺等级为M4。</w:t>
      </w:r>
      <w:r>
        <w:rPr>
          <w:rFonts w:eastAsia="宋体" w:cs="Times New Roman"/>
          <w:color w:val="auto"/>
          <w:spacing w:val="-2"/>
          <w:sz w:val="24"/>
          <w:szCs w:val="24"/>
          <w:highlight w:val="none"/>
        </w:rPr>
        <w:t>本项目行业及生产工艺M值计算情况见表</w:t>
      </w:r>
      <w:r>
        <w:rPr>
          <w:rFonts w:hint="eastAsia" w:cs="Times New Roman"/>
          <w:color w:val="auto"/>
          <w:spacing w:val="-2"/>
          <w:sz w:val="24"/>
          <w:szCs w:val="24"/>
          <w:highlight w:val="none"/>
          <w:lang w:val="en-US" w:eastAsia="zh-CN"/>
        </w:rPr>
        <w:t>2-5-15</w:t>
      </w:r>
      <w:r>
        <w:rPr>
          <w:rFonts w:eastAsia="宋体" w:cs="Times New Roman"/>
          <w:color w:val="auto"/>
          <w:spacing w:val="-2"/>
          <w:sz w:val="24"/>
          <w:szCs w:val="24"/>
          <w:highlight w:val="none"/>
        </w:rPr>
        <w:t>。</w:t>
      </w:r>
    </w:p>
    <w:p w14:paraId="131A6CD1">
      <w:pPr>
        <w:widowControl w:val="0"/>
        <w:kinsoku/>
        <w:autoSpaceDE/>
        <w:autoSpaceDN/>
        <w:adjustRightInd/>
        <w:snapToGrid/>
        <w:spacing w:line="480" w:lineRule="exact"/>
        <w:ind w:firstLine="482"/>
        <w:jc w:val="center"/>
        <w:textAlignment w:val="auto"/>
        <w:rPr>
          <w:rFonts w:ascii="Times New Roman" w:hAnsi="Times New Roman" w:eastAsia="宋体" w:cs="Times New Roman"/>
          <w:b/>
          <w:bCs/>
          <w:color w:val="auto"/>
          <w:sz w:val="24"/>
          <w:szCs w:val="24"/>
          <w:highlight w:val="none"/>
        </w:rPr>
      </w:pPr>
      <w:r>
        <w:rPr>
          <w:rFonts w:hint="default" w:ascii="Times New Roman" w:hAnsi="Times New Roman" w:eastAsia="黑体" w:cs="Times New Roman"/>
          <w:b w:val="0"/>
          <w:bCs w:val="0"/>
          <w:color w:val="auto"/>
          <w:sz w:val="24"/>
          <w:szCs w:val="24"/>
          <w:highlight w:val="none"/>
        </w:rPr>
        <w:t>表</w:t>
      </w:r>
      <w:r>
        <w:rPr>
          <w:rFonts w:hint="default" w:ascii="Times New Roman" w:hAnsi="Times New Roman" w:eastAsia="黑体" w:cs="Times New Roman"/>
          <w:b w:val="0"/>
          <w:bCs w:val="0"/>
          <w:color w:val="auto"/>
          <w:sz w:val="24"/>
          <w:szCs w:val="24"/>
          <w:highlight w:val="none"/>
          <w:lang w:val="en-US" w:eastAsia="zh-CN"/>
        </w:rPr>
        <w:t>2-5-15</w:t>
      </w:r>
      <w:r>
        <w:rPr>
          <w:rFonts w:hint="default" w:ascii="Times New Roman" w:hAnsi="Times New Roman" w:eastAsia="黑体" w:cs="Times New Roman"/>
          <w:b w:val="0"/>
          <w:bCs w:val="0"/>
          <w:color w:val="auto"/>
          <w:sz w:val="24"/>
          <w:szCs w:val="24"/>
          <w:highlight w:val="none"/>
        </w:rPr>
        <w:t xml:space="preserve"> 本项目M值确定表</w:t>
      </w:r>
    </w:p>
    <w:tbl>
      <w:tblPr>
        <w:tblStyle w:val="47"/>
        <w:tblW w:w="852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4608"/>
        <w:gridCol w:w="922"/>
        <w:gridCol w:w="947"/>
      </w:tblGrid>
      <w:tr w14:paraId="10127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tcBorders>
              <w:top w:val="single" w:color="auto" w:sz="12" w:space="0"/>
              <w:left w:val="nil"/>
            </w:tcBorders>
            <w:vAlign w:val="center"/>
          </w:tcPr>
          <w:p w14:paraId="77CD4EA9">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行业</w:t>
            </w:r>
          </w:p>
        </w:tc>
        <w:tc>
          <w:tcPr>
            <w:tcW w:w="4608" w:type="dxa"/>
            <w:tcBorders>
              <w:top w:val="single" w:color="auto" w:sz="12" w:space="0"/>
            </w:tcBorders>
            <w:vAlign w:val="center"/>
          </w:tcPr>
          <w:p w14:paraId="1A4FA734">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评估依据</w:t>
            </w:r>
          </w:p>
        </w:tc>
        <w:tc>
          <w:tcPr>
            <w:tcW w:w="922" w:type="dxa"/>
            <w:tcBorders>
              <w:top w:val="single" w:color="auto" w:sz="12" w:space="0"/>
            </w:tcBorders>
            <w:vAlign w:val="center"/>
          </w:tcPr>
          <w:p w14:paraId="7CCE2877">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分值</w:t>
            </w:r>
          </w:p>
        </w:tc>
        <w:tc>
          <w:tcPr>
            <w:tcW w:w="947" w:type="dxa"/>
            <w:tcBorders>
              <w:top w:val="single" w:color="auto" w:sz="12" w:space="0"/>
              <w:right w:val="nil"/>
            </w:tcBorders>
            <w:vAlign w:val="center"/>
          </w:tcPr>
          <w:p w14:paraId="0BF34E60">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本项目</w:t>
            </w:r>
          </w:p>
        </w:tc>
      </w:tr>
      <w:tr w14:paraId="7EADF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2052" w:type="dxa"/>
            <w:vMerge w:val="restart"/>
            <w:tcBorders>
              <w:left w:val="nil"/>
            </w:tcBorders>
            <w:vAlign w:val="center"/>
          </w:tcPr>
          <w:p w14:paraId="2F7177BF">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石化、化工、医药、轻工、化纤、有色冶炼等</w:t>
            </w:r>
          </w:p>
        </w:tc>
        <w:tc>
          <w:tcPr>
            <w:tcW w:w="4608" w:type="dxa"/>
            <w:vAlign w:val="center"/>
          </w:tcPr>
          <w:p w14:paraId="2F0BA1CB">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22" w:type="dxa"/>
            <w:vAlign w:val="center"/>
          </w:tcPr>
          <w:p w14:paraId="6C4AC68E">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10/套</w:t>
            </w:r>
          </w:p>
        </w:tc>
        <w:tc>
          <w:tcPr>
            <w:tcW w:w="947" w:type="dxa"/>
            <w:tcBorders>
              <w:right w:val="nil"/>
            </w:tcBorders>
            <w:vAlign w:val="center"/>
          </w:tcPr>
          <w:p w14:paraId="0BB01F50">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0</w:t>
            </w:r>
          </w:p>
        </w:tc>
      </w:tr>
      <w:tr w14:paraId="66A287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vMerge w:val="continue"/>
            <w:tcBorders>
              <w:left w:val="nil"/>
            </w:tcBorders>
            <w:vAlign w:val="center"/>
          </w:tcPr>
          <w:p w14:paraId="7419B325">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p>
        </w:tc>
        <w:tc>
          <w:tcPr>
            <w:tcW w:w="4608" w:type="dxa"/>
            <w:vAlign w:val="center"/>
          </w:tcPr>
          <w:p w14:paraId="18FA85C2">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无机酸制酸工艺、焦化工艺</w:t>
            </w:r>
          </w:p>
        </w:tc>
        <w:tc>
          <w:tcPr>
            <w:tcW w:w="922" w:type="dxa"/>
            <w:vAlign w:val="center"/>
          </w:tcPr>
          <w:p w14:paraId="5DEA2BEE">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5/套</w:t>
            </w:r>
          </w:p>
        </w:tc>
        <w:tc>
          <w:tcPr>
            <w:tcW w:w="947" w:type="dxa"/>
            <w:tcBorders>
              <w:right w:val="nil"/>
            </w:tcBorders>
            <w:vAlign w:val="center"/>
          </w:tcPr>
          <w:p w14:paraId="7BA43C19">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0</w:t>
            </w:r>
          </w:p>
        </w:tc>
      </w:tr>
      <w:tr w14:paraId="790235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vMerge w:val="continue"/>
            <w:tcBorders>
              <w:left w:val="nil"/>
            </w:tcBorders>
            <w:vAlign w:val="center"/>
          </w:tcPr>
          <w:p w14:paraId="04420738">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p>
        </w:tc>
        <w:tc>
          <w:tcPr>
            <w:tcW w:w="4608" w:type="dxa"/>
            <w:vAlign w:val="center"/>
          </w:tcPr>
          <w:p w14:paraId="741BA716">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其他高温或高压，且涉及危险物质的工艺过程、危险物质贮存罐区</w:t>
            </w:r>
          </w:p>
        </w:tc>
        <w:tc>
          <w:tcPr>
            <w:tcW w:w="922" w:type="dxa"/>
            <w:vAlign w:val="center"/>
          </w:tcPr>
          <w:p w14:paraId="63E5FC96">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5/套（罐区）</w:t>
            </w:r>
          </w:p>
        </w:tc>
        <w:tc>
          <w:tcPr>
            <w:tcW w:w="947" w:type="dxa"/>
            <w:tcBorders>
              <w:right w:val="nil"/>
            </w:tcBorders>
            <w:vAlign w:val="center"/>
          </w:tcPr>
          <w:p w14:paraId="0918019A">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0</w:t>
            </w:r>
          </w:p>
        </w:tc>
      </w:tr>
      <w:tr w14:paraId="38DF95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tcBorders>
              <w:left w:val="nil"/>
            </w:tcBorders>
            <w:vAlign w:val="center"/>
          </w:tcPr>
          <w:p w14:paraId="64BD1811">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管道、港口/码头等</w:t>
            </w:r>
          </w:p>
        </w:tc>
        <w:tc>
          <w:tcPr>
            <w:tcW w:w="4608" w:type="dxa"/>
            <w:vAlign w:val="center"/>
          </w:tcPr>
          <w:p w14:paraId="45511F5D">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涉及危险物质管道运输项目、港口/码头等</w:t>
            </w:r>
          </w:p>
        </w:tc>
        <w:tc>
          <w:tcPr>
            <w:tcW w:w="922" w:type="dxa"/>
            <w:vAlign w:val="center"/>
          </w:tcPr>
          <w:p w14:paraId="542D0ECC">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10</w:t>
            </w:r>
          </w:p>
        </w:tc>
        <w:tc>
          <w:tcPr>
            <w:tcW w:w="947" w:type="dxa"/>
            <w:tcBorders>
              <w:right w:val="nil"/>
            </w:tcBorders>
            <w:vAlign w:val="center"/>
          </w:tcPr>
          <w:p w14:paraId="5F9D840B">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0</w:t>
            </w:r>
          </w:p>
        </w:tc>
      </w:tr>
      <w:tr w14:paraId="194E2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tcBorders>
              <w:left w:val="nil"/>
            </w:tcBorders>
            <w:vAlign w:val="center"/>
          </w:tcPr>
          <w:p w14:paraId="7470909A">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石油天然气</w:t>
            </w:r>
          </w:p>
        </w:tc>
        <w:tc>
          <w:tcPr>
            <w:tcW w:w="4608" w:type="dxa"/>
            <w:vAlign w:val="center"/>
          </w:tcPr>
          <w:p w14:paraId="1D686307">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石油、天然气、页岩气开采（含净化），气库（不含加气站的气库），油库（不含加气站的油库）、油气管线（不含城镇燃气管道）</w:t>
            </w:r>
          </w:p>
        </w:tc>
        <w:tc>
          <w:tcPr>
            <w:tcW w:w="922" w:type="dxa"/>
            <w:vAlign w:val="center"/>
          </w:tcPr>
          <w:p w14:paraId="48ABB96B">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10</w:t>
            </w:r>
          </w:p>
        </w:tc>
        <w:tc>
          <w:tcPr>
            <w:tcW w:w="947" w:type="dxa"/>
            <w:tcBorders>
              <w:right w:val="nil"/>
            </w:tcBorders>
            <w:vAlign w:val="center"/>
          </w:tcPr>
          <w:p w14:paraId="7EF50859">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0</w:t>
            </w:r>
          </w:p>
        </w:tc>
      </w:tr>
      <w:tr w14:paraId="059730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tcBorders>
              <w:left w:val="nil"/>
            </w:tcBorders>
            <w:vAlign w:val="center"/>
          </w:tcPr>
          <w:p w14:paraId="672CBD42">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其他</w:t>
            </w:r>
          </w:p>
        </w:tc>
        <w:tc>
          <w:tcPr>
            <w:tcW w:w="4608" w:type="dxa"/>
            <w:vAlign w:val="center"/>
          </w:tcPr>
          <w:p w14:paraId="3A658876">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涉及危险物质使用、贮存的项目</w:t>
            </w:r>
          </w:p>
        </w:tc>
        <w:tc>
          <w:tcPr>
            <w:tcW w:w="922" w:type="dxa"/>
            <w:vAlign w:val="center"/>
          </w:tcPr>
          <w:p w14:paraId="6430D787">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5</w:t>
            </w:r>
          </w:p>
        </w:tc>
        <w:tc>
          <w:tcPr>
            <w:tcW w:w="947" w:type="dxa"/>
            <w:tcBorders>
              <w:right w:val="nil"/>
            </w:tcBorders>
            <w:vAlign w:val="center"/>
          </w:tcPr>
          <w:p w14:paraId="40C94CE1">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5</w:t>
            </w:r>
          </w:p>
        </w:tc>
      </w:tr>
      <w:tr w14:paraId="7F28D1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2" w:type="dxa"/>
            <w:tcBorders>
              <w:left w:val="nil"/>
            </w:tcBorders>
            <w:vAlign w:val="center"/>
          </w:tcPr>
          <w:p w14:paraId="14351302">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合计</w:t>
            </w:r>
          </w:p>
        </w:tc>
        <w:tc>
          <w:tcPr>
            <w:tcW w:w="4608" w:type="dxa"/>
            <w:vAlign w:val="center"/>
          </w:tcPr>
          <w:p w14:paraId="5326F97C">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p>
        </w:tc>
        <w:tc>
          <w:tcPr>
            <w:tcW w:w="922" w:type="dxa"/>
            <w:vAlign w:val="center"/>
          </w:tcPr>
          <w:p w14:paraId="193DE802">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w:t>
            </w:r>
          </w:p>
        </w:tc>
        <w:tc>
          <w:tcPr>
            <w:tcW w:w="947" w:type="dxa"/>
            <w:tcBorders>
              <w:right w:val="nil"/>
            </w:tcBorders>
            <w:vAlign w:val="center"/>
          </w:tcPr>
          <w:p w14:paraId="76FA6605">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5</w:t>
            </w:r>
          </w:p>
        </w:tc>
      </w:tr>
      <w:tr w14:paraId="4447E1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9" w:type="dxa"/>
            <w:gridSpan w:val="4"/>
            <w:tcBorders>
              <w:left w:val="nil"/>
              <w:bottom w:val="single" w:color="auto" w:sz="12" w:space="0"/>
              <w:right w:val="nil"/>
            </w:tcBorders>
            <w:vAlign w:val="center"/>
          </w:tcPr>
          <w:p w14:paraId="5BEA422F">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高温指工艺温度≥300℃，高压指压力容器的设计压力（P）≥10.0MPa；</w:t>
            </w:r>
          </w:p>
          <w:p w14:paraId="44F9F564">
            <w:pPr>
              <w:widowControl w:val="0"/>
              <w:kinsoku/>
              <w:autoSpaceDE/>
              <w:autoSpaceDN/>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长输管道运输项目应按战场、管线分段进行评价。</w:t>
            </w:r>
          </w:p>
        </w:tc>
      </w:tr>
    </w:tbl>
    <w:p w14:paraId="14B16BCD">
      <w:pPr>
        <w:widowControl w:val="0"/>
        <w:kinsoku/>
        <w:autoSpaceDE/>
        <w:autoSpaceDN/>
        <w:adjustRightInd/>
        <w:snapToGrid/>
        <w:spacing w:line="480" w:lineRule="exact"/>
        <w:ind w:firstLine="472" w:firstLineChars="200"/>
        <w:jc w:val="both"/>
        <w:textAlignment w:val="auto"/>
        <w:rPr>
          <w:rFonts w:ascii="Times New Roman" w:hAnsi="Times New Roman" w:cs="Times New Roman"/>
          <w:color w:val="auto"/>
          <w:spacing w:val="-2"/>
          <w:sz w:val="24"/>
          <w:szCs w:val="24"/>
          <w:highlight w:val="none"/>
        </w:rPr>
      </w:pPr>
      <w:r>
        <w:rPr>
          <w:rFonts w:ascii="Times New Roman" w:hAnsi="Times New Roman" w:cs="Times New Roman"/>
          <w:color w:val="auto"/>
          <w:spacing w:val="-2"/>
          <w:sz w:val="24"/>
          <w:szCs w:val="24"/>
          <w:highlight w:val="none"/>
        </w:rPr>
        <w:t>本项目判定结果：根据上述分析结果并结合</w:t>
      </w:r>
      <w:r>
        <w:rPr>
          <w:rFonts w:ascii="Times New Roman" w:hAnsi="Times New Roman" w:cs="Times New Roman"/>
          <w:color w:val="auto"/>
          <w:sz w:val="24"/>
          <w:szCs w:val="24"/>
          <w:highlight w:val="none"/>
        </w:rPr>
        <w:t>《建设项目环境风险评价技术导则》（HJ169-2018）</w:t>
      </w:r>
      <w:r>
        <w:rPr>
          <w:rFonts w:ascii="Times New Roman" w:hAnsi="Times New Roman" w:cs="Times New Roman"/>
          <w:color w:val="auto"/>
          <w:spacing w:val="-2"/>
          <w:sz w:val="24"/>
          <w:szCs w:val="24"/>
          <w:highlight w:val="none"/>
        </w:rPr>
        <w:t>中“附录C中表C.2即表</w:t>
      </w:r>
      <w:r>
        <w:rPr>
          <w:rFonts w:hint="eastAsia" w:cs="Times New Roman"/>
          <w:color w:val="auto"/>
          <w:spacing w:val="-2"/>
          <w:sz w:val="24"/>
          <w:szCs w:val="24"/>
          <w:highlight w:val="none"/>
          <w:lang w:val="en-US" w:eastAsia="zh-CN"/>
        </w:rPr>
        <w:t>2-5-16</w:t>
      </w:r>
      <w:r>
        <w:rPr>
          <w:rFonts w:ascii="Times New Roman" w:hAnsi="Times New Roman" w:cs="Times New Roman"/>
          <w:color w:val="auto"/>
          <w:spacing w:val="-2"/>
          <w:sz w:val="24"/>
          <w:szCs w:val="24"/>
          <w:highlight w:val="none"/>
        </w:rPr>
        <w:t>可知，本项目危险物质及工艺系统危险性（P）级别为</w:t>
      </w:r>
      <w:r>
        <w:rPr>
          <w:rFonts w:hint="eastAsia" w:ascii="Times New Roman" w:hAnsi="Times New Roman" w:cs="Times New Roman"/>
          <w:color w:val="auto"/>
          <w:spacing w:val="-2"/>
          <w:sz w:val="24"/>
          <w:szCs w:val="24"/>
          <w:highlight w:val="none"/>
          <w:lang w:val="en-US" w:eastAsia="zh-CN"/>
        </w:rPr>
        <w:t>轻度危害</w:t>
      </w:r>
      <w:r>
        <w:rPr>
          <w:rFonts w:ascii="Times New Roman" w:hAnsi="Times New Roman" w:cs="Times New Roman"/>
          <w:color w:val="auto"/>
          <w:spacing w:val="-2"/>
          <w:sz w:val="24"/>
          <w:szCs w:val="24"/>
          <w:highlight w:val="none"/>
        </w:rPr>
        <w:t>（P</w:t>
      </w:r>
      <w:r>
        <w:rPr>
          <w:rFonts w:hint="eastAsia" w:ascii="Times New Roman" w:hAnsi="Times New Roman" w:cs="Times New Roman"/>
          <w:color w:val="auto"/>
          <w:spacing w:val="-2"/>
          <w:sz w:val="24"/>
          <w:szCs w:val="24"/>
          <w:highlight w:val="none"/>
          <w:lang w:val="en-US" w:eastAsia="zh-CN"/>
        </w:rPr>
        <w:t>4</w:t>
      </w:r>
      <w:r>
        <w:rPr>
          <w:rFonts w:ascii="Times New Roman" w:hAnsi="Times New Roman" w:cs="Times New Roman"/>
          <w:color w:val="auto"/>
          <w:spacing w:val="-2"/>
          <w:sz w:val="24"/>
          <w:szCs w:val="24"/>
          <w:highlight w:val="none"/>
        </w:rPr>
        <w:t>）。</w:t>
      </w:r>
    </w:p>
    <w:p w14:paraId="758162FF">
      <w:pPr>
        <w:widowControl w:val="0"/>
        <w:kinsoku/>
        <w:autoSpaceDE/>
        <w:autoSpaceDN/>
        <w:adjustRightInd/>
        <w:snapToGrid/>
        <w:spacing w:line="480" w:lineRule="exact"/>
        <w:jc w:val="center"/>
        <w:textAlignment w:val="auto"/>
        <w:rPr>
          <w:rFonts w:hint="default" w:ascii="Times New Roman" w:hAnsi="Times New Roman" w:eastAsia="黑体" w:cs="Times New Roman"/>
          <w:b w:val="0"/>
          <w:bCs/>
          <w:color w:val="auto"/>
          <w:sz w:val="24"/>
          <w:szCs w:val="24"/>
          <w:highlight w:val="none"/>
        </w:rPr>
      </w:pPr>
      <w:r>
        <w:rPr>
          <w:rFonts w:hint="default" w:ascii="Times New Roman" w:hAnsi="Times New Roman" w:eastAsia="黑体" w:cs="Times New Roman"/>
          <w:b w:val="0"/>
          <w:bCs/>
          <w:color w:val="auto"/>
          <w:sz w:val="24"/>
          <w:szCs w:val="24"/>
          <w:highlight w:val="none"/>
        </w:rPr>
        <w:t>表</w:t>
      </w:r>
      <w:r>
        <w:rPr>
          <w:rFonts w:hint="default" w:ascii="Times New Roman" w:hAnsi="Times New Roman" w:eastAsia="黑体" w:cs="Times New Roman"/>
          <w:b w:val="0"/>
          <w:bCs/>
          <w:color w:val="auto"/>
          <w:sz w:val="24"/>
          <w:szCs w:val="24"/>
          <w:highlight w:val="none"/>
          <w:lang w:val="en-US" w:eastAsia="zh-CN"/>
        </w:rPr>
        <w:t>2-5-16</w:t>
      </w:r>
      <w:r>
        <w:rPr>
          <w:rFonts w:hint="default" w:ascii="Times New Roman" w:hAnsi="Times New Roman" w:eastAsia="黑体" w:cs="Times New Roman"/>
          <w:b w:val="0"/>
          <w:bCs/>
          <w:color w:val="auto"/>
          <w:sz w:val="24"/>
          <w:szCs w:val="24"/>
          <w:highlight w:val="none"/>
        </w:rPr>
        <w:t>危险物质及工艺系统危险性等级判断（P）（表C.2）</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21"/>
        <w:gridCol w:w="1491"/>
        <w:gridCol w:w="1705"/>
        <w:gridCol w:w="1706"/>
        <w:gridCol w:w="1705"/>
      </w:tblGrid>
      <w:tr w14:paraId="713DF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1" w:type="dxa"/>
            <w:vMerge w:val="restart"/>
            <w:tcBorders>
              <w:tl2br w:val="nil"/>
              <w:tr2bl w:val="nil"/>
            </w:tcBorders>
            <w:vAlign w:val="center"/>
          </w:tcPr>
          <w:p w14:paraId="7FBFD46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危险物质数量与临界量比值（Q）</w:t>
            </w:r>
          </w:p>
        </w:tc>
        <w:tc>
          <w:tcPr>
            <w:tcW w:w="6607" w:type="dxa"/>
            <w:gridSpan w:val="4"/>
            <w:tcBorders>
              <w:tl2br w:val="nil"/>
              <w:tr2bl w:val="nil"/>
            </w:tcBorders>
            <w:vAlign w:val="center"/>
          </w:tcPr>
          <w:p w14:paraId="7D4593A4">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行业及生产工艺（M）</w:t>
            </w:r>
          </w:p>
        </w:tc>
      </w:tr>
      <w:tr w14:paraId="59CAD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1" w:type="dxa"/>
            <w:vMerge w:val="continue"/>
            <w:tcBorders>
              <w:tl2br w:val="nil"/>
              <w:tr2bl w:val="nil"/>
            </w:tcBorders>
            <w:vAlign w:val="center"/>
          </w:tcPr>
          <w:p w14:paraId="71E19B5E">
            <w:pPr>
              <w:pStyle w:val="63"/>
              <w:jc w:val="center"/>
              <w:rPr>
                <w:rFonts w:ascii="Times New Roman" w:cs="Times New Roman"/>
                <w:color w:val="auto"/>
                <w:spacing w:val="-2"/>
                <w:sz w:val="21"/>
                <w:szCs w:val="21"/>
                <w:highlight w:val="none"/>
              </w:rPr>
            </w:pPr>
          </w:p>
        </w:tc>
        <w:tc>
          <w:tcPr>
            <w:tcW w:w="1491" w:type="dxa"/>
            <w:tcBorders>
              <w:tl2br w:val="nil"/>
              <w:tr2bl w:val="nil"/>
            </w:tcBorders>
            <w:vAlign w:val="center"/>
          </w:tcPr>
          <w:p w14:paraId="77124AF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M1</w:t>
            </w:r>
          </w:p>
        </w:tc>
        <w:tc>
          <w:tcPr>
            <w:tcW w:w="1705" w:type="dxa"/>
            <w:tcBorders>
              <w:tl2br w:val="nil"/>
              <w:tr2bl w:val="nil"/>
            </w:tcBorders>
            <w:vAlign w:val="center"/>
          </w:tcPr>
          <w:p w14:paraId="13D32CF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M2</w:t>
            </w:r>
          </w:p>
        </w:tc>
        <w:tc>
          <w:tcPr>
            <w:tcW w:w="1706" w:type="dxa"/>
            <w:tcBorders>
              <w:tl2br w:val="nil"/>
              <w:tr2bl w:val="nil"/>
            </w:tcBorders>
            <w:vAlign w:val="center"/>
          </w:tcPr>
          <w:p w14:paraId="2770D8F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M3</w:t>
            </w:r>
          </w:p>
        </w:tc>
        <w:tc>
          <w:tcPr>
            <w:tcW w:w="1705" w:type="dxa"/>
            <w:tcBorders>
              <w:tl2br w:val="nil"/>
              <w:tr2bl w:val="nil"/>
            </w:tcBorders>
            <w:vAlign w:val="center"/>
          </w:tcPr>
          <w:p w14:paraId="2F4088B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M4</w:t>
            </w:r>
          </w:p>
        </w:tc>
      </w:tr>
      <w:tr w14:paraId="02747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1" w:type="dxa"/>
            <w:tcBorders>
              <w:tl2br w:val="nil"/>
              <w:tr2bl w:val="nil"/>
            </w:tcBorders>
            <w:vAlign w:val="center"/>
          </w:tcPr>
          <w:p w14:paraId="564F09D4">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Q≥100</w:t>
            </w:r>
          </w:p>
        </w:tc>
        <w:tc>
          <w:tcPr>
            <w:tcW w:w="1491" w:type="dxa"/>
            <w:tcBorders>
              <w:tl2br w:val="nil"/>
              <w:tr2bl w:val="nil"/>
            </w:tcBorders>
            <w:vAlign w:val="center"/>
          </w:tcPr>
          <w:p w14:paraId="3138F1F1">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P1</w:t>
            </w:r>
          </w:p>
        </w:tc>
        <w:tc>
          <w:tcPr>
            <w:tcW w:w="1705" w:type="dxa"/>
            <w:tcBorders>
              <w:tl2br w:val="nil"/>
              <w:tr2bl w:val="nil"/>
            </w:tcBorders>
            <w:vAlign w:val="center"/>
          </w:tcPr>
          <w:p w14:paraId="70A681EA">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P1</w:t>
            </w:r>
          </w:p>
        </w:tc>
        <w:tc>
          <w:tcPr>
            <w:tcW w:w="1706" w:type="dxa"/>
            <w:tcBorders>
              <w:tl2br w:val="nil"/>
              <w:tr2bl w:val="nil"/>
            </w:tcBorders>
            <w:vAlign w:val="center"/>
          </w:tcPr>
          <w:p w14:paraId="3ED2E64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P2</w:t>
            </w:r>
          </w:p>
        </w:tc>
        <w:tc>
          <w:tcPr>
            <w:tcW w:w="1705" w:type="dxa"/>
            <w:tcBorders>
              <w:tl2br w:val="nil"/>
              <w:tr2bl w:val="nil"/>
            </w:tcBorders>
            <w:vAlign w:val="center"/>
          </w:tcPr>
          <w:p w14:paraId="3BD8AD1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P3</w:t>
            </w:r>
          </w:p>
        </w:tc>
      </w:tr>
      <w:tr w14:paraId="6D92D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1" w:type="dxa"/>
            <w:tcBorders>
              <w:tl2br w:val="nil"/>
              <w:tr2bl w:val="nil"/>
            </w:tcBorders>
            <w:vAlign w:val="center"/>
          </w:tcPr>
          <w:p w14:paraId="4995470D">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10≤Q＜100</w:t>
            </w:r>
          </w:p>
        </w:tc>
        <w:tc>
          <w:tcPr>
            <w:tcW w:w="1491" w:type="dxa"/>
            <w:tcBorders>
              <w:tl2br w:val="nil"/>
              <w:tr2bl w:val="nil"/>
            </w:tcBorders>
            <w:vAlign w:val="center"/>
          </w:tcPr>
          <w:p w14:paraId="7ED3A5D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P1</w:t>
            </w:r>
          </w:p>
        </w:tc>
        <w:tc>
          <w:tcPr>
            <w:tcW w:w="1705" w:type="dxa"/>
            <w:tcBorders>
              <w:tl2br w:val="nil"/>
              <w:tr2bl w:val="nil"/>
            </w:tcBorders>
            <w:vAlign w:val="center"/>
          </w:tcPr>
          <w:p w14:paraId="188F5F4A">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P2</w:t>
            </w:r>
          </w:p>
        </w:tc>
        <w:tc>
          <w:tcPr>
            <w:tcW w:w="1706" w:type="dxa"/>
            <w:tcBorders>
              <w:tl2br w:val="nil"/>
              <w:tr2bl w:val="nil"/>
            </w:tcBorders>
            <w:vAlign w:val="center"/>
          </w:tcPr>
          <w:p w14:paraId="4F47565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P3</w:t>
            </w:r>
          </w:p>
        </w:tc>
        <w:tc>
          <w:tcPr>
            <w:tcW w:w="1705" w:type="dxa"/>
            <w:tcBorders>
              <w:tl2br w:val="nil"/>
              <w:tr2bl w:val="nil"/>
            </w:tcBorders>
            <w:vAlign w:val="center"/>
          </w:tcPr>
          <w:p w14:paraId="7EC8849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P4</w:t>
            </w:r>
          </w:p>
        </w:tc>
      </w:tr>
      <w:tr w14:paraId="36B9B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1" w:type="dxa"/>
            <w:tcBorders>
              <w:tl2br w:val="nil"/>
              <w:tr2bl w:val="nil"/>
            </w:tcBorders>
            <w:vAlign w:val="center"/>
          </w:tcPr>
          <w:p w14:paraId="359B36CE">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1≤Q＜10</w:t>
            </w:r>
          </w:p>
        </w:tc>
        <w:tc>
          <w:tcPr>
            <w:tcW w:w="1491" w:type="dxa"/>
            <w:tcBorders>
              <w:tl2br w:val="nil"/>
              <w:tr2bl w:val="nil"/>
            </w:tcBorders>
            <w:vAlign w:val="center"/>
          </w:tcPr>
          <w:p w14:paraId="1E924F0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P2</w:t>
            </w:r>
          </w:p>
        </w:tc>
        <w:tc>
          <w:tcPr>
            <w:tcW w:w="1705" w:type="dxa"/>
            <w:tcBorders>
              <w:tl2br w:val="nil"/>
              <w:tr2bl w:val="nil"/>
            </w:tcBorders>
            <w:vAlign w:val="center"/>
          </w:tcPr>
          <w:p w14:paraId="6DEEC9B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P3</w:t>
            </w:r>
          </w:p>
        </w:tc>
        <w:tc>
          <w:tcPr>
            <w:tcW w:w="1706" w:type="dxa"/>
            <w:tcBorders>
              <w:tl2br w:val="nil"/>
              <w:tr2bl w:val="nil"/>
            </w:tcBorders>
            <w:vAlign w:val="center"/>
          </w:tcPr>
          <w:p w14:paraId="7CBD22DB">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P4</w:t>
            </w:r>
          </w:p>
        </w:tc>
        <w:tc>
          <w:tcPr>
            <w:tcW w:w="1705" w:type="dxa"/>
            <w:tcBorders>
              <w:tl2br w:val="nil"/>
              <w:tr2bl w:val="nil"/>
            </w:tcBorders>
            <w:vAlign w:val="center"/>
          </w:tcPr>
          <w:p w14:paraId="7EEF205E">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P4</w:t>
            </w:r>
          </w:p>
        </w:tc>
      </w:tr>
    </w:tbl>
    <w:p w14:paraId="0E9DE08C">
      <w:pPr>
        <w:pStyle w:val="6"/>
        <w:spacing w:line="480" w:lineRule="exact"/>
        <w:jc w:val="both"/>
        <w:rPr>
          <w:rFonts w:ascii="Times New Roman" w:hAnsi="Times New Roman" w:cs="Times New Roman"/>
          <w:color w:val="auto"/>
          <w:highlight w:val="none"/>
        </w:rPr>
      </w:pPr>
      <w:r>
        <w:rPr>
          <w:rFonts w:ascii="Times New Roman" w:hAnsi="Times New Roman" w:cs="Times New Roman"/>
          <w:color w:val="auto"/>
          <w:highlight w:val="none"/>
        </w:rPr>
        <w:t>2.</w:t>
      </w:r>
      <w:r>
        <w:rPr>
          <w:rFonts w:hint="eastAsia" w:ascii="Times New Roman" w:hAnsi="Times New Roman" w:cs="Times New Roman"/>
          <w:color w:val="auto"/>
          <w:highlight w:val="none"/>
          <w:lang w:val="en-US" w:eastAsia="zh-CN"/>
        </w:rPr>
        <w:t>5.6.1</w:t>
      </w:r>
      <w:r>
        <w:rPr>
          <w:rFonts w:ascii="Times New Roman" w:hAnsi="Times New Roman" w:cs="Times New Roman"/>
          <w:color w:val="auto"/>
          <w:highlight w:val="none"/>
        </w:rPr>
        <w:t>环境敏感程度（E）的分级确定</w:t>
      </w:r>
    </w:p>
    <w:p w14:paraId="59BC1959">
      <w:pPr>
        <w:widowControl w:val="0"/>
        <w:kinsoku/>
        <w:autoSpaceDE/>
        <w:autoSpaceDN/>
        <w:adjustRightInd/>
        <w:snapToGrid/>
        <w:spacing w:line="480" w:lineRule="exact"/>
        <w:ind w:firstLine="480" w:firstLineChars="200"/>
        <w:jc w:val="both"/>
        <w:textAlignment w:val="auto"/>
        <w:rPr>
          <w:rFonts w:ascii="Times New Roman" w:hAnsi="Times New Roman" w:cs="Times New Roman"/>
          <w:color w:val="auto"/>
          <w:spacing w:val="-2"/>
          <w:sz w:val="24"/>
          <w:szCs w:val="24"/>
          <w:highlight w:val="none"/>
        </w:rPr>
      </w:pPr>
      <w:r>
        <w:rPr>
          <w:rFonts w:ascii="Times New Roman" w:hAnsi="Times New Roman" w:cs="Times New Roman"/>
          <w:color w:val="auto"/>
          <w:sz w:val="24"/>
          <w:szCs w:val="24"/>
          <w:highlight w:val="none"/>
        </w:rPr>
        <w:t>根据《建设项目环境风险评价技术导则》（HJ169-2018）中“6.3 E的分级确定”可知，应</w:t>
      </w:r>
      <w:r>
        <w:rPr>
          <w:rFonts w:ascii="Times New Roman" w:hAnsi="Times New Roman" w:cs="Times New Roman"/>
          <w:color w:val="auto"/>
          <w:spacing w:val="-2"/>
          <w:sz w:val="24"/>
          <w:szCs w:val="24"/>
          <w:highlight w:val="none"/>
        </w:rPr>
        <w:t>分析危险物质在事故情形下的环境影响途径，如大气、地表水、地下水等，按照导则中附录D建设项目各要素环境敏感程度（E）等级进行判断。</w:t>
      </w:r>
    </w:p>
    <w:p w14:paraId="202557E8">
      <w:pPr>
        <w:widowControl w:val="0"/>
        <w:kinsoku/>
        <w:autoSpaceDE/>
        <w:autoSpaceDN/>
        <w:adjustRightInd/>
        <w:snapToGrid/>
        <w:spacing w:line="480" w:lineRule="exact"/>
        <w:ind w:firstLine="472" w:firstLineChars="200"/>
        <w:jc w:val="both"/>
        <w:textAlignment w:val="auto"/>
        <w:rPr>
          <w:rFonts w:ascii="Times New Roman" w:hAnsi="Times New Roman" w:cs="Times New Roman"/>
          <w:color w:val="auto"/>
          <w:spacing w:val="-2"/>
          <w:sz w:val="24"/>
          <w:szCs w:val="24"/>
          <w:highlight w:val="none"/>
        </w:rPr>
      </w:pPr>
      <w:r>
        <w:rPr>
          <w:rFonts w:ascii="Times New Roman" w:hAnsi="Times New Roman" w:cs="Times New Roman"/>
          <w:color w:val="auto"/>
          <w:spacing w:val="-2"/>
          <w:sz w:val="24"/>
          <w:szCs w:val="24"/>
          <w:highlight w:val="none"/>
        </w:rPr>
        <w:t>本项目判定结果：本项目各要素环境敏感特征情况见表</w:t>
      </w:r>
      <w:r>
        <w:rPr>
          <w:rFonts w:hint="eastAsia" w:cs="Times New Roman"/>
          <w:color w:val="auto"/>
          <w:spacing w:val="-2"/>
          <w:sz w:val="24"/>
          <w:szCs w:val="24"/>
          <w:highlight w:val="none"/>
          <w:lang w:val="en-US" w:eastAsia="zh-CN"/>
        </w:rPr>
        <w:t>2-5-17</w:t>
      </w:r>
      <w:r>
        <w:rPr>
          <w:rFonts w:ascii="Times New Roman" w:hAnsi="Times New Roman" w:cs="Times New Roman"/>
          <w:color w:val="auto"/>
          <w:spacing w:val="-2"/>
          <w:sz w:val="24"/>
          <w:szCs w:val="24"/>
          <w:highlight w:val="none"/>
        </w:rPr>
        <w:t>，经分析本项目所在地的大气环境敏感程度为环境高度敏感区（E</w:t>
      </w:r>
      <w:r>
        <w:rPr>
          <w:rFonts w:hint="eastAsia" w:ascii="Times New Roman" w:hAnsi="Times New Roman" w:cs="Times New Roman"/>
          <w:color w:val="auto"/>
          <w:spacing w:val="-2"/>
          <w:sz w:val="24"/>
          <w:szCs w:val="24"/>
          <w:highlight w:val="none"/>
        </w:rPr>
        <w:t>1</w:t>
      </w:r>
      <w:r>
        <w:rPr>
          <w:rFonts w:ascii="Times New Roman" w:hAnsi="Times New Roman" w:cs="Times New Roman"/>
          <w:color w:val="auto"/>
          <w:spacing w:val="-2"/>
          <w:sz w:val="24"/>
          <w:szCs w:val="24"/>
          <w:highlight w:val="none"/>
        </w:rPr>
        <w:t>），地下水环境敏感程度为环境低度敏感区（E</w:t>
      </w:r>
      <w:r>
        <w:rPr>
          <w:rFonts w:hint="eastAsia" w:ascii="Times New Roman" w:hAnsi="Times New Roman" w:cs="Times New Roman"/>
          <w:color w:val="auto"/>
          <w:spacing w:val="-2"/>
          <w:sz w:val="24"/>
          <w:szCs w:val="24"/>
          <w:highlight w:val="none"/>
        </w:rPr>
        <w:t>2</w:t>
      </w:r>
      <w:r>
        <w:rPr>
          <w:rFonts w:ascii="Times New Roman" w:hAnsi="Times New Roman" w:cs="Times New Roman"/>
          <w:color w:val="auto"/>
          <w:spacing w:val="-2"/>
          <w:sz w:val="24"/>
          <w:szCs w:val="24"/>
          <w:highlight w:val="none"/>
        </w:rPr>
        <w:t>），地表水环境敏感程度为环境低度敏感区（E3）。</w:t>
      </w:r>
    </w:p>
    <w:p w14:paraId="60BC4826">
      <w:pPr>
        <w:widowControl w:val="0"/>
        <w:kinsoku/>
        <w:autoSpaceDE/>
        <w:autoSpaceDN/>
        <w:adjustRightInd/>
        <w:snapToGrid/>
        <w:spacing w:line="480" w:lineRule="exact"/>
        <w:ind w:firstLine="482"/>
        <w:jc w:val="center"/>
        <w:textAlignment w:val="auto"/>
        <w:rPr>
          <w:rFonts w:ascii="Times New Roman" w:hAnsi="Times New Roman" w:eastAsia="宋体" w:cs="Times New Roman"/>
          <w:b/>
          <w:bCs/>
          <w:color w:val="auto"/>
          <w:sz w:val="24"/>
          <w:szCs w:val="24"/>
          <w:highlight w:val="none"/>
        </w:rPr>
      </w:pPr>
      <w:r>
        <w:rPr>
          <w:rFonts w:hint="default" w:ascii="Times New Roman" w:hAnsi="Times New Roman" w:eastAsia="黑体" w:cs="Times New Roman"/>
          <w:b w:val="0"/>
          <w:bCs w:val="0"/>
          <w:color w:val="auto"/>
          <w:sz w:val="24"/>
          <w:szCs w:val="24"/>
          <w:highlight w:val="none"/>
          <w:lang w:val="en-US" w:eastAsia="zh-CN"/>
        </w:rPr>
        <w:t>2-5-17</w:t>
      </w:r>
      <w:r>
        <w:rPr>
          <w:rFonts w:hint="default" w:ascii="Times New Roman" w:hAnsi="Times New Roman" w:eastAsia="黑体" w:cs="Times New Roman"/>
          <w:b w:val="0"/>
          <w:bCs w:val="0"/>
          <w:color w:val="auto"/>
          <w:sz w:val="24"/>
          <w:szCs w:val="24"/>
          <w:highlight w:val="none"/>
        </w:rPr>
        <w:t xml:space="preserve"> 本项目环境敏感特征表</w:t>
      </w:r>
    </w:p>
    <w:tbl>
      <w:tblPr>
        <w:tblStyle w:val="48"/>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2"/>
        <w:gridCol w:w="692"/>
        <w:gridCol w:w="1623"/>
        <w:gridCol w:w="292"/>
        <w:gridCol w:w="819"/>
        <w:gridCol w:w="603"/>
        <w:gridCol w:w="703"/>
        <w:gridCol w:w="169"/>
        <w:gridCol w:w="1613"/>
        <w:gridCol w:w="68"/>
        <w:gridCol w:w="1304"/>
      </w:tblGrid>
      <w:tr w14:paraId="49CA3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tcBorders>
              <w:tl2br w:val="nil"/>
              <w:tr2bl w:val="nil"/>
            </w:tcBorders>
            <w:vAlign w:val="center"/>
          </w:tcPr>
          <w:p w14:paraId="3228CDD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类别</w:t>
            </w:r>
          </w:p>
        </w:tc>
        <w:tc>
          <w:tcPr>
            <w:tcW w:w="7886" w:type="dxa"/>
            <w:gridSpan w:val="10"/>
            <w:tcBorders>
              <w:tl2br w:val="nil"/>
              <w:tr2bl w:val="nil"/>
            </w:tcBorders>
            <w:vAlign w:val="center"/>
          </w:tcPr>
          <w:p w14:paraId="626EA55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环境敏感特征</w:t>
            </w:r>
          </w:p>
        </w:tc>
      </w:tr>
      <w:tr w14:paraId="3ADD39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restart"/>
            <w:tcBorders>
              <w:tl2br w:val="nil"/>
              <w:tr2bl w:val="nil"/>
            </w:tcBorders>
            <w:vAlign w:val="center"/>
          </w:tcPr>
          <w:p w14:paraId="6CA64CCA">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w:t>
            </w:r>
          </w:p>
          <w:p w14:paraId="42DCCE8E">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空气</w:t>
            </w:r>
          </w:p>
        </w:tc>
        <w:tc>
          <w:tcPr>
            <w:tcW w:w="7886" w:type="dxa"/>
            <w:gridSpan w:val="10"/>
            <w:tcBorders>
              <w:tl2br w:val="nil"/>
              <w:tr2bl w:val="nil"/>
            </w:tcBorders>
            <w:vAlign w:val="center"/>
          </w:tcPr>
          <w:p w14:paraId="2BECEA1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厂址周边5km范围内</w:t>
            </w:r>
          </w:p>
        </w:tc>
      </w:tr>
      <w:tr w14:paraId="5D56B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53EBA9EB">
            <w:pPr>
              <w:pStyle w:val="63"/>
              <w:jc w:val="center"/>
              <w:rPr>
                <w:rFonts w:ascii="Times New Roman" w:cs="Times New Roman"/>
                <w:color w:val="auto"/>
                <w:spacing w:val="-2"/>
                <w:sz w:val="21"/>
                <w:szCs w:val="21"/>
                <w:highlight w:val="none"/>
              </w:rPr>
            </w:pPr>
          </w:p>
        </w:tc>
        <w:tc>
          <w:tcPr>
            <w:tcW w:w="692" w:type="dxa"/>
            <w:tcBorders>
              <w:tl2br w:val="nil"/>
              <w:tr2bl w:val="nil"/>
            </w:tcBorders>
            <w:vAlign w:val="center"/>
          </w:tcPr>
          <w:p w14:paraId="12E274A4">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序号</w:t>
            </w:r>
          </w:p>
        </w:tc>
        <w:tc>
          <w:tcPr>
            <w:tcW w:w="1623" w:type="dxa"/>
            <w:tcBorders>
              <w:tl2br w:val="nil"/>
              <w:tr2bl w:val="nil"/>
            </w:tcBorders>
            <w:vAlign w:val="center"/>
          </w:tcPr>
          <w:p w14:paraId="14A16A0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敏感目标名称</w:t>
            </w:r>
          </w:p>
        </w:tc>
        <w:tc>
          <w:tcPr>
            <w:tcW w:w="1714" w:type="dxa"/>
            <w:gridSpan w:val="3"/>
            <w:tcBorders>
              <w:tl2br w:val="nil"/>
              <w:tr2bl w:val="nil"/>
            </w:tcBorders>
            <w:vAlign w:val="center"/>
          </w:tcPr>
          <w:p w14:paraId="0F6C8B9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相对方位</w:t>
            </w:r>
          </w:p>
        </w:tc>
        <w:tc>
          <w:tcPr>
            <w:tcW w:w="872" w:type="dxa"/>
            <w:gridSpan w:val="2"/>
            <w:tcBorders>
              <w:tl2br w:val="nil"/>
              <w:tr2bl w:val="nil"/>
            </w:tcBorders>
            <w:vAlign w:val="center"/>
          </w:tcPr>
          <w:p w14:paraId="5233266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距离/m</w:t>
            </w:r>
          </w:p>
        </w:tc>
        <w:tc>
          <w:tcPr>
            <w:tcW w:w="1681" w:type="dxa"/>
            <w:gridSpan w:val="2"/>
            <w:tcBorders>
              <w:tl2br w:val="nil"/>
              <w:tr2bl w:val="nil"/>
            </w:tcBorders>
            <w:vAlign w:val="center"/>
          </w:tcPr>
          <w:p w14:paraId="0F54E00A">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属性</w:t>
            </w:r>
          </w:p>
        </w:tc>
        <w:tc>
          <w:tcPr>
            <w:tcW w:w="1304" w:type="dxa"/>
            <w:tcBorders>
              <w:tl2br w:val="nil"/>
              <w:tr2bl w:val="nil"/>
            </w:tcBorders>
            <w:vAlign w:val="center"/>
          </w:tcPr>
          <w:p w14:paraId="46238FF6">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人口数</w:t>
            </w:r>
          </w:p>
        </w:tc>
      </w:tr>
      <w:tr w14:paraId="5EB81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363469A6">
            <w:pPr>
              <w:pStyle w:val="63"/>
              <w:jc w:val="center"/>
              <w:rPr>
                <w:rFonts w:ascii="Times New Roman" w:cs="Times New Roman"/>
                <w:color w:val="auto"/>
                <w:spacing w:val="-2"/>
                <w:sz w:val="21"/>
                <w:szCs w:val="21"/>
                <w:highlight w:val="none"/>
              </w:rPr>
            </w:pPr>
          </w:p>
        </w:tc>
        <w:tc>
          <w:tcPr>
            <w:tcW w:w="692" w:type="dxa"/>
            <w:tcBorders>
              <w:tl2br w:val="nil"/>
              <w:tr2bl w:val="nil"/>
            </w:tcBorders>
            <w:vAlign w:val="center"/>
          </w:tcPr>
          <w:p w14:paraId="5DE83277">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1</w:t>
            </w:r>
          </w:p>
        </w:tc>
        <w:tc>
          <w:tcPr>
            <w:tcW w:w="1623" w:type="dxa"/>
            <w:tcBorders>
              <w:tl2br w:val="nil"/>
              <w:tr2bl w:val="nil"/>
            </w:tcBorders>
            <w:vAlign w:val="center"/>
          </w:tcPr>
          <w:p w14:paraId="79302985">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714" w:type="dxa"/>
            <w:gridSpan w:val="3"/>
            <w:tcBorders>
              <w:tl2br w:val="nil"/>
              <w:tr2bl w:val="nil"/>
            </w:tcBorders>
            <w:vAlign w:val="center"/>
          </w:tcPr>
          <w:p w14:paraId="6A825F23">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872" w:type="dxa"/>
            <w:gridSpan w:val="2"/>
            <w:tcBorders>
              <w:tl2br w:val="nil"/>
              <w:tr2bl w:val="nil"/>
            </w:tcBorders>
            <w:vAlign w:val="center"/>
          </w:tcPr>
          <w:p w14:paraId="298DDE23">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681" w:type="dxa"/>
            <w:gridSpan w:val="2"/>
            <w:tcBorders>
              <w:tl2br w:val="nil"/>
              <w:tr2bl w:val="nil"/>
            </w:tcBorders>
            <w:vAlign w:val="center"/>
          </w:tcPr>
          <w:p w14:paraId="0E74A6D4">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304" w:type="dxa"/>
            <w:tcBorders>
              <w:tl2br w:val="nil"/>
              <w:tr2bl w:val="nil"/>
            </w:tcBorders>
            <w:vAlign w:val="center"/>
          </w:tcPr>
          <w:p w14:paraId="3F502011">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r>
      <w:tr w14:paraId="211A3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642" w:type="dxa"/>
            <w:vMerge w:val="continue"/>
            <w:tcBorders>
              <w:tl2br w:val="nil"/>
              <w:tr2bl w:val="nil"/>
            </w:tcBorders>
            <w:vAlign w:val="center"/>
          </w:tcPr>
          <w:p w14:paraId="5323F593">
            <w:pPr>
              <w:pStyle w:val="63"/>
              <w:jc w:val="center"/>
              <w:rPr>
                <w:rFonts w:ascii="Times New Roman" w:cs="Times New Roman"/>
                <w:color w:val="auto"/>
                <w:spacing w:val="-2"/>
                <w:sz w:val="21"/>
                <w:szCs w:val="21"/>
                <w:highlight w:val="none"/>
              </w:rPr>
            </w:pPr>
          </w:p>
        </w:tc>
        <w:tc>
          <w:tcPr>
            <w:tcW w:w="6582" w:type="dxa"/>
            <w:gridSpan w:val="9"/>
            <w:tcBorders>
              <w:tl2br w:val="nil"/>
              <w:tr2bl w:val="nil"/>
            </w:tcBorders>
            <w:vAlign w:val="center"/>
          </w:tcPr>
          <w:p w14:paraId="2B56658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厂址周边500m范围内人口数小计</w:t>
            </w:r>
          </w:p>
        </w:tc>
        <w:tc>
          <w:tcPr>
            <w:tcW w:w="1304" w:type="dxa"/>
            <w:tcBorders>
              <w:tl2br w:val="nil"/>
              <w:tr2bl w:val="nil"/>
            </w:tcBorders>
            <w:vAlign w:val="center"/>
          </w:tcPr>
          <w:p w14:paraId="2C8262EF">
            <w:pPr>
              <w:pStyle w:val="63"/>
              <w:jc w:val="center"/>
              <w:rPr>
                <w:rFonts w:hint="eastAsia" w:ascii="Times New Roman" w:eastAsia="宋体" w:cs="Times New Roman"/>
                <w:color w:val="auto"/>
                <w:spacing w:val="-2"/>
                <w:sz w:val="21"/>
                <w:szCs w:val="21"/>
                <w:highlight w:val="none"/>
                <w:lang w:eastAsia="zh-CN"/>
              </w:rPr>
            </w:pPr>
            <w:r>
              <w:rPr>
                <w:rFonts w:hint="eastAsia" w:ascii="Times New Roman" w:cs="Times New Roman"/>
                <w:color w:val="auto"/>
                <w:spacing w:val="-2"/>
                <w:sz w:val="21"/>
                <w:szCs w:val="21"/>
                <w:highlight w:val="none"/>
                <w:lang w:val="en-US" w:eastAsia="zh-CN"/>
              </w:rPr>
              <w:t>/</w:t>
            </w:r>
          </w:p>
        </w:tc>
      </w:tr>
      <w:tr w14:paraId="05B1E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04F1C027">
            <w:pPr>
              <w:pStyle w:val="63"/>
              <w:jc w:val="center"/>
              <w:rPr>
                <w:rFonts w:ascii="Times New Roman" w:cs="Times New Roman"/>
                <w:color w:val="auto"/>
                <w:spacing w:val="-2"/>
                <w:sz w:val="21"/>
                <w:szCs w:val="21"/>
                <w:highlight w:val="none"/>
              </w:rPr>
            </w:pPr>
          </w:p>
        </w:tc>
        <w:tc>
          <w:tcPr>
            <w:tcW w:w="6582" w:type="dxa"/>
            <w:gridSpan w:val="9"/>
            <w:tcBorders>
              <w:tl2br w:val="nil"/>
              <w:tr2bl w:val="nil"/>
            </w:tcBorders>
            <w:vAlign w:val="center"/>
          </w:tcPr>
          <w:p w14:paraId="4965520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厂址周边5km范围内人口数小计</w:t>
            </w:r>
          </w:p>
        </w:tc>
        <w:tc>
          <w:tcPr>
            <w:tcW w:w="1304" w:type="dxa"/>
            <w:tcBorders>
              <w:tl2br w:val="nil"/>
              <w:tr2bl w:val="nil"/>
            </w:tcBorders>
            <w:vAlign w:val="center"/>
          </w:tcPr>
          <w:p w14:paraId="4F081F9F">
            <w:pPr>
              <w:pStyle w:val="63"/>
              <w:jc w:val="center"/>
              <w:rPr>
                <w:rFonts w:hint="eastAsia" w:ascii="Times New Roman" w:eastAsia="宋体" w:cs="Times New Roman"/>
                <w:color w:val="auto"/>
                <w:spacing w:val="-2"/>
                <w:sz w:val="21"/>
                <w:szCs w:val="21"/>
                <w:highlight w:val="none"/>
                <w:lang w:eastAsia="zh-CN"/>
              </w:rPr>
            </w:pPr>
            <w:r>
              <w:rPr>
                <w:rFonts w:hint="eastAsia" w:ascii="Times New Roman" w:cs="Times New Roman"/>
                <w:color w:val="auto"/>
                <w:spacing w:val="-2"/>
                <w:sz w:val="21"/>
                <w:szCs w:val="21"/>
                <w:highlight w:val="none"/>
                <w:lang w:val="en-US" w:eastAsia="zh-CN"/>
              </w:rPr>
              <w:t>/</w:t>
            </w:r>
          </w:p>
        </w:tc>
      </w:tr>
      <w:tr w14:paraId="4ACA48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15963F10">
            <w:pPr>
              <w:pStyle w:val="63"/>
              <w:jc w:val="center"/>
              <w:rPr>
                <w:rFonts w:ascii="Times New Roman" w:cs="Times New Roman"/>
                <w:color w:val="auto"/>
                <w:spacing w:val="-2"/>
                <w:sz w:val="21"/>
                <w:szCs w:val="21"/>
                <w:highlight w:val="none"/>
              </w:rPr>
            </w:pPr>
          </w:p>
        </w:tc>
        <w:tc>
          <w:tcPr>
            <w:tcW w:w="6582" w:type="dxa"/>
            <w:gridSpan w:val="9"/>
            <w:tcBorders>
              <w:tl2br w:val="nil"/>
              <w:tr2bl w:val="nil"/>
            </w:tcBorders>
            <w:vAlign w:val="center"/>
          </w:tcPr>
          <w:p w14:paraId="3FFDF5C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大气环境敏感程度E值</w:t>
            </w:r>
          </w:p>
        </w:tc>
        <w:tc>
          <w:tcPr>
            <w:tcW w:w="1304" w:type="dxa"/>
            <w:tcBorders>
              <w:tl2br w:val="nil"/>
              <w:tr2bl w:val="nil"/>
            </w:tcBorders>
            <w:vAlign w:val="center"/>
          </w:tcPr>
          <w:p w14:paraId="0CCA5FCF">
            <w:pPr>
              <w:pStyle w:val="63"/>
              <w:jc w:val="center"/>
              <w:rPr>
                <w:rFonts w:hint="eastAsia" w:ascii="Times New Roman" w:eastAsia="宋体" w:cs="Times New Roman"/>
                <w:color w:val="auto"/>
                <w:spacing w:val="-2"/>
                <w:sz w:val="21"/>
                <w:szCs w:val="21"/>
                <w:highlight w:val="none"/>
                <w:lang w:eastAsia="zh-CN"/>
              </w:rPr>
            </w:pPr>
            <w:r>
              <w:rPr>
                <w:rFonts w:ascii="Times New Roman" w:cs="Times New Roman"/>
                <w:color w:val="auto"/>
                <w:spacing w:val="-2"/>
                <w:sz w:val="21"/>
                <w:szCs w:val="21"/>
                <w:highlight w:val="none"/>
              </w:rPr>
              <w:t>E</w:t>
            </w:r>
            <w:r>
              <w:rPr>
                <w:rFonts w:hint="eastAsia" w:ascii="Times New Roman" w:cs="Times New Roman"/>
                <w:color w:val="auto"/>
                <w:spacing w:val="-2"/>
                <w:sz w:val="21"/>
                <w:szCs w:val="21"/>
                <w:highlight w:val="none"/>
                <w:lang w:val="en-US" w:eastAsia="zh-CN"/>
              </w:rPr>
              <w:t>3</w:t>
            </w:r>
          </w:p>
        </w:tc>
      </w:tr>
      <w:tr w14:paraId="04327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restart"/>
            <w:tcBorders>
              <w:tl2br w:val="nil"/>
              <w:tr2bl w:val="nil"/>
            </w:tcBorders>
            <w:vAlign w:val="center"/>
          </w:tcPr>
          <w:p w14:paraId="4D4BB76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地</w:t>
            </w:r>
          </w:p>
          <w:p w14:paraId="6CC7DC0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下</w:t>
            </w:r>
          </w:p>
          <w:p w14:paraId="4A5020A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水</w:t>
            </w:r>
          </w:p>
        </w:tc>
        <w:tc>
          <w:tcPr>
            <w:tcW w:w="692" w:type="dxa"/>
            <w:tcBorders>
              <w:tl2br w:val="nil"/>
              <w:tr2bl w:val="nil"/>
            </w:tcBorders>
            <w:vAlign w:val="center"/>
          </w:tcPr>
          <w:p w14:paraId="7F017E1B">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序号</w:t>
            </w:r>
          </w:p>
        </w:tc>
        <w:tc>
          <w:tcPr>
            <w:tcW w:w="1623" w:type="dxa"/>
            <w:tcBorders>
              <w:tl2br w:val="nil"/>
              <w:tr2bl w:val="nil"/>
            </w:tcBorders>
            <w:vAlign w:val="center"/>
          </w:tcPr>
          <w:p w14:paraId="774FD10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环境敏感区名称</w:t>
            </w:r>
          </w:p>
        </w:tc>
        <w:tc>
          <w:tcPr>
            <w:tcW w:w="1714" w:type="dxa"/>
            <w:gridSpan w:val="3"/>
            <w:tcBorders>
              <w:tl2br w:val="nil"/>
              <w:tr2bl w:val="nil"/>
            </w:tcBorders>
            <w:vAlign w:val="center"/>
          </w:tcPr>
          <w:p w14:paraId="4C13309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环境敏感特征</w:t>
            </w:r>
          </w:p>
        </w:tc>
        <w:tc>
          <w:tcPr>
            <w:tcW w:w="872" w:type="dxa"/>
            <w:gridSpan w:val="2"/>
            <w:tcBorders>
              <w:tl2br w:val="nil"/>
              <w:tr2bl w:val="nil"/>
            </w:tcBorders>
            <w:vAlign w:val="center"/>
          </w:tcPr>
          <w:p w14:paraId="173C077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水质</w:t>
            </w:r>
          </w:p>
          <w:p w14:paraId="74F74EA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目标</w:t>
            </w:r>
          </w:p>
        </w:tc>
        <w:tc>
          <w:tcPr>
            <w:tcW w:w="1681" w:type="dxa"/>
            <w:gridSpan w:val="2"/>
            <w:tcBorders>
              <w:tl2br w:val="nil"/>
              <w:tr2bl w:val="nil"/>
            </w:tcBorders>
            <w:vAlign w:val="center"/>
          </w:tcPr>
          <w:p w14:paraId="4E9212A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包气带防污性能</w:t>
            </w:r>
          </w:p>
        </w:tc>
        <w:tc>
          <w:tcPr>
            <w:tcW w:w="1304" w:type="dxa"/>
            <w:tcBorders>
              <w:tl2br w:val="nil"/>
              <w:tr2bl w:val="nil"/>
            </w:tcBorders>
            <w:vAlign w:val="center"/>
          </w:tcPr>
          <w:p w14:paraId="54E22F0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与下游厂界距离/m</w:t>
            </w:r>
          </w:p>
        </w:tc>
      </w:tr>
      <w:tr w14:paraId="3F475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1ED5B9C3">
            <w:pPr>
              <w:pStyle w:val="63"/>
              <w:jc w:val="center"/>
              <w:rPr>
                <w:rFonts w:ascii="Times New Roman" w:cs="Times New Roman"/>
                <w:color w:val="auto"/>
                <w:spacing w:val="-2"/>
                <w:sz w:val="21"/>
                <w:szCs w:val="21"/>
                <w:highlight w:val="none"/>
              </w:rPr>
            </w:pPr>
          </w:p>
        </w:tc>
        <w:tc>
          <w:tcPr>
            <w:tcW w:w="692" w:type="dxa"/>
            <w:tcBorders>
              <w:tl2br w:val="nil"/>
              <w:tr2bl w:val="nil"/>
            </w:tcBorders>
            <w:vAlign w:val="center"/>
          </w:tcPr>
          <w:p w14:paraId="08441F25">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1</w:t>
            </w:r>
          </w:p>
        </w:tc>
        <w:tc>
          <w:tcPr>
            <w:tcW w:w="1623" w:type="dxa"/>
            <w:tcBorders>
              <w:tl2br w:val="nil"/>
              <w:tr2bl w:val="nil"/>
            </w:tcBorders>
            <w:vAlign w:val="center"/>
          </w:tcPr>
          <w:p w14:paraId="386B95D9">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714" w:type="dxa"/>
            <w:gridSpan w:val="3"/>
            <w:tcBorders>
              <w:tl2br w:val="nil"/>
              <w:tr2bl w:val="nil"/>
            </w:tcBorders>
            <w:vAlign w:val="center"/>
          </w:tcPr>
          <w:p w14:paraId="126083A5">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872" w:type="dxa"/>
            <w:gridSpan w:val="2"/>
            <w:tcBorders>
              <w:tl2br w:val="nil"/>
              <w:tr2bl w:val="nil"/>
            </w:tcBorders>
            <w:vAlign w:val="center"/>
          </w:tcPr>
          <w:p w14:paraId="1BA7144E">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681" w:type="dxa"/>
            <w:gridSpan w:val="2"/>
            <w:tcBorders>
              <w:tl2br w:val="nil"/>
              <w:tr2bl w:val="nil"/>
            </w:tcBorders>
            <w:vAlign w:val="center"/>
          </w:tcPr>
          <w:p w14:paraId="73C2B31F">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c>
          <w:tcPr>
            <w:tcW w:w="1304" w:type="dxa"/>
            <w:tcBorders>
              <w:tl2br w:val="nil"/>
              <w:tr2bl w:val="nil"/>
            </w:tcBorders>
            <w:vAlign w:val="center"/>
          </w:tcPr>
          <w:p w14:paraId="0F5EB4B6">
            <w:pPr>
              <w:pStyle w:val="63"/>
              <w:jc w:val="center"/>
              <w:rPr>
                <w:rFonts w:hint="eastAsia" w:ascii="Times New Roman" w:eastAsia="宋体" w:cs="Times New Roman"/>
                <w:color w:val="auto"/>
                <w:spacing w:val="-2"/>
                <w:sz w:val="21"/>
                <w:szCs w:val="21"/>
                <w:highlight w:val="none"/>
                <w:lang w:val="en-US" w:eastAsia="zh-CN"/>
              </w:rPr>
            </w:pPr>
            <w:r>
              <w:rPr>
                <w:rFonts w:hint="eastAsia" w:ascii="Times New Roman" w:cs="Times New Roman"/>
                <w:color w:val="auto"/>
                <w:spacing w:val="-2"/>
                <w:sz w:val="21"/>
                <w:szCs w:val="21"/>
                <w:highlight w:val="none"/>
                <w:lang w:val="en-US" w:eastAsia="zh-CN"/>
              </w:rPr>
              <w:t>/</w:t>
            </w:r>
          </w:p>
        </w:tc>
      </w:tr>
      <w:tr w14:paraId="6CAA5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tcBorders>
              <w:tl2br w:val="nil"/>
              <w:tr2bl w:val="nil"/>
            </w:tcBorders>
            <w:vAlign w:val="center"/>
          </w:tcPr>
          <w:p w14:paraId="7BC107CB">
            <w:pPr>
              <w:pStyle w:val="63"/>
              <w:jc w:val="center"/>
              <w:rPr>
                <w:rFonts w:ascii="Times New Roman" w:cs="Times New Roman"/>
                <w:color w:val="auto"/>
                <w:spacing w:val="-2"/>
                <w:sz w:val="21"/>
                <w:szCs w:val="21"/>
                <w:highlight w:val="none"/>
              </w:rPr>
            </w:pPr>
          </w:p>
        </w:tc>
        <w:tc>
          <w:tcPr>
            <w:tcW w:w="6582" w:type="dxa"/>
            <w:gridSpan w:val="9"/>
            <w:tcBorders>
              <w:tl2br w:val="nil"/>
              <w:tr2bl w:val="nil"/>
            </w:tcBorders>
            <w:vAlign w:val="center"/>
          </w:tcPr>
          <w:p w14:paraId="3754EF7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地下水环境敏感程度E值</w:t>
            </w:r>
          </w:p>
        </w:tc>
        <w:tc>
          <w:tcPr>
            <w:tcW w:w="1304" w:type="dxa"/>
            <w:tcBorders>
              <w:tl2br w:val="nil"/>
              <w:tr2bl w:val="nil"/>
            </w:tcBorders>
            <w:vAlign w:val="center"/>
          </w:tcPr>
          <w:p w14:paraId="507326F5">
            <w:pPr>
              <w:pStyle w:val="63"/>
              <w:jc w:val="center"/>
              <w:rPr>
                <w:rFonts w:hint="eastAsia" w:ascii="Times New Roman" w:eastAsia="宋体" w:cs="Times New Roman"/>
                <w:color w:val="auto"/>
                <w:spacing w:val="-2"/>
                <w:sz w:val="21"/>
                <w:szCs w:val="21"/>
                <w:highlight w:val="none"/>
                <w:lang w:eastAsia="zh-CN"/>
              </w:rPr>
            </w:pPr>
            <w:r>
              <w:rPr>
                <w:rFonts w:ascii="Times New Roman" w:cs="Times New Roman"/>
                <w:color w:val="auto"/>
                <w:spacing w:val="-2"/>
                <w:sz w:val="21"/>
                <w:szCs w:val="21"/>
                <w:highlight w:val="none"/>
              </w:rPr>
              <w:t>E</w:t>
            </w:r>
            <w:r>
              <w:rPr>
                <w:rFonts w:hint="eastAsia" w:ascii="Times New Roman" w:cs="Times New Roman"/>
                <w:color w:val="auto"/>
                <w:spacing w:val="-2"/>
                <w:sz w:val="21"/>
                <w:szCs w:val="21"/>
                <w:highlight w:val="none"/>
                <w:lang w:val="en-US" w:eastAsia="zh-CN"/>
              </w:rPr>
              <w:t>3</w:t>
            </w:r>
          </w:p>
        </w:tc>
      </w:tr>
      <w:tr w14:paraId="2CDEF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restart"/>
            <w:tcBorders>
              <w:tl2br w:val="nil"/>
              <w:tr2bl w:val="nil"/>
            </w:tcBorders>
            <w:vAlign w:val="center"/>
          </w:tcPr>
          <w:p w14:paraId="5E83FBF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地</w:t>
            </w:r>
          </w:p>
          <w:p w14:paraId="0865DF7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表</w:t>
            </w:r>
          </w:p>
          <w:p w14:paraId="473A9C91">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水</w:t>
            </w:r>
          </w:p>
        </w:tc>
        <w:tc>
          <w:tcPr>
            <w:tcW w:w="7886" w:type="dxa"/>
            <w:gridSpan w:val="10"/>
            <w:tcBorders>
              <w:tl2br w:val="nil"/>
              <w:tr2bl w:val="nil"/>
            </w:tcBorders>
            <w:vAlign w:val="center"/>
          </w:tcPr>
          <w:p w14:paraId="2E953354">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受纳水体</w:t>
            </w:r>
          </w:p>
        </w:tc>
      </w:tr>
      <w:tr w14:paraId="7496B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vAlign w:val="center"/>
          </w:tcPr>
          <w:p w14:paraId="7FB8DBC1">
            <w:pPr>
              <w:pStyle w:val="63"/>
              <w:jc w:val="center"/>
              <w:rPr>
                <w:rFonts w:ascii="Times New Roman" w:cs="Times New Roman"/>
                <w:color w:val="auto"/>
                <w:spacing w:val="-2"/>
                <w:sz w:val="21"/>
                <w:szCs w:val="21"/>
                <w:highlight w:val="none"/>
              </w:rPr>
            </w:pPr>
          </w:p>
        </w:tc>
        <w:tc>
          <w:tcPr>
            <w:tcW w:w="692" w:type="dxa"/>
            <w:vAlign w:val="center"/>
          </w:tcPr>
          <w:p w14:paraId="71D37A7D">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序号</w:t>
            </w:r>
          </w:p>
        </w:tc>
        <w:tc>
          <w:tcPr>
            <w:tcW w:w="1915" w:type="dxa"/>
            <w:gridSpan w:val="2"/>
            <w:vAlign w:val="center"/>
          </w:tcPr>
          <w:p w14:paraId="590F058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受纳水体名称</w:t>
            </w:r>
          </w:p>
        </w:tc>
        <w:tc>
          <w:tcPr>
            <w:tcW w:w="2125" w:type="dxa"/>
            <w:gridSpan w:val="3"/>
            <w:vAlign w:val="center"/>
          </w:tcPr>
          <w:p w14:paraId="30539FC0">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排放点水域环境功能</w:t>
            </w:r>
          </w:p>
        </w:tc>
        <w:tc>
          <w:tcPr>
            <w:tcW w:w="3154" w:type="dxa"/>
            <w:gridSpan w:val="4"/>
            <w:vAlign w:val="center"/>
          </w:tcPr>
          <w:p w14:paraId="132459D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24h内流经范围/km</w:t>
            </w:r>
          </w:p>
        </w:tc>
      </w:tr>
      <w:tr w14:paraId="2F3BA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2" w:type="dxa"/>
            <w:vMerge w:val="continue"/>
            <w:vAlign w:val="center"/>
          </w:tcPr>
          <w:p w14:paraId="55AA0B39">
            <w:pPr>
              <w:pStyle w:val="63"/>
              <w:jc w:val="center"/>
              <w:rPr>
                <w:rFonts w:ascii="Times New Roman" w:cs="Times New Roman"/>
                <w:color w:val="auto"/>
                <w:spacing w:val="-2"/>
                <w:sz w:val="21"/>
                <w:szCs w:val="21"/>
                <w:highlight w:val="none"/>
              </w:rPr>
            </w:pPr>
          </w:p>
        </w:tc>
        <w:tc>
          <w:tcPr>
            <w:tcW w:w="692" w:type="dxa"/>
            <w:vAlign w:val="center"/>
          </w:tcPr>
          <w:p w14:paraId="777D78D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1</w:t>
            </w:r>
          </w:p>
        </w:tc>
        <w:tc>
          <w:tcPr>
            <w:tcW w:w="1915" w:type="dxa"/>
            <w:gridSpan w:val="2"/>
            <w:vAlign w:val="center"/>
          </w:tcPr>
          <w:p w14:paraId="23911ECE">
            <w:pPr>
              <w:pStyle w:val="63"/>
              <w:jc w:val="center"/>
              <w:rPr>
                <w:rFonts w:hint="eastAsia" w:ascii="Times New Roman" w:eastAsia="宋体" w:cs="Times New Roman"/>
                <w:color w:val="auto"/>
                <w:spacing w:val="-2"/>
                <w:sz w:val="21"/>
                <w:szCs w:val="21"/>
                <w:highlight w:val="none"/>
                <w:lang w:eastAsia="zh-CN"/>
              </w:rPr>
            </w:pPr>
            <w:r>
              <w:rPr>
                <w:rFonts w:hint="eastAsia" w:ascii="Times New Roman" w:cs="Times New Roman"/>
                <w:color w:val="auto"/>
                <w:spacing w:val="-2"/>
                <w:sz w:val="21"/>
                <w:szCs w:val="21"/>
                <w:highlight w:val="none"/>
                <w:lang w:val="en-US" w:eastAsia="zh-CN"/>
              </w:rPr>
              <w:t>平关河</w:t>
            </w:r>
          </w:p>
        </w:tc>
        <w:tc>
          <w:tcPr>
            <w:tcW w:w="2125" w:type="dxa"/>
            <w:gridSpan w:val="3"/>
            <w:vAlign w:val="center"/>
          </w:tcPr>
          <w:p w14:paraId="11578AE6">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Ⅳ</w:t>
            </w:r>
          </w:p>
        </w:tc>
        <w:tc>
          <w:tcPr>
            <w:tcW w:w="3154" w:type="dxa"/>
            <w:gridSpan w:val="4"/>
            <w:vAlign w:val="center"/>
          </w:tcPr>
          <w:p w14:paraId="667846A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其他</w:t>
            </w:r>
          </w:p>
        </w:tc>
      </w:tr>
      <w:tr w14:paraId="6121E7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642" w:type="dxa"/>
            <w:vMerge w:val="continue"/>
            <w:vAlign w:val="center"/>
          </w:tcPr>
          <w:p w14:paraId="1EBEC773">
            <w:pPr>
              <w:pStyle w:val="63"/>
              <w:jc w:val="center"/>
              <w:rPr>
                <w:rFonts w:ascii="Times New Roman" w:cs="Times New Roman"/>
                <w:color w:val="auto"/>
                <w:spacing w:val="-2"/>
                <w:sz w:val="21"/>
                <w:szCs w:val="21"/>
                <w:highlight w:val="none"/>
              </w:rPr>
            </w:pPr>
          </w:p>
        </w:tc>
        <w:tc>
          <w:tcPr>
            <w:tcW w:w="7886" w:type="dxa"/>
            <w:gridSpan w:val="10"/>
            <w:vAlign w:val="center"/>
          </w:tcPr>
          <w:p w14:paraId="17F65B86">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内陆水体排放点下游10km（近岸海域一个潮周期最大水平距离两倍）范围内敏感目标</w:t>
            </w:r>
          </w:p>
        </w:tc>
      </w:tr>
      <w:tr w14:paraId="25101D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2" w:type="dxa"/>
            <w:vMerge w:val="continue"/>
            <w:vAlign w:val="center"/>
          </w:tcPr>
          <w:p w14:paraId="6CC8EE5C">
            <w:pPr>
              <w:pStyle w:val="63"/>
              <w:jc w:val="center"/>
              <w:rPr>
                <w:rFonts w:ascii="Times New Roman" w:cs="Times New Roman"/>
                <w:color w:val="auto"/>
                <w:spacing w:val="-2"/>
                <w:sz w:val="21"/>
                <w:szCs w:val="21"/>
                <w:highlight w:val="none"/>
              </w:rPr>
            </w:pPr>
          </w:p>
        </w:tc>
        <w:tc>
          <w:tcPr>
            <w:tcW w:w="692" w:type="dxa"/>
            <w:vAlign w:val="center"/>
          </w:tcPr>
          <w:p w14:paraId="736D40E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序号</w:t>
            </w:r>
          </w:p>
        </w:tc>
        <w:tc>
          <w:tcPr>
            <w:tcW w:w="1915" w:type="dxa"/>
            <w:gridSpan w:val="2"/>
            <w:vAlign w:val="center"/>
          </w:tcPr>
          <w:p w14:paraId="415F8C9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敏感目标名称</w:t>
            </w:r>
          </w:p>
        </w:tc>
        <w:tc>
          <w:tcPr>
            <w:tcW w:w="819" w:type="dxa"/>
            <w:vAlign w:val="center"/>
          </w:tcPr>
          <w:p w14:paraId="09A1A9B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环境敏感特征</w:t>
            </w:r>
          </w:p>
        </w:tc>
        <w:tc>
          <w:tcPr>
            <w:tcW w:w="3088" w:type="dxa"/>
            <w:gridSpan w:val="4"/>
            <w:vAlign w:val="center"/>
          </w:tcPr>
          <w:p w14:paraId="19F8AD0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水质目标</w:t>
            </w:r>
          </w:p>
        </w:tc>
        <w:tc>
          <w:tcPr>
            <w:tcW w:w="1372" w:type="dxa"/>
            <w:gridSpan w:val="2"/>
            <w:vAlign w:val="center"/>
          </w:tcPr>
          <w:p w14:paraId="7413577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与排放点距离/m</w:t>
            </w:r>
          </w:p>
        </w:tc>
      </w:tr>
      <w:tr w14:paraId="6449B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42" w:type="dxa"/>
            <w:vMerge w:val="continue"/>
            <w:vAlign w:val="center"/>
          </w:tcPr>
          <w:p w14:paraId="7651D8DD">
            <w:pPr>
              <w:pStyle w:val="63"/>
              <w:jc w:val="center"/>
              <w:rPr>
                <w:rFonts w:ascii="Times New Roman" w:cs="Times New Roman"/>
                <w:color w:val="auto"/>
                <w:spacing w:val="-2"/>
                <w:sz w:val="21"/>
                <w:szCs w:val="21"/>
                <w:highlight w:val="none"/>
              </w:rPr>
            </w:pPr>
          </w:p>
        </w:tc>
        <w:tc>
          <w:tcPr>
            <w:tcW w:w="692" w:type="dxa"/>
            <w:vAlign w:val="center"/>
          </w:tcPr>
          <w:p w14:paraId="3CF98421">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w:t>
            </w:r>
          </w:p>
        </w:tc>
        <w:tc>
          <w:tcPr>
            <w:tcW w:w="1915" w:type="dxa"/>
            <w:gridSpan w:val="2"/>
            <w:vAlign w:val="center"/>
          </w:tcPr>
          <w:p w14:paraId="4B4ECAEB">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w:t>
            </w:r>
          </w:p>
        </w:tc>
        <w:tc>
          <w:tcPr>
            <w:tcW w:w="819" w:type="dxa"/>
            <w:vAlign w:val="center"/>
          </w:tcPr>
          <w:p w14:paraId="28CB668D">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w:t>
            </w:r>
          </w:p>
        </w:tc>
        <w:tc>
          <w:tcPr>
            <w:tcW w:w="3088" w:type="dxa"/>
            <w:gridSpan w:val="4"/>
            <w:vAlign w:val="center"/>
          </w:tcPr>
          <w:p w14:paraId="1E29E626">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w:t>
            </w:r>
          </w:p>
        </w:tc>
        <w:tc>
          <w:tcPr>
            <w:tcW w:w="1372" w:type="dxa"/>
            <w:gridSpan w:val="2"/>
            <w:vAlign w:val="center"/>
          </w:tcPr>
          <w:p w14:paraId="486EF8C0">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w:t>
            </w:r>
          </w:p>
        </w:tc>
      </w:tr>
      <w:tr w14:paraId="2ED80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42" w:type="dxa"/>
            <w:vMerge w:val="continue"/>
            <w:vAlign w:val="center"/>
          </w:tcPr>
          <w:p w14:paraId="7B59EA6C">
            <w:pPr>
              <w:pStyle w:val="63"/>
              <w:jc w:val="center"/>
              <w:rPr>
                <w:rFonts w:ascii="Times New Roman" w:cs="Times New Roman"/>
                <w:color w:val="auto"/>
                <w:spacing w:val="-2"/>
                <w:sz w:val="21"/>
                <w:szCs w:val="21"/>
                <w:highlight w:val="none"/>
              </w:rPr>
            </w:pPr>
          </w:p>
        </w:tc>
        <w:tc>
          <w:tcPr>
            <w:tcW w:w="6514" w:type="dxa"/>
            <w:gridSpan w:val="8"/>
            <w:vAlign w:val="center"/>
          </w:tcPr>
          <w:p w14:paraId="43831AC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地表水环境敏感程度E值</w:t>
            </w:r>
          </w:p>
        </w:tc>
        <w:tc>
          <w:tcPr>
            <w:tcW w:w="1372" w:type="dxa"/>
            <w:gridSpan w:val="2"/>
            <w:vAlign w:val="center"/>
          </w:tcPr>
          <w:p w14:paraId="17A84E7E">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E3</w:t>
            </w:r>
          </w:p>
        </w:tc>
      </w:tr>
    </w:tbl>
    <w:p w14:paraId="2FEC7F72">
      <w:pPr>
        <w:pStyle w:val="6"/>
        <w:spacing w:line="480" w:lineRule="exact"/>
        <w:jc w:val="both"/>
        <w:rPr>
          <w:rFonts w:ascii="Times New Roman" w:hAnsi="Times New Roman" w:cs="Times New Roman"/>
          <w:color w:val="auto"/>
          <w:highlight w:val="none"/>
        </w:rPr>
      </w:pPr>
      <w:r>
        <w:rPr>
          <w:rFonts w:ascii="Times New Roman" w:hAnsi="Times New Roman" w:cs="Times New Roman"/>
          <w:color w:val="auto"/>
          <w:highlight w:val="none"/>
        </w:rPr>
        <w:t>2.</w:t>
      </w:r>
      <w:r>
        <w:rPr>
          <w:rFonts w:hint="eastAsia" w:ascii="Times New Roman" w:hAnsi="Times New Roman" w:cs="Times New Roman"/>
          <w:color w:val="auto"/>
          <w:highlight w:val="none"/>
          <w:lang w:val="en-US" w:eastAsia="zh-CN"/>
        </w:rPr>
        <w:t>5.6.2</w:t>
      </w:r>
      <w:r>
        <w:rPr>
          <w:rFonts w:ascii="Times New Roman" w:hAnsi="Times New Roman" w:cs="Times New Roman"/>
          <w:color w:val="auto"/>
          <w:highlight w:val="none"/>
        </w:rPr>
        <w:t>环境风险潜势分析</w:t>
      </w:r>
    </w:p>
    <w:p w14:paraId="1EE1F9E7">
      <w:pPr>
        <w:widowControl w:val="0"/>
        <w:kinsoku/>
        <w:autoSpaceDE/>
        <w:autoSpaceDN/>
        <w:adjustRightInd/>
        <w:snapToGrid/>
        <w:spacing w:line="480" w:lineRule="exact"/>
        <w:ind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根据《建设项目环境风险评价技术导则》（HJ169-2018）中“6.1 环境风险潜势划分”可知，建设项目环境风险潜势划分为</w:t>
      </w:r>
      <w:r>
        <w:rPr>
          <w:rFonts w:ascii="Times New Roman" w:hAnsi="Times New Roman" w:eastAsia="宋体" w:cs="Times New Roman"/>
          <w:bCs/>
          <w:color w:val="auto"/>
          <w:sz w:val="24"/>
          <w:szCs w:val="24"/>
          <w:highlight w:val="none"/>
        </w:rPr>
        <w:t>Ⅰ、Ⅱ、Ⅲ、Ⅳ/Ⅳ</w:t>
      </w:r>
      <w:r>
        <w:rPr>
          <w:rFonts w:ascii="Times New Roman" w:hAnsi="Times New Roman" w:eastAsia="宋体" w:cs="Times New Roman"/>
          <w:bCs/>
          <w:color w:val="auto"/>
          <w:sz w:val="24"/>
          <w:szCs w:val="24"/>
          <w:highlight w:val="none"/>
          <w:vertAlign w:val="superscript"/>
        </w:rPr>
        <w:t>+</w:t>
      </w:r>
      <w:r>
        <w:rPr>
          <w:rFonts w:ascii="Times New Roman" w:hAnsi="Times New Roman" w:eastAsia="宋体" w:cs="Times New Roman"/>
          <w:bCs/>
          <w:color w:val="auto"/>
          <w:sz w:val="24"/>
          <w:szCs w:val="24"/>
          <w:highlight w:val="none"/>
        </w:rPr>
        <w:t>级</w:t>
      </w:r>
      <w:r>
        <w:rPr>
          <w:rFonts w:ascii="Times New Roman" w:hAnsi="Times New Roman" w:cs="Times New Roman"/>
          <w:color w:val="auto"/>
          <w:sz w:val="24"/>
          <w:szCs w:val="24"/>
          <w:highlight w:val="none"/>
        </w:rPr>
        <w:t>，应根据建设项目涉及的物质和工艺系统的危险性及其所在地的环境敏感程度，对建设项目潜在环境危害程度进行概化分析，按照表</w:t>
      </w:r>
      <w:r>
        <w:rPr>
          <w:rFonts w:hint="eastAsia" w:cs="Times New Roman"/>
          <w:color w:val="auto"/>
          <w:sz w:val="24"/>
          <w:szCs w:val="24"/>
          <w:highlight w:val="none"/>
          <w:lang w:val="en-US" w:eastAsia="zh-CN"/>
        </w:rPr>
        <w:t>2-5-18</w:t>
      </w:r>
      <w:r>
        <w:rPr>
          <w:rFonts w:ascii="Times New Roman" w:hAnsi="Times New Roman" w:cs="Times New Roman"/>
          <w:color w:val="auto"/>
          <w:sz w:val="24"/>
          <w:szCs w:val="24"/>
          <w:highlight w:val="none"/>
        </w:rPr>
        <w:t>确定环境风险潜势初判。本项目环境风险潜势综合等级为</w:t>
      </w:r>
      <w:r>
        <w:rPr>
          <w:rFonts w:ascii="Times New Roman" w:hAnsi="Times New Roman" w:eastAsia="宋体" w:cs="Times New Roman"/>
          <w:bCs/>
          <w:color w:val="auto"/>
          <w:sz w:val="24"/>
          <w:szCs w:val="24"/>
          <w:highlight w:val="none"/>
        </w:rPr>
        <w:t>Ⅰ</w:t>
      </w:r>
      <w:r>
        <w:rPr>
          <w:rFonts w:ascii="Times New Roman" w:hAnsi="Times New Roman" w:cs="Times New Roman"/>
          <w:color w:val="auto"/>
          <w:sz w:val="24"/>
          <w:szCs w:val="24"/>
          <w:highlight w:val="none"/>
        </w:rPr>
        <w:t>级。其中大气环境风险潜势判定为</w:t>
      </w:r>
      <w:r>
        <w:rPr>
          <w:rFonts w:ascii="Times New Roman" w:hAnsi="Times New Roman" w:eastAsia="宋体" w:cs="Times New Roman"/>
          <w:bCs/>
          <w:color w:val="auto"/>
          <w:sz w:val="24"/>
          <w:szCs w:val="24"/>
          <w:highlight w:val="none"/>
        </w:rPr>
        <w:t>Ⅰ</w:t>
      </w:r>
      <w:r>
        <w:rPr>
          <w:rFonts w:ascii="Times New Roman" w:hAnsi="Times New Roman" w:cs="Times New Roman"/>
          <w:color w:val="auto"/>
          <w:sz w:val="24"/>
          <w:szCs w:val="24"/>
          <w:highlight w:val="none"/>
        </w:rPr>
        <w:t>级；地下水环境风险潜势判定为</w:t>
      </w:r>
      <w:r>
        <w:rPr>
          <w:rFonts w:ascii="Times New Roman" w:hAnsi="Times New Roman" w:eastAsia="宋体" w:cs="Times New Roman"/>
          <w:bCs/>
          <w:color w:val="auto"/>
          <w:sz w:val="24"/>
          <w:szCs w:val="24"/>
          <w:highlight w:val="none"/>
        </w:rPr>
        <w:t>Ⅰ</w:t>
      </w:r>
      <w:r>
        <w:rPr>
          <w:rFonts w:ascii="Times New Roman" w:hAnsi="Times New Roman" w:cs="Times New Roman"/>
          <w:color w:val="auto"/>
          <w:sz w:val="24"/>
          <w:szCs w:val="24"/>
          <w:highlight w:val="none"/>
        </w:rPr>
        <w:t>级；地表水环境风险潜势判定为</w:t>
      </w:r>
      <w:r>
        <w:rPr>
          <w:rFonts w:ascii="Times New Roman" w:hAnsi="Times New Roman" w:eastAsia="宋体" w:cs="Times New Roman"/>
          <w:bCs/>
          <w:color w:val="auto"/>
          <w:sz w:val="24"/>
          <w:szCs w:val="24"/>
          <w:highlight w:val="none"/>
        </w:rPr>
        <w:t>Ⅰ</w:t>
      </w:r>
      <w:r>
        <w:rPr>
          <w:rFonts w:ascii="Times New Roman" w:hAnsi="Times New Roman" w:cs="Times New Roman"/>
          <w:color w:val="auto"/>
          <w:sz w:val="24"/>
          <w:szCs w:val="24"/>
          <w:highlight w:val="none"/>
        </w:rPr>
        <w:t>级。</w:t>
      </w:r>
    </w:p>
    <w:p w14:paraId="5E3CE351">
      <w:pPr>
        <w:widowControl w:val="0"/>
        <w:kinsoku/>
        <w:autoSpaceDE/>
        <w:autoSpaceDN/>
        <w:adjustRightInd/>
        <w:snapToGrid/>
        <w:spacing w:line="480" w:lineRule="exact"/>
        <w:jc w:val="center"/>
        <w:textAlignment w:val="auto"/>
        <w:rPr>
          <w:rFonts w:ascii="Times New Roman" w:hAnsi="Times New Roman" w:cs="Times New Roman"/>
          <w:b/>
          <w:color w:val="auto"/>
          <w:sz w:val="24"/>
          <w:szCs w:val="24"/>
          <w:highlight w:val="none"/>
        </w:rPr>
      </w:pPr>
      <w:r>
        <w:rPr>
          <w:rFonts w:hint="default" w:ascii="Times New Roman" w:hAnsi="Times New Roman" w:eastAsia="黑体" w:cs="Times New Roman"/>
          <w:b w:val="0"/>
          <w:bCs/>
          <w:color w:val="auto"/>
          <w:sz w:val="24"/>
          <w:szCs w:val="24"/>
          <w:highlight w:val="none"/>
        </w:rPr>
        <w:t>表</w:t>
      </w:r>
      <w:r>
        <w:rPr>
          <w:rFonts w:hint="default" w:ascii="Times New Roman" w:hAnsi="Times New Roman" w:eastAsia="黑体" w:cs="Times New Roman"/>
          <w:b w:val="0"/>
          <w:bCs/>
          <w:color w:val="auto"/>
          <w:sz w:val="24"/>
          <w:szCs w:val="24"/>
          <w:highlight w:val="none"/>
          <w:lang w:val="en-US" w:eastAsia="zh-CN"/>
        </w:rPr>
        <w:t>2-5-18</w:t>
      </w:r>
      <w:r>
        <w:rPr>
          <w:rFonts w:hint="default" w:ascii="Times New Roman" w:hAnsi="Times New Roman" w:eastAsia="黑体" w:cs="Times New Roman"/>
          <w:b w:val="0"/>
          <w:bCs/>
          <w:color w:val="auto"/>
          <w:sz w:val="24"/>
          <w:szCs w:val="24"/>
          <w:highlight w:val="none"/>
        </w:rPr>
        <w:t xml:space="preserve"> 建设项目环境风险潜势划分</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7"/>
        <w:gridCol w:w="1224"/>
        <w:gridCol w:w="1456"/>
        <w:gridCol w:w="1705"/>
        <w:gridCol w:w="1706"/>
      </w:tblGrid>
      <w:tr w14:paraId="62ABF1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7" w:type="dxa"/>
            <w:vMerge w:val="restart"/>
            <w:tcBorders>
              <w:tl2br w:val="nil"/>
              <w:tr2bl w:val="nil"/>
            </w:tcBorders>
            <w:vAlign w:val="center"/>
          </w:tcPr>
          <w:p w14:paraId="60E97071">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环境敏感程度（E）</w:t>
            </w:r>
          </w:p>
        </w:tc>
        <w:tc>
          <w:tcPr>
            <w:tcW w:w="6091" w:type="dxa"/>
            <w:gridSpan w:val="4"/>
            <w:tcBorders>
              <w:tl2br w:val="nil"/>
              <w:tr2bl w:val="nil"/>
            </w:tcBorders>
            <w:vAlign w:val="center"/>
          </w:tcPr>
          <w:p w14:paraId="768B8CF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危险物质及工艺系统危险性（P）</w:t>
            </w:r>
          </w:p>
        </w:tc>
      </w:tr>
      <w:tr w14:paraId="3F7DA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7" w:type="dxa"/>
            <w:vMerge w:val="continue"/>
            <w:tcBorders>
              <w:tl2br w:val="nil"/>
              <w:tr2bl w:val="nil"/>
            </w:tcBorders>
            <w:vAlign w:val="center"/>
          </w:tcPr>
          <w:p w14:paraId="7969A6BC">
            <w:pPr>
              <w:pStyle w:val="63"/>
              <w:jc w:val="center"/>
              <w:rPr>
                <w:rFonts w:ascii="Times New Roman" w:cs="Times New Roman"/>
                <w:color w:val="auto"/>
                <w:spacing w:val="-2"/>
                <w:sz w:val="21"/>
                <w:szCs w:val="21"/>
                <w:highlight w:val="none"/>
              </w:rPr>
            </w:pPr>
          </w:p>
        </w:tc>
        <w:tc>
          <w:tcPr>
            <w:tcW w:w="1224" w:type="dxa"/>
            <w:tcBorders>
              <w:tl2br w:val="nil"/>
              <w:tr2bl w:val="nil"/>
            </w:tcBorders>
            <w:vAlign w:val="center"/>
          </w:tcPr>
          <w:p w14:paraId="652E6E2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极高危害（P1）</w:t>
            </w:r>
          </w:p>
        </w:tc>
        <w:tc>
          <w:tcPr>
            <w:tcW w:w="1456" w:type="dxa"/>
            <w:tcBorders>
              <w:tl2br w:val="nil"/>
              <w:tr2bl w:val="nil"/>
            </w:tcBorders>
            <w:vAlign w:val="center"/>
          </w:tcPr>
          <w:p w14:paraId="414407A9">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高度危害（P2）</w:t>
            </w:r>
          </w:p>
        </w:tc>
        <w:tc>
          <w:tcPr>
            <w:tcW w:w="1705" w:type="dxa"/>
            <w:tcBorders>
              <w:tl2br w:val="nil"/>
              <w:tr2bl w:val="nil"/>
            </w:tcBorders>
            <w:vAlign w:val="center"/>
          </w:tcPr>
          <w:p w14:paraId="69E6BB2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中度危害（P3）</w:t>
            </w:r>
          </w:p>
        </w:tc>
        <w:tc>
          <w:tcPr>
            <w:tcW w:w="1706" w:type="dxa"/>
            <w:tcBorders>
              <w:tl2br w:val="nil"/>
              <w:tr2bl w:val="nil"/>
            </w:tcBorders>
            <w:vAlign w:val="center"/>
          </w:tcPr>
          <w:p w14:paraId="53A6C26D">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轻度危害（P4）</w:t>
            </w:r>
          </w:p>
        </w:tc>
      </w:tr>
      <w:tr w14:paraId="3A9A4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7" w:type="dxa"/>
            <w:tcBorders>
              <w:tl2br w:val="nil"/>
              <w:tr2bl w:val="nil"/>
            </w:tcBorders>
            <w:vAlign w:val="center"/>
          </w:tcPr>
          <w:p w14:paraId="51B1ECAE">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环境高度敏感区（E1）</w:t>
            </w:r>
          </w:p>
        </w:tc>
        <w:tc>
          <w:tcPr>
            <w:tcW w:w="1224" w:type="dxa"/>
            <w:tcBorders>
              <w:tl2br w:val="nil"/>
              <w:tr2bl w:val="nil"/>
            </w:tcBorders>
            <w:vAlign w:val="center"/>
          </w:tcPr>
          <w:p w14:paraId="31D1AB1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Ⅳ+</w:t>
            </w:r>
          </w:p>
        </w:tc>
        <w:tc>
          <w:tcPr>
            <w:tcW w:w="1456" w:type="dxa"/>
            <w:tcBorders>
              <w:tl2br w:val="nil"/>
              <w:tr2bl w:val="nil"/>
            </w:tcBorders>
            <w:vAlign w:val="center"/>
          </w:tcPr>
          <w:p w14:paraId="539CC5E7">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Ⅳ</w:t>
            </w:r>
          </w:p>
        </w:tc>
        <w:tc>
          <w:tcPr>
            <w:tcW w:w="1705" w:type="dxa"/>
            <w:tcBorders>
              <w:tl2br w:val="nil"/>
              <w:tr2bl w:val="nil"/>
            </w:tcBorders>
            <w:vAlign w:val="center"/>
          </w:tcPr>
          <w:p w14:paraId="40610C21">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c>
          <w:tcPr>
            <w:tcW w:w="1706" w:type="dxa"/>
            <w:tcBorders>
              <w:tl2br w:val="nil"/>
              <w:tr2bl w:val="nil"/>
            </w:tcBorders>
            <w:vAlign w:val="center"/>
          </w:tcPr>
          <w:p w14:paraId="661B2654">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r>
      <w:tr w14:paraId="1C3B5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7" w:type="dxa"/>
            <w:tcBorders>
              <w:tl2br w:val="nil"/>
              <w:tr2bl w:val="nil"/>
            </w:tcBorders>
            <w:vAlign w:val="center"/>
          </w:tcPr>
          <w:p w14:paraId="4B3A1083">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环境中度敏感区（E2）</w:t>
            </w:r>
          </w:p>
        </w:tc>
        <w:tc>
          <w:tcPr>
            <w:tcW w:w="1224" w:type="dxa"/>
            <w:tcBorders>
              <w:tl2br w:val="nil"/>
              <w:tr2bl w:val="nil"/>
            </w:tcBorders>
            <w:vAlign w:val="center"/>
          </w:tcPr>
          <w:p w14:paraId="0D985EB0">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Ⅳ</w:t>
            </w:r>
          </w:p>
        </w:tc>
        <w:tc>
          <w:tcPr>
            <w:tcW w:w="1456" w:type="dxa"/>
            <w:tcBorders>
              <w:tl2br w:val="nil"/>
              <w:tr2bl w:val="nil"/>
            </w:tcBorders>
            <w:vAlign w:val="center"/>
          </w:tcPr>
          <w:p w14:paraId="29754B66">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c>
          <w:tcPr>
            <w:tcW w:w="1705" w:type="dxa"/>
            <w:tcBorders>
              <w:tl2br w:val="nil"/>
              <w:tr2bl w:val="nil"/>
            </w:tcBorders>
            <w:vAlign w:val="center"/>
          </w:tcPr>
          <w:p w14:paraId="13DA4A2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c>
          <w:tcPr>
            <w:tcW w:w="1706" w:type="dxa"/>
            <w:tcBorders>
              <w:tl2br w:val="nil"/>
              <w:tr2bl w:val="nil"/>
            </w:tcBorders>
            <w:vAlign w:val="center"/>
          </w:tcPr>
          <w:p w14:paraId="385B28D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Ⅱ</w:t>
            </w:r>
          </w:p>
        </w:tc>
      </w:tr>
      <w:tr w14:paraId="458FFF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37" w:type="dxa"/>
            <w:tcBorders>
              <w:tl2br w:val="nil"/>
              <w:tr2bl w:val="nil"/>
            </w:tcBorders>
            <w:vAlign w:val="center"/>
          </w:tcPr>
          <w:p w14:paraId="2C2BBCCC">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环境低度敏感区（E3）</w:t>
            </w:r>
          </w:p>
        </w:tc>
        <w:tc>
          <w:tcPr>
            <w:tcW w:w="1224" w:type="dxa"/>
            <w:tcBorders>
              <w:tl2br w:val="nil"/>
              <w:tr2bl w:val="nil"/>
            </w:tcBorders>
            <w:vAlign w:val="center"/>
          </w:tcPr>
          <w:p w14:paraId="24F6ADAF">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c>
          <w:tcPr>
            <w:tcW w:w="1456" w:type="dxa"/>
            <w:tcBorders>
              <w:tl2br w:val="nil"/>
              <w:tr2bl w:val="nil"/>
            </w:tcBorders>
            <w:vAlign w:val="center"/>
          </w:tcPr>
          <w:p w14:paraId="2671E8AB">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Ⅲ</w:t>
            </w:r>
          </w:p>
        </w:tc>
        <w:tc>
          <w:tcPr>
            <w:tcW w:w="1705" w:type="dxa"/>
            <w:tcBorders>
              <w:tl2br w:val="nil"/>
              <w:tr2bl w:val="nil"/>
            </w:tcBorders>
            <w:vAlign w:val="center"/>
          </w:tcPr>
          <w:p w14:paraId="7AF7B6A5">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Ⅱ</w:t>
            </w:r>
          </w:p>
        </w:tc>
        <w:tc>
          <w:tcPr>
            <w:tcW w:w="1706" w:type="dxa"/>
            <w:tcBorders>
              <w:tl2br w:val="nil"/>
              <w:tr2bl w:val="nil"/>
            </w:tcBorders>
            <w:vAlign w:val="center"/>
          </w:tcPr>
          <w:p w14:paraId="0C26BF92">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Ⅰ</w:t>
            </w:r>
          </w:p>
        </w:tc>
      </w:tr>
      <w:tr w14:paraId="02CB0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8" w:type="dxa"/>
            <w:gridSpan w:val="5"/>
            <w:tcBorders>
              <w:tl2br w:val="nil"/>
              <w:tr2bl w:val="nil"/>
            </w:tcBorders>
            <w:vAlign w:val="center"/>
          </w:tcPr>
          <w:p w14:paraId="404DC6A8">
            <w:pPr>
              <w:pStyle w:val="63"/>
              <w:jc w:val="center"/>
              <w:rPr>
                <w:rFonts w:ascii="Times New Roman" w:cs="Times New Roman"/>
                <w:color w:val="auto"/>
                <w:spacing w:val="-2"/>
                <w:sz w:val="21"/>
                <w:szCs w:val="21"/>
                <w:highlight w:val="none"/>
              </w:rPr>
            </w:pPr>
            <w:r>
              <w:rPr>
                <w:rFonts w:ascii="Times New Roman" w:cs="Times New Roman"/>
                <w:color w:val="auto"/>
                <w:spacing w:val="-2"/>
                <w:sz w:val="21"/>
                <w:szCs w:val="21"/>
                <w:highlight w:val="none"/>
              </w:rPr>
              <w:t>注：Ⅳ+为极高环境风险</w:t>
            </w:r>
          </w:p>
        </w:tc>
      </w:tr>
    </w:tbl>
    <w:p w14:paraId="415A0714">
      <w:pPr>
        <w:pStyle w:val="6"/>
        <w:spacing w:line="480" w:lineRule="exact"/>
        <w:jc w:val="both"/>
        <w:rPr>
          <w:rFonts w:ascii="Times New Roman" w:hAnsi="Times New Roman" w:cs="Times New Roman"/>
          <w:color w:val="auto"/>
          <w:highlight w:val="none"/>
        </w:rPr>
      </w:pPr>
      <w:r>
        <w:rPr>
          <w:rFonts w:ascii="Times New Roman" w:hAnsi="Times New Roman" w:cs="Times New Roman"/>
          <w:color w:val="auto"/>
          <w:highlight w:val="none"/>
        </w:rPr>
        <w:t>2.</w:t>
      </w:r>
      <w:r>
        <w:rPr>
          <w:rFonts w:hint="eastAsia" w:ascii="Times New Roman" w:hAnsi="Times New Roman" w:cs="Times New Roman"/>
          <w:color w:val="auto"/>
          <w:highlight w:val="none"/>
          <w:lang w:val="en-US" w:eastAsia="zh-CN"/>
        </w:rPr>
        <w:t>5.6.3</w:t>
      </w:r>
      <w:r>
        <w:rPr>
          <w:rFonts w:ascii="Times New Roman" w:hAnsi="Times New Roman" w:cs="Times New Roman"/>
          <w:color w:val="auto"/>
          <w:highlight w:val="none"/>
        </w:rPr>
        <w:t>环境风险评价等级判定</w:t>
      </w:r>
    </w:p>
    <w:p w14:paraId="2D98ACF3">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表2-5-1</w:t>
      </w:r>
      <w:r>
        <w:rPr>
          <w:rFonts w:hint="eastAsia" w:cs="Times New Roman"/>
          <w:color w:val="auto"/>
          <w:highlight w:val="none"/>
          <w:lang w:val="en-US" w:eastAsia="zh-CN"/>
        </w:rPr>
        <w:t>9</w:t>
      </w:r>
      <w:r>
        <w:rPr>
          <w:rFonts w:hint="default" w:ascii="Times New Roman" w:hAnsi="Times New Roman" w:cs="Times New Roman"/>
          <w:color w:val="auto"/>
          <w:highlight w:val="none"/>
        </w:rPr>
        <w:t>环境风险评价工作等级划分</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766"/>
        <w:gridCol w:w="1578"/>
        <w:gridCol w:w="1578"/>
        <w:gridCol w:w="1842"/>
      </w:tblGrid>
      <w:tr w14:paraId="5CD4D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tcPr>
          <w:p w14:paraId="4606470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环境风险潜势</w:t>
            </w:r>
          </w:p>
        </w:tc>
        <w:tc>
          <w:tcPr>
            <w:tcW w:w="1063" w:type="pct"/>
          </w:tcPr>
          <w:p w14:paraId="118F623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p>
        </w:tc>
        <w:tc>
          <w:tcPr>
            <w:tcW w:w="950" w:type="pct"/>
          </w:tcPr>
          <w:p w14:paraId="7C04FDA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p>
        </w:tc>
        <w:tc>
          <w:tcPr>
            <w:tcW w:w="950" w:type="pct"/>
          </w:tcPr>
          <w:p w14:paraId="6478F54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w:t>
            </w:r>
            <w:r>
              <w:rPr>
                <w:rFonts w:hint="default" w:ascii="Times New Roman" w:hAnsi="Times New Roman" w:eastAsia="宋体" w:cs="Times New Roman"/>
                <w:color w:val="auto"/>
                <w:highlight w:val="none"/>
              </w:rPr>
              <w:fldChar w:fldCharType="end"/>
            </w:r>
          </w:p>
        </w:tc>
        <w:tc>
          <w:tcPr>
            <w:tcW w:w="1109" w:type="pct"/>
          </w:tcPr>
          <w:p w14:paraId="139FB21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w:t>
            </w:r>
            <w:r>
              <w:rPr>
                <w:rFonts w:hint="default" w:ascii="Times New Roman" w:hAnsi="Times New Roman" w:eastAsia="宋体" w:cs="Times New Roman"/>
                <w:color w:val="auto"/>
                <w:highlight w:val="none"/>
              </w:rPr>
              <w:fldChar w:fldCharType="end"/>
            </w:r>
          </w:p>
        </w:tc>
      </w:tr>
      <w:tr w14:paraId="5D985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tcPr>
          <w:p w14:paraId="2C79076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1063" w:type="pct"/>
          </w:tcPr>
          <w:p w14:paraId="17BA84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950" w:type="pct"/>
          </w:tcPr>
          <w:p w14:paraId="5CEBFD6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950" w:type="pct"/>
          </w:tcPr>
          <w:p w14:paraId="360772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1109" w:type="pct"/>
          </w:tcPr>
          <w:p w14:paraId="52178F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w:t>
            </w:r>
          </w:p>
        </w:tc>
      </w:tr>
      <w:tr w14:paraId="4DAE7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tcPr>
          <w:p w14:paraId="0735BF5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*是相对于详细评价工作内容而言，在描述危险物质、环境影响途径、环境危害后果、风险防范措施等方面给出定性的说明。见附录A</w:t>
            </w:r>
          </w:p>
        </w:tc>
      </w:tr>
    </w:tbl>
    <w:p w14:paraId="2EE31629">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本项目风险潜势为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，根据《建设项目环境风险评价技术导则》（HJ169-2018）中表1的评价分级原则，风险潜势为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，可开展简单分析。</w:t>
      </w:r>
    </w:p>
    <w:p w14:paraId="6958E8F9">
      <w:pPr>
        <w:pStyle w:val="5"/>
        <w:spacing w:line="500" w:lineRule="exact"/>
        <w:rPr>
          <w:rFonts w:hint="default" w:ascii="Times New Roman" w:hAnsi="Times New Roman" w:cs="Times New Roman"/>
          <w:color w:val="auto"/>
          <w:highlight w:val="none"/>
        </w:rPr>
      </w:pPr>
      <w:bookmarkStart w:id="116" w:name="_Toc57713622"/>
      <w:bookmarkStart w:id="117" w:name="_Toc26877786"/>
      <w:bookmarkStart w:id="118" w:name="_Toc12377"/>
      <w:bookmarkStart w:id="119" w:name="_Toc15489049"/>
      <w:bookmarkStart w:id="120" w:name="_Toc16616340"/>
      <w:bookmarkStart w:id="121" w:name="_Hlk44581723"/>
      <w:r>
        <w:rPr>
          <w:rFonts w:hint="default" w:ascii="Times New Roman" w:hAnsi="Times New Roman" w:cs="Times New Roman"/>
          <w:color w:val="auto"/>
          <w:highlight w:val="none"/>
        </w:rPr>
        <w:t>2.5.7土壤环境</w:t>
      </w:r>
      <w:bookmarkEnd w:id="116"/>
      <w:bookmarkEnd w:id="117"/>
      <w:bookmarkEnd w:id="118"/>
      <w:bookmarkEnd w:id="119"/>
      <w:bookmarkEnd w:id="120"/>
    </w:p>
    <w:p w14:paraId="7F30509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土壤环境（试行）》（HJ964-2018）评价工作等级的划分应依据所属行业的土壤环境影响评价项目类别、占地规模和土壤环境敏感程度分级进行判定。</w:t>
      </w:r>
    </w:p>
    <w:p w14:paraId="3760955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（1）土壤环境影响评价项目类别</w:t>
      </w:r>
    </w:p>
    <w:p w14:paraId="372F112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土壤环境（试行）》（HJ964-2018）中规定的环境影响识别方法，根据附录A.1，本项目属于“农林牧渔业，年出栏生猪5000头（其他畜禽种类折合猪的养殖规模）及以上的畜禽养殖场或养殖小区”，项目类别为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p>
    <w:p w14:paraId="1B75250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（2）占地规模</w:t>
      </w:r>
    </w:p>
    <w:p w14:paraId="7C6C5E7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本项目占地面积为</w:t>
      </w:r>
      <w:r>
        <w:rPr>
          <w:rFonts w:hint="default"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6.4161</w:t>
      </w:r>
      <w:r>
        <w:rPr>
          <w:rFonts w:hint="default" w:ascii="Times New Roman" w:hAnsi="Times New Roman" w:eastAsia="宋体" w:cs="Times New Roman"/>
          <w:color w:val="auto"/>
          <w:highlight w:val="none"/>
          <w:lang w:eastAsia="zh-CN"/>
        </w:rPr>
        <w:t>万</w:t>
      </w:r>
      <w:r>
        <w:rPr>
          <w:rFonts w:hint="default" w:ascii="Times New Roman" w:hAnsi="Times New Roman" w:eastAsia="宋体" w:cs="Times New Roman"/>
          <w:color w:val="auto"/>
          <w:szCs w:val="24"/>
          <w:highlight w:val="none"/>
        </w:rPr>
        <w:t>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szCs w:val="24"/>
          <w:highlight w:val="none"/>
        </w:rPr>
        <w:t>hm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highlight w:val="none"/>
        </w:rPr>
        <w:t>，根据，根据《环境影响评价技术导则 土壤环境（试行）》（HJ964-2018），建设项目占地规模分为大型（≥50hm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rPr>
        <w:t>）</w:t>
      </w:r>
      <w:r>
        <w:rPr>
          <w:rFonts w:hint="default" w:ascii="Times New Roman" w:hAnsi="Times New Roman" w:eastAsia="宋体" w:cs="Times New Roman"/>
          <w:color w:val="auto"/>
          <w:highlight w:val="none"/>
        </w:rPr>
        <w:t>、中型（5-50hm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）、小型（≤5hm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），则本项目占地规模为</w:t>
      </w:r>
      <w:r>
        <w:rPr>
          <w:rFonts w:hint="default" w:ascii="Times New Roman" w:hAnsi="Times New Roman" w:eastAsia="宋体" w:cs="Times New Roman"/>
          <w:color w:val="auto"/>
          <w:highlight w:val="none"/>
          <w:lang w:val="en-US" w:eastAsia="zh-CN"/>
        </w:rPr>
        <w:t>大</w:t>
      </w:r>
      <w:r>
        <w:rPr>
          <w:rFonts w:hint="default" w:ascii="Times New Roman" w:hAnsi="Times New Roman" w:eastAsia="宋体" w:cs="Times New Roman"/>
          <w:color w:val="auto"/>
          <w:highlight w:val="none"/>
        </w:rPr>
        <w:t>型。</w:t>
      </w:r>
    </w:p>
    <w:p w14:paraId="20E6B5E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（3）敏感程度</w:t>
      </w:r>
    </w:p>
    <w:p w14:paraId="1B8707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建设项目所在地周边的土壤环境敏感程度分为敏感、较敏感、不敏感，判别依据见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0CEBDB0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表2-5-</w:t>
      </w:r>
      <w:r>
        <w:rPr>
          <w:rFonts w:hint="eastAsia" w:cs="Times New Roman"/>
          <w:color w:val="auto"/>
          <w:highlight w:val="none"/>
          <w:lang w:val="en-US" w:eastAsia="zh-CN"/>
        </w:rPr>
        <w:t>20</w:t>
      </w:r>
      <w:r>
        <w:rPr>
          <w:rFonts w:hint="default" w:ascii="Times New Roman" w:hAnsi="Times New Roman" w:cs="Times New Roman"/>
          <w:color w:val="auto"/>
          <w:highlight w:val="none"/>
        </w:rPr>
        <w:t>污染影响型敏感程度分级表</w:t>
      </w:r>
    </w:p>
    <w:tbl>
      <w:tblPr>
        <w:tblStyle w:val="47"/>
        <w:tblW w:w="8250" w:type="dxa"/>
        <w:jc w:val="center"/>
        <w:tblLayout w:type="fixed"/>
        <w:tblCellMar>
          <w:top w:w="0" w:type="dxa"/>
          <w:left w:w="0" w:type="dxa"/>
          <w:bottom w:w="0" w:type="dxa"/>
          <w:right w:w="0" w:type="dxa"/>
        </w:tblCellMar>
      </w:tblPr>
      <w:tblGrid>
        <w:gridCol w:w="1276"/>
        <w:gridCol w:w="6974"/>
      </w:tblGrid>
      <w:tr w14:paraId="6A980503">
        <w:tblPrEx>
          <w:tblCellMar>
            <w:top w:w="0" w:type="dxa"/>
            <w:left w:w="0" w:type="dxa"/>
            <w:bottom w:w="0" w:type="dxa"/>
            <w:right w:w="0" w:type="dxa"/>
          </w:tblCellMar>
        </w:tblPrEx>
        <w:trPr>
          <w:trHeight w:val="284" w:hRule="atLeast"/>
          <w:jc w:val="center"/>
        </w:trPr>
        <w:tc>
          <w:tcPr>
            <w:tcW w:w="1276" w:type="dxa"/>
            <w:tcBorders>
              <w:top w:val="single" w:color="000000" w:sz="12" w:space="0"/>
              <w:left w:val="nil"/>
              <w:bottom w:val="single" w:color="000000" w:sz="4" w:space="0"/>
              <w:right w:val="single" w:color="000000" w:sz="4" w:space="0"/>
            </w:tcBorders>
            <w:vAlign w:val="center"/>
          </w:tcPr>
          <w:p w14:paraId="33E6201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敏感程度</w:t>
            </w:r>
          </w:p>
        </w:tc>
        <w:tc>
          <w:tcPr>
            <w:tcW w:w="6974" w:type="dxa"/>
            <w:tcBorders>
              <w:top w:val="single" w:color="000000" w:sz="12" w:space="0"/>
              <w:left w:val="single" w:color="000000" w:sz="4" w:space="0"/>
              <w:bottom w:val="single" w:color="000000" w:sz="4" w:space="0"/>
              <w:right w:val="nil"/>
            </w:tcBorders>
            <w:vAlign w:val="center"/>
          </w:tcPr>
          <w:p w14:paraId="2A3B865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判别依据</w:t>
            </w:r>
          </w:p>
        </w:tc>
      </w:tr>
      <w:tr w14:paraId="11B5D5A8">
        <w:tblPrEx>
          <w:tblCellMar>
            <w:top w:w="0" w:type="dxa"/>
            <w:left w:w="0" w:type="dxa"/>
            <w:bottom w:w="0" w:type="dxa"/>
            <w:right w:w="0" w:type="dxa"/>
          </w:tblCellMar>
        </w:tblPrEx>
        <w:trPr>
          <w:trHeight w:val="284" w:hRule="atLeast"/>
          <w:jc w:val="center"/>
        </w:trPr>
        <w:tc>
          <w:tcPr>
            <w:tcW w:w="1276" w:type="dxa"/>
            <w:tcBorders>
              <w:top w:val="single" w:color="000000" w:sz="4" w:space="0"/>
              <w:left w:val="nil"/>
              <w:bottom w:val="single" w:color="000000" w:sz="4" w:space="0"/>
              <w:right w:val="single" w:color="000000" w:sz="4" w:space="0"/>
            </w:tcBorders>
            <w:vAlign w:val="center"/>
          </w:tcPr>
          <w:p w14:paraId="5980581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敏感</w:t>
            </w:r>
          </w:p>
        </w:tc>
        <w:tc>
          <w:tcPr>
            <w:tcW w:w="6974" w:type="dxa"/>
            <w:tcBorders>
              <w:top w:val="single" w:color="000000" w:sz="4" w:space="0"/>
              <w:left w:val="single" w:color="000000" w:sz="4" w:space="0"/>
              <w:bottom w:val="single" w:color="000000" w:sz="4" w:space="0"/>
              <w:right w:val="nil"/>
            </w:tcBorders>
            <w:vAlign w:val="center"/>
          </w:tcPr>
          <w:p w14:paraId="7B22D5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建设项目周边存在耕地、园地、牧草地、饮用水水源地或居民区、学校、医院、疗养院、等土壤环境敏感目标的</w:t>
            </w:r>
          </w:p>
        </w:tc>
      </w:tr>
      <w:tr w14:paraId="139511CD">
        <w:tblPrEx>
          <w:tblCellMar>
            <w:top w:w="0" w:type="dxa"/>
            <w:left w:w="0" w:type="dxa"/>
            <w:bottom w:w="0" w:type="dxa"/>
            <w:right w:w="0" w:type="dxa"/>
          </w:tblCellMar>
        </w:tblPrEx>
        <w:trPr>
          <w:trHeight w:val="284" w:hRule="atLeast"/>
          <w:jc w:val="center"/>
        </w:trPr>
        <w:tc>
          <w:tcPr>
            <w:tcW w:w="1276" w:type="dxa"/>
            <w:tcBorders>
              <w:top w:val="single" w:color="000000" w:sz="4" w:space="0"/>
              <w:left w:val="nil"/>
              <w:bottom w:val="single" w:color="000000" w:sz="4" w:space="0"/>
              <w:right w:val="single" w:color="000000" w:sz="4" w:space="0"/>
            </w:tcBorders>
            <w:vAlign w:val="center"/>
          </w:tcPr>
          <w:p w14:paraId="094B9A1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较敏感</w:t>
            </w:r>
          </w:p>
        </w:tc>
        <w:tc>
          <w:tcPr>
            <w:tcW w:w="6974" w:type="dxa"/>
            <w:tcBorders>
              <w:top w:val="single" w:color="000000" w:sz="4" w:space="0"/>
              <w:left w:val="single" w:color="000000" w:sz="4" w:space="0"/>
              <w:bottom w:val="single" w:color="000000" w:sz="4" w:space="0"/>
              <w:right w:val="nil"/>
            </w:tcBorders>
            <w:vAlign w:val="center"/>
          </w:tcPr>
          <w:p w14:paraId="3B40A5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建设项目周边存在其他土壤环境敏感目标</w:t>
            </w:r>
          </w:p>
        </w:tc>
      </w:tr>
      <w:tr w14:paraId="2CD8C54A">
        <w:tblPrEx>
          <w:tblCellMar>
            <w:top w:w="0" w:type="dxa"/>
            <w:left w:w="0" w:type="dxa"/>
            <w:bottom w:w="0" w:type="dxa"/>
            <w:right w:w="0" w:type="dxa"/>
          </w:tblCellMar>
        </w:tblPrEx>
        <w:trPr>
          <w:trHeight w:val="284" w:hRule="atLeast"/>
          <w:jc w:val="center"/>
        </w:trPr>
        <w:tc>
          <w:tcPr>
            <w:tcW w:w="1276" w:type="dxa"/>
            <w:tcBorders>
              <w:top w:val="single" w:color="000000" w:sz="4" w:space="0"/>
              <w:left w:val="nil"/>
              <w:bottom w:val="single" w:color="000000" w:sz="12" w:space="0"/>
              <w:right w:val="single" w:color="000000" w:sz="4" w:space="0"/>
            </w:tcBorders>
            <w:vAlign w:val="center"/>
          </w:tcPr>
          <w:p w14:paraId="0F50FE4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不敏感</w:t>
            </w:r>
          </w:p>
        </w:tc>
        <w:tc>
          <w:tcPr>
            <w:tcW w:w="6974" w:type="dxa"/>
            <w:tcBorders>
              <w:top w:val="single" w:color="000000" w:sz="4" w:space="0"/>
              <w:left w:val="single" w:color="000000" w:sz="4" w:space="0"/>
              <w:bottom w:val="single" w:color="000000" w:sz="12" w:space="0"/>
              <w:right w:val="nil"/>
            </w:tcBorders>
            <w:vAlign w:val="center"/>
          </w:tcPr>
          <w:p w14:paraId="796C7D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其他情况</w:t>
            </w:r>
          </w:p>
        </w:tc>
      </w:tr>
    </w:tbl>
    <w:p w14:paraId="24BFC7D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本项目为肉牛养殖场建设项目，项目所在地占地类型为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，项目所在地周边主要为</w:t>
      </w:r>
      <w:r>
        <w:rPr>
          <w:rFonts w:hint="default" w:ascii="Times New Roman" w:hAnsi="Times New Roman" w:eastAsia="宋体" w:cs="Times New Roman"/>
          <w:color w:val="auto"/>
          <w:highlight w:val="none"/>
          <w:lang w:val="en-US" w:eastAsia="zh-CN"/>
        </w:rPr>
        <w:t>林地和沙棘地</w:t>
      </w:r>
      <w:r>
        <w:rPr>
          <w:rFonts w:hint="default" w:ascii="Times New Roman" w:hAnsi="Times New Roman" w:eastAsia="宋体" w:cs="Times New Roman"/>
          <w:color w:val="auto"/>
          <w:highlight w:val="none"/>
        </w:rPr>
        <w:t>，根据《环境影响评价技术导则 土壤环境（试行）》（HJ964-2018），本项目土壤环境影响评价敏感程度为</w:t>
      </w:r>
      <w:r>
        <w:rPr>
          <w:rFonts w:hint="default" w:ascii="Times New Roman" w:hAnsi="Times New Roman" w:eastAsia="宋体" w:cs="Times New Roman"/>
          <w:color w:val="auto"/>
          <w:highlight w:val="none"/>
          <w:lang w:val="en-US" w:eastAsia="zh-CN"/>
        </w:rPr>
        <w:t>较</w:t>
      </w:r>
      <w:r>
        <w:rPr>
          <w:rFonts w:hint="default" w:ascii="Times New Roman" w:hAnsi="Times New Roman" w:eastAsia="宋体" w:cs="Times New Roman"/>
          <w:color w:val="auto"/>
          <w:highlight w:val="none"/>
        </w:rPr>
        <w:t>敏感。</w:t>
      </w:r>
    </w:p>
    <w:p w14:paraId="6EA5753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（4）评价等级判定</w:t>
      </w:r>
    </w:p>
    <w:p w14:paraId="5A238A9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根据土壤环境影响评价项目类别、占地规模与敏感程度划分评价工作等级，详见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72CDBEF6">
      <w:pPr>
        <w:spacing w:line="500" w:lineRule="exact"/>
        <w:ind w:firstLine="0" w:firstLineChars="0"/>
        <w:jc w:val="center"/>
        <w:rPr>
          <w:rStyle w:val="209"/>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-73025</wp:posOffset>
                </wp:positionH>
                <wp:positionV relativeFrom="paragraph">
                  <wp:posOffset>497840</wp:posOffset>
                </wp:positionV>
                <wp:extent cx="1192530" cy="224155"/>
                <wp:effectExtent l="0" t="0" r="7620" b="4445"/>
                <wp:wrapNone/>
                <wp:docPr id="679897280" name="直接连接符 6"/>
                <wp:cNvGraphicFramePr/>
                <a:graphic xmlns:a="http://schemas.openxmlformats.org/drawingml/2006/main">
                  <a:graphicData uri="http://schemas.microsoft.com/office/word/2010/wordprocessingShape">
                    <wps:wsp>
                      <wps:cNvCnPr/>
                      <wps:spPr>
                        <a:xfrm>
                          <a:off x="0" y="0"/>
                          <a:ext cx="1192530" cy="224155"/>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直接连接符 6" o:spid="_x0000_s1026" o:spt="20" style="position:absolute;left:0pt;margin-left:-5.75pt;margin-top:39.2pt;height:17.65pt;width:93.9pt;z-index:251660288;mso-width-relative:page;mso-height-relative:page;" filled="f" stroked="t" coordsize="21600,21600" o:gfxdata="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nL3cnYAAAACgEAAA8AAAAAAAAAAQAgAAAAIgAAAGRycy9kb3du&#10;cmV2LnhtbFBLAQIUABQAAAAIAIdO4kBZf3sW/wEAAOADAAAOAAAAAAAAAAEAIAAAACcBAABkcnMv&#10;ZTJvRG9jLnhtbFBLBQYAAAAABgAGAFkBAACYBQAAAAA=&#10;">
                <v:fill on="f" focussize="0,0"/>
                <v:stroke weight="0.5pt" color="#000000" miterlimit="8" joinstyle="miter"/>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400050</wp:posOffset>
                </wp:positionH>
                <wp:positionV relativeFrom="paragraph">
                  <wp:posOffset>330835</wp:posOffset>
                </wp:positionV>
                <wp:extent cx="719455" cy="391160"/>
                <wp:effectExtent l="0" t="0" r="4445" b="8890"/>
                <wp:wrapNone/>
                <wp:docPr id="2095159888" name="直接连接符 5"/>
                <wp:cNvGraphicFramePr/>
                <a:graphic xmlns:a="http://schemas.openxmlformats.org/drawingml/2006/main">
                  <a:graphicData uri="http://schemas.microsoft.com/office/word/2010/wordprocessingShape">
                    <wps:wsp>
                      <wps:cNvCnPr/>
                      <wps:spPr>
                        <a:xfrm>
                          <a:off x="0" y="0"/>
                          <a:ext cx="719455" cy="39116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直接连接符 5" o:spid="_x0000_s1026" o:spt="20" style="position:absolute;left:0pt;margin-left:31.5pt;margin-top:26.05pt;height:30.8pt;width:56.65pt;z-index:251662336;mso-width-relative:page;mso-height-relative:page;" filled="f" stroked="t" coordsize="21600,21600" o:gfxdata="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2EGMXXAAAACQEAAA8AAAAAAAAAAQAgAAAAIgAAAGRycy9k&#10;b3ducmV2LnhtbFBLAQIUABQAAAAIAIdO4kDNT1tHAwIAAOADAAAOAAAAAAAAAAEAIAAAACYBAABk&#10;cnMvZTJvRG9jLnhtbFBLBQYAAAAABgAGAFkBAACbBQAAAAA=&#10;">
                <v:fill on="f" focussize="0,0"/>
                <v:stroke weight="0.5pt" color="#000000" miterlimit="8" joinstyle="miter"/>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45720" distB="45720" distL="114300" distR="114300" simplePos="0" relativeHeight="251663360" behindDoc="0" locked="0" layoutInCell="1" allowOverlap="1">
                <wp:simplePos x="0" y="0"/>
                <wp:positionH relativeFrom="column">
                  <wp:posOffset>610870</wp:posOffset>
                </wp:positionH>
                <wp:positionV relativeFrom="paragraph">
                  <wp:posOffset>325120</wp:posOffset>
                </wp:positionV>
                <wp:extent cx="672465" cy="241300"/>
                <wp:effectExtent l="0" t="0" r="0" b="0"/>
                <wp:wrapNone/>
                <wp:docPr id="1586435895" name="文本框 4"/>
                <wp:cNvGraphicFramePr/>
                <a:graphic xmlns:a="http://schemas.openxmlformats.org/drawingml/2006/main">
                  <a:graphicData uri="http://schemas.microsoft.com/office/word/2010/wordprocessingShape">
                    <wps:wsp>
                      <wps:cNvSpPr txBox="1">
                        <a:spLocks noChangeArrowheads="1"/>
                      </wps:cNvSpPr>
                      <wps:spPr bwMode="auto">
                        <a:xfrm>
                          <a:off x="0" y="0"/>
                          <a:ext cx="672465" cy="241300"/>
                        </a:xfrm>
                        <a:prstGeom prst="rect">
                          <a:avLst/>
                        </a:prstGeom>
                        <a:noFill/>
                        <a:ln w="9525">
                          <a:noFill/>
                          <a:miter lim="800000"/>
                        </a:ln>
                      </wps:spPr>
                      <wps:txbx>
                        <w:txbxContent>
                          <w:p w14:paraId="7256D75F">
                            <w:pPr>
                              <w:ind w:firstLine="0" w:firstLineChars="0"/>
                              <w:rPr>
                                <w:rFonts w:ascii="仿宋" w:hAnsi="仿宋" w:eastAsia="仿宋"/>
                                <w:sz w:val="15"/>
                                <w:szCs w:val="15"/>
                              </w:rPr>
                            </w:pPr>
                            <w:r>
                              <w:rPr>
                                <w:rFonts w:hint="eastAsia" w:ascii="仿宋" w:hAnsi="仿宋" w:eastAsia="仿宋"/>
                                <w:sz w:val="15"/>
                                <w:szCs w:val="15"/>
                              </w:rPr>
                              <w:t>项目类别</w:t>
                            </w:r>
                          </w:p>
                        </w:txbxContent>
                      </wps:txbx>
                      <wps:bodyPr rot="0" vert="horz" wrap="square" lIns="91440" tIns="45720" rIns="91440" bIns="45720" anchor="t" anchorCtr="0">
                        <a:noAutofit/>
                      </wps:bodyPr>
                    </wps:wsp>
                  </a:graphicData>
                </a:graphic>
              </wp:anchor>
            </w:drawing>
          </mc:Choice>
          <mc:Fallback>
            <w:pict>
              <v:shape id="文本框 4" o:spid="_x0000_s1026" o:spt="202" type="#_x0000_t202" style="position:absolute;left:0pt;margin-left:48.1pt;margin-top:25.6pt;height:19pt;width:52.95pt;z-index:251663360;mso-width-relative:page;mso-height-relative:page;" filled="f" stroked="f" coordsize="21600,21600" o:gfxdata="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pIE67WAAAACAEAAA8AAAAAAAAAAQAgAAAAIgAAAGRycy9kb3ducmV2LnhtbFBLAQIUABQA&#10;AAAIAIdO4kDPCA1kKwIAADEEAAAOAAAAAAAAAAEAIAAAACUBAABkcnMvZTJvRG9jLnhtbFBLBQYA&#10;AAAABgAGAFkBAADCBQAAAAA=&#10;">
                <v:fill on="f" focussize="0,0"/>
                <v:stroke on="f" miterlimit="8" joinstyle="miter"/>
                <v:imagedata o:title=""/>
                <o:lock v:ext="edit" aspectratio="f"/>
                <v:textbox>
                  <w:txbxContent>
                    <w:p w14:paraId="7256D75F">
                      <w:pPr>
                        <w:ind w:firstLine="0" w:firstLineChars="0"/>
                        <w:rPr>
                          <w:rFonts w:ascii="仿宋" w:hAnsi="仿宋" w:eastAsia="仿宋"/>
                          <w:sz w:val="15"/>
                          <w:szCs w:val="15"/>
                        </w:rPr>
                      </w:pPr>
                      <w:r>
                        <w:rPr>
                          <w:rFonts w:hint="eastAsia" w:ascii="仿宋" w:hAnsi="仿宋" w:eastAsia="仿宋"/>
                          <w:sz w:val="15"/>
                          <w:szCs w:val="15"/>
                        </w:rPr>
                        <w:t>项目类别</w:t>
                      </w:r>
                    </w:p>
                  </w:txbxContent>
                </v:textbox>
              </v:shape>
            </w:pict>
          </mc:Fallback>
        </mc:AlternateContent>
      </w:r>
      <w:r>
        <w:rPr>
          <w:rFonts w:hint="default" w:ascii="Times New Roman" w:hAnsi="Times New Roman" w:cs="Times New Roman"/>
          <w:color w:val="auto"/>
          <w:highlight w:val="none"/>
        </w:rPr>
        <mc:AlternateContent>
          <mc:Choice Requires="wps">
            <w:drawing>
              <wp:anchor distT="45720" distB="45720" distL="114300" distR="114300" simplePos="0" relativeHeight="251664384" behindDoc="0" locked="0" layoutInCell="1" allowOverlap="1">
                <wp:simplePos x="0" y="0"/>
                <wp:positionH relativeFrom="column">
                  <wp:posOffset>-81280</wp:posOffset>
                </wp:positionH>
                <wp:positionV relativeFrom="paragraph">
                  <wp:posOffset>548640</wp:posOffset>
                </wp:positionV>
                <wp:extent cx="972820" cy="285115"/>
                <wp:effectExtent l="0" t="0" r="0" b="0"/>
                <wp:wrapNone/>
                <wp:docPr id="1408617161" name="文本框 3"/>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1BB79476">
                            <w:pPr>
                              <w:ind w:firstLine="0" w:firstLineChars="0"/>
                              <w:rPr>
                                <w:sz w:val="15"/>
                                <w:szCs w:val="15"/>
                              </w:rPr>
                            </w:pPr>
                            <w:r>
                              <w:rPr>
                                <w:sz w:val="15"/>
                                <w:szCs w:val="15"/>
                              </w:rPr>
                              <w:t>环境敏感程度</w:t>
                            </w:r>
                          </w:p>
                        </w:txbxContent>
                      </wps:txbx>
                      <wps:bodyPr rot="0" vert="horz" wrap="square" lIns="91440" tIns="45720" rIns="91440" bIns="45720" anchor="t" anchorCtr="0">
                        <a:noAutofit/>
                      </wps:bodyPr>
                    </wps:wsp>
                  </a:graphicData>
                </a:graphic>
              </wp:anchor>
            </w:drawing>
          </mc:Choice>
          <mc:Fallback>
            <w:pict>
              <v:shape id="文本框 3" o:spid="_x0000_s1026" o:spt="202" type="#_x0000_t202" style="position:absolute;left:0pt;margin-left:-6.4pt;margin-top:43.2pt;height:22.45pt;width:76.6pt;z-index:251664384;mso-width-relative:page;mso-height-relative:page;" filled="f" stroked="f" coordsize="21600,21600" o:gfxdata="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lNtePXAAAACgEAAA8AAAAAAAAAAQAgAAAAIgAAAGRycy9kb3ducmV2LnhtbFBLAQIUABQAAAAI&#10;AIdO4kDpOrciJwIAADEEAAAOAAAAAAAAAAEAIAAAACYBAABkcnMvZTJvRG9jLnhtbFBLBQYAAAAA&#10;BgAGAFkBAAC/BQAAAAA=&#10;">
                <v:fill on="f" focussize="0,0"/>
                <v:stroke on="f" miterlimit="8" joinstyle="miter"/>
                <v:imagedata o:title=""/>
                <o:lock v:ext="edit" aspectratio="f"/>
                <v:textbox>
                  <w:txbxContent>
                    <w:p w14:paraId="1BB79476">
                      <w:pPr>
                        <w:ind w:firstLine="0" w:firstLineChars="0"/>
                        <w:rPr>
                          <w:sz w:val="15"/>
                          <w:szCs w:val="15"/>
                        </w:rPr>
                      </w:pPr>
                      <w:r>
                        <w:rPr>
                          <w:sz w:val="15"/>
                          <w:szCs w:val="15"/>
                        </w:rPr>
                        <w:t>环境敏感程度</w:t>
                      </w:r>
                    </w:p>
                  </w:txbxContent>
                </v:textbox>
              </v:shape>
            </w:pict>
          </mc:Fallback>
        </mc:AlternateContent>
      </w:r>
      <w:r>
        <w:rPr>
          <w:rStyle w:val="209"/>
          <w:rFonts w:hint="default" w:ascii="Times New Roman" w:hAnsi="Times New Roman" w:cs="Times New Roman"/>
          <w:color w:val="auto"/>
          <w:highlight w:val="none"/>
        </w:rPr>
        <w:t>表2-5-</w:t>
      </w:r>
      <w:r>
        <w:rPr>
          <w:rStyle w:val="209"/>
          <w:rFonts w:hint="eastAsia" w:cs="Times New Roman"/>
          <w:color w:val="auto"/>
          <w:highlight w:val="none"/>
          <w:lang w:val="en-US"/>
        </w:rPr>
        <w:t>21</w:t>
      </w:r>
      <w:r>
        <w:rPr>
          <w:rStyle w:val="209"/>
          <w:rFonts w:hint="default" w:ascii="Times New Roman" w:hAnsi="Times New Roman" w:cs="Times New Roman"/>
          <w:color w:val="auto"/>
          <w:highlight w:val="none"/>
        </w:rPr>
        <w:t>土壤环境评价工作等级划分表</w:t>
      </w:r>
    </w:p>
    <w:tbl>
      <w:tblPr>
        <w:tblStyle w:val="47"/>
        <w:tblW w:w="830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03"/>
        <w:gridCol w:w="688"/>
        <w:gridCol w:w="693"/>
        <w:gridCol w:w="689"/>
        <w:gridCol w:w="693"/>
        <w:gridCol w:w="691"/>
        <w:gridCol w:w="691"/>
        <w:gridCol w:w="829"/>
        <w:gridCol w:w="693"/>
        <w:gridCol w:w="736"/>
      </w:tblGrid>
      <w:tr w14:paraId="4F9590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3" w:type="dxa"/>
            <w:vMerge w:val="restart"/>
            <w:shd w:val="clear" w:color="auto" w:fill="auto"/>
            <w:vAlign w:val="center"/>
          </w:tcPr>
          <w:p w14:paraId="171EAC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mc:AlternateContent>
                <mc:Choice Requires="wps">
                  <w:drawing>
                    <wp:anchor distT="45720" distB="45720" distL="114300" distR="114300" simplePos="0" relativeHeight="251661312" behindDoc="0" locked="0" layoutInCell="1" allowOverlap="1">
                      <wp:simplePos x="0" y="0"/>
                      <wp:positionH relativeFrom="column">
                        <wp:posOffset>-153035</wp:posOffset>
                      </wp:positionH>
                      <wp:positionV relativeFrom="paragraph">
                        <wp:posOffset>-1270</wp:posOffset>
                      </wp:positionV>
                      <wp:extent cx="972820" cy="285115"/>
                      <wp:effectExtent l="0" t="0" r="0" b="0"/>
                      <wp:wrapNone/>
                      <wp:docPr id="63843013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72820" cy="285115"/>
                              </a:xfrm>
                              <a:prstGeom prst="rect">
                                <a:avLst/>
                              </a:prstGeom>
                              <a:noFill/>
                              <a:ln w="9525">
                                <a:noFill/>
                                <a:miter lim="800000"/>
                              </a:ln>
                            </wps:spPr>
                            <wps:txbx>
                              <w:txbxContent>
                                <w:p w14:paraId="1CFFC711">
                                  <w:pPr>
                                    <w:ind w:firstLine="0" w:firstLineChars="0"/>
                                    <w:rPr>
                                      <w:rFonts w:ascii="仿宋" w:hAnsi="仿宋" w:eastAsia="仿宋"/>
                                      <w:sz w:val="15"/>
                                      <w:szCs w:val="15"/>
                                    </w:rPr>
                                  </w:pPr>
                                  <w:r>
                                    <w:rPr>
                                      <w:rFonts w:hint="eastAsia" w:ascii="仿宋" w:hAnsi="仿宋" w:eastAsia="仿宋"/>
                                      <w:sz w:val="15"/>
                                      <w:szCs w:val="15"/>
                                    </w:rPr>
                                    <w:t>评价工作等级</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2.05pt;margin-top:-0.1pt;height:22.45pt;width:76.6pt;z-index:251661312;mso-width-relative:page;mso-height-relative:page;" filled="f" stroked="f" coordsize="21600,21600" o:gfxdata="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zP&#10;M+vUAAAACAEAAA8AAAAAAAAAAQAgAAAAIgAAAGRycy9kb3ducmV2LnhtbFBLAQIUABQAAAAIAIdO&#10;4kBea4hmJwIAADAEAAAOAAAAAAAAAAEAIAAAACMBAABkcnMvZTJvRG9jLnhtbFBLBQYAAAAABgAG&#10;AFkBAAC8BQAAAAA=&#10;">
                      <v:fill on="f" focussize="0,0"/>
                      <v:stroke on="f" miterlimit="8" joinstyle="miter"/>
                      <v:imagedata o:title=""/>
                      <o:lock v:ext="edit" aspectratio="f"/>
                      <v:textbox>
                        <w:txbxContent>
                          <w:p w14:paraId="1CFFC711">
                            <w:pPr>
                              <w:ind w:firstLine="0" w:firstLineChars="0"/>
                              <w:rPr>
                                <w:rFonts w:ascii="仿宋" w:hAnsi="仿宋" w:eastAsia="仿宋"/>
                                <w:sz w:val="15"/>
                                <w:szCs w:val="15"/>
                              </w:rPr>
                            </w:pPr>
                            <w:r>
                              <w:rPr>
                                <w:rFonts w:hint="eastAsia" w:ascii="仿宋" w:hAnsi="仿宋" w:eastAsia="仿宋"/>
                                <w:sz w:val="15"/>
                                <w:szCs w:val="15"/>
                              </w:rPr>
                              <w:t>评价工作等级</w:t>
                            </w:r>
                          </w:p>
                        </w:txbxContent>
                      </v:textbox>
                    </v:shape>
                  </w:pict>
                </mc:Fallback>
              </mc:AlternateContent>
            </w:r>
          </w:p>
        </w:tc>
        <w:tc>
          <w:tcPr>
            <w:tcW w:w="2070" w:type="dxa"/>
            <w:gridSpan w:val="3"/>
            <w:shd w:val="clear" w:color="auto" w:fill="auto"/>
            <w:vAlign w:val="center"/>
          </w:tcPr>
          <w:p w14:paraId="714DFA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p>
        </w:tc>
        <w:tc>
          <w:tcPr>
            <w:tcW w:w="2075" w:type="dxa"/>
            <w:gridSpan w:val="3"/>
            <w:shd w:val="clear" w:color="auto" w:fill="auto"/>
            <w:vAlign w:val="center"/>
          </w:tcPr>
          <w:p w14:paraId="148009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p>
        </w:tc>
        <w:tc>
          <w:tcPr>
            <w:tcW w:w="2258" w:type="dxa"/>
            <w:gridSpan w:val="3"/>
            <w:shd w:val="clear" w:color="auto" w:fill="auto"/>
            <w:vAlign w:val="center"/>
          </w:tcPr>
          <w:p w14:paraId="79E125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p>
        </w:tc>
      </w:tr>
      <w:tr w14:paraId="1D837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903" w:type="dxa"/>
            <w:vMerge w:val="continue"/>
            <w:shd w:val="clear" w:color="auto" w:fill="auto"/>
            <w:vAlign w:val="center"/>
          </w:tcPr>
          <w:p w14:paraId="2325C104">
            <w:pPr>
              <w:pStyle w:val="146"/>
              <w:rPr>
                <w:rFonts w:hint="default" w:ascii="Times New Roman" w:hAnsi="Times New Roman" w:eastAsia="宋体" w:cs="Times New Roman"/>
                <w:snapToGrid w:val="0"/>
                <w:color w:val="auto"/>
                <w:highlight w:val="none"/>
              </w:rPr>
            </w:pPr>
          </w:p>
        </w:tc>
        <w:tc>
          <w:tcPr>
            <w:tcW w:w="688" w:type="dxa"/>
            <w:shd w:val="clear" w:color="auto" w:fill="auto"/>
            <w:vAlign w:val="center"/>
          </w:tcPr>
          <w:p w14:paraId="50F09A7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大</w:t>
            </w:r>
          </w:p>
        </w:tc>
        <w:tc>
          <w:tcPr>
            <w:tcW w:w="693" w:type="dxa"/>
            <w:shd w:val="clear" w:color="auto" w:fill="auto"/>
            <w:vAlign w:val="center"/>
          </w:tcPr>
          <w:p w14:paraId="5F48B01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w:t>
            </w:r>
          </w:p>
        </w:tc>
        <w:tc>
          <w:tcPr>
            <w:tcW w:w="689" w:type="dxa"/>
            <w:shd w:val="clear" w:color="auto" w:fill="auto"/>
            <w:vAlign w:val="center"/>
          </w:tcPr>
          <w:p w14:paraId="6BFFF6A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w:t>
            </w:r>
          </w:p>
        </w:tc>
        <w:tc>
          <w:tcPr>
            <w:tcW w:w="693" w:type="dxa"/>
            <w:shd w:val="clear" w:color="auto" w:fill="auto"/>
            <w:vAlign w:val="center"/>
          </w:tcPr>
          <w:p w14:paraId="0FCEF7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大</w:t>
            </w:r>
          </w:p>
        </w:tc>
        <w:tc>
          <w:tcPr>
            <w:tcW w:w="691" w:type="dxa"/>
            <w:shd w:val="clear" w:color="auto" w:fill="auto"/>
            <w:vAlign w:val="center"/>
          </w:tcPr>
          <w:p w14:paraId="35E0B24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w:t>
            </w:r>
          </w:p>
        </w:tc>
        <w:tc>
          <w:tcPr>
            <w:tcW w:w="691" w:type="dxa"/>
            <w:shd w:val="clear" w:color="auto" w:fill="auto"/>
            <w:vAlign w:val="center"/>
          </w:tcPr>
          <w:p w14:paraId="12F9A3C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w:t>
            </w:r>
          </w:p>
        </w:tc>
        <w:tc>
          <w:tcPr>
            <w:tcW w:w="829" w:type="dxa"/>
            <w:shd w:val="clear" w:color="auto" w:fill="auto"/>
            <w:vAlign w:val="center"/>
          </w:tcPr>
          <w:p w14:paraId="0181BB2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大</w:t>
            </w:r>
          </w:p>
        </w:tc>
        <w:tc>
          <w:tcPr>
            <w:tcW w:w="693" w:type="dxa"/>
            <w:shd w:val="clear" w:color="auto" w:fill="auto"/>
            <w:vAlign w:val="center"/>
          </w:tcPr>
          <w:p w14:paraId="7FA6E82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w:t>
            </w:r>
          </w:p>
        </w:tc>
        <w:tc>
          <w:tcPr>
            <w:tcW w:w="736" w:type="dxa"/>
            <w:shd w:val="clear" w:color="auto" w:fill="auto"/>
            <w:vAlign w:val="center"/>
          </w:tcPr>
          <w:p w14:paraId="2BC5D7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w:t>
            </w:r>
          </w:p>
        </w:tc>
      </w:tr>
      <w:tr w14:paraId="3F7D2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3" w:type="dxa"/>
            <w:shd w:val="clear" w:color="auto" w:fill="auto"/>
            <w:vAlign w:val="center"/>
          </w:tcPr>
          <w:p w14:paraId="128A550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敏感</w:t>
            </w:r>
          </w:p>
        </w:tc>
        <w:tc>
          <w:tcPr>
            <w:tcW w:w="688" w:type="dxa"/>
            <w:shd w:val="clear" w:color="auto" w:fill="auto"/>
            <w:vAlign w:val="center"/>
          </w:tcPr>
          <w:p w14:paraId="6C7DDC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c>
          <w:tcPr>
            <w:tcW w:w="693" w:type="dxa"/>
            <w:shd w:val="clear" w:color="auto" w:fill="auto"/>
            <w:vAlign w:val="center"/>
          </w:tcPr>
          <w:p w14:paraId="33D621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c>
          <w:tcPr>
            <w:tcW w:w="689" w:type="dxa"/>
            <w:shd w:val="clear" w:color="auto" w:fill="auto"/>
            <w:vAlign w:val="center"/>
          </w:tcPr>
          <w:p w14:paraId="03500D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c>
          <w:tcPr>
            <w:tcW w:w="693" w:type="dxa"/>
            <w:shd w:val="clear" w:color="auto" w:fill="auto"/>
          </w:tcPr>
          <w:p w14:paraId="129F8C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1" w:type="dxa"/>
            <w:shd w:val="clear" w:color="auto" w:fill="auto"/>
          </w:tcPr>
          <w:p w14:paraId="0E54864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1" w:type="dxa"/>
            <w:shd w:val="clear" w:color="auto" w:fill="auto"/>
          </w:tcPr>
          <w:p w14:paraId="7291516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829" w:type="dxa"/>
            <w:shd w:val="clear" w:color="auto" w:fill="auto"/>
          </w:tcPr>
          <w:p w14:paraId="78A143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693" w:type="dxa"/>
            <w:shd w:val="clear" w:color="auto" w:fill="auto"/>
          </w:tcPr>
          <w:p w14:paraId="2138E58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736" w:type="dxa"/>
            <w:shd w:val="clear" w:color="auto" w:fill="auto"/>
          </w:tcPr>
          <w:p w14:paraId="3B09E8A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r>
      <w:tr w14:paraId="09271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3" w:type="dxa"/>
            <w:shd w:val="clear" w:color="auto" w:fill="auto"/>
            <w:vAlign w:val="center"/>
          </w:tcPr>
          <w:p w14:paraId="5E6B27C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较敏感</w:t>
            </w:r>
          </w:p>
        </w:tc>
        <w:tc>
          <w:tcPr>
            <w:tcW w:w="688" w:type="dxa"/>
            <w:shd w:val="clear" w:color="auto" w:fill="auto"/>
            <w:vAlign w:val="center"/>
          </w:tcPr>
          <w:p w14:paraId="0FA6DD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3" w:type="dxa"/>
            <w:shd w:val="clear" w:color="auto" w:fill="auto"/>
          </w:tcPr>
          <w:p w14:paraId="690D0C8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89" w:type="dxa"/>
            <w:shd w:val="clear" w:color="auto" w:fill="auto"/>
          </w:tcPr>
          <w:p w14:paraId="02C4AF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3" w:type="dxa"/>
            <w:shd w:val="clear" w:color="auto" w:fill="auto"/>
          </w:tcPr>
          <w:p w14:paraId="1717A73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1" w:type="dxa"/>
            <w:shd w:val="clear" w:color="auto" w:fill="auto"/>
          </w:tcPr>
          <w:p w14:paraId="1A2CD3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1" w:type="dxa"/>
            <w:shd w:val="clear" w:color="auto" w:fill="auto"/>
            <w:vAlign w:val="center"/>
          </w:tcPr>
          <w:p w14:paraId="6C6FFDE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829" w:type="dxa"/>
            <w:shd w:val="clear" w:color="auto" w:fill="auto"/>
          </w:tcPr>
          <w:p w14:paraId="4D02737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693" w:type="dxa"/>
            <w:shd w:val="clear" w:color="auto" w:fill="auto"/>
          </w:tcPr>
          <w:p w14:paraId="39A476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736" w:type="dxa"/>
            <w:shd w:val="clear" w:color="auto" w:fill="auto"/>
            <w:vAlign w:val="center"/>
          </w:tcPr>
          <w:p w14:paraId="6168D27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1A0CB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03" w:type="dxa"/>
            <w:shd w:val="clear" w:color="auto" w:fill="auto"/>
            <w:vAlign w:val="center"/>
          </w:tcPr>
          <w:p w14:paraId="70B6BBC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不敏感</w:t>
            </w:r>
          </w:p>
        </w:tc>
        <w:tc>
          <w:tcPr>
            <w:tcW w:w="688" w:type="dxa"/>
            <w:shd w:val="clear" w:color="auto" w:fill="auto"/>
          </w:tcPr>
          <w:p w14:paraId="705165F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3" w:type="dxa"/>
            <w:shd w:val="clear" w:color="auto" w:fill="auto"/>
          </w:tcPr>
          <w:p w14:paraId="3369646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89" w:type="dxa"/>
            <w:shd w:val="clear" w:color="auto" w:fill="auto"/>
          </w:tcPr>
          <w:p w14:paraId="254CF1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3" w:type="dxa"/>
            <w:shd w:val="clear" w:color="auto" w:fill="auto"/>
            <w:vAlign w:val="center"/>
          </w:tcPr>
          <w:p w14:paraId="20A6EAA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c>
          <w:tcPr>
            <w:tcW w:w="691" w:type="dxa"/>
            <w:shd w:val="clear" w:color="auto" w:fill="auto"/>
          </w:tcPr>
          <w:p w14:paraId="788CC5E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691" w:type="dxa"/>
            <w:shd w:val="clear" w:color="auto" w:fill="auto"/>
          </w:tcPr>
          <w:p w14:paraId="26B88C1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829" w:type="dxa"/>
            <w:shd w:val="clear" w:color="auto" w:fill="auto"/>
          </w:tcPr>
          <w:p w14:paraId="4636C64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c>
          <w:tcPr>
            <w:tcW w:w="693" w:type="dxa"/>
            <w:shd w:val="clear" w:color="auto" w:fill="auto"/>
          </w:tcPr>
          <w:p w14:paraId="41645B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736" w:type="dxa"/>
            <w:shd w:val="clear" w:color="auto" w:fill="auto"/>
            <w:vAlign w:val="center"/>
          </w:tcPr>
          <w:p w14:paraId="7284BC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bl>
    <w:p w14:paraId="785414AD">
      <w:pPr>
        <w:autoSpaceDE w:val="0"/>
        <w:autoSpaceDN w:val="0"/>
        <w:snapToGrid/>
        <w:spacing w:line="240" w:lineRule="auto"/>
        <w:ind w:firstLine="0" w:firstLineChars="0"/>
        <w:jc w:val="left"/>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注</w:t>
      </w:r>
      <w:r>
        <w:rPr>
          <w:rFonts w:hint="default" w:ascii="Times New Roman" w:hAnsi="Times New Roman" w:eastAsia="TimesNewRomanPSMT" w:cs="Times New Roman"/>
          <w:color w:val="auto"/>
          <w:kern w:val="0"/>
          <w:sz w:val="18"/>
          <w:szCs w:val="18"/>
          <w:highlight w:val="none"/>
        </w:rPr>
        <w:t>2</w:t>
      </w:r>
      <w:r>
        <w:rPr>
          <w:rFonts w:hint="default" w:ascii="Times New Roman" w:hAnsi="Times New Roman" w:cs="Times New Roman"/>
          <w:color w:val="auto"/>
          <w:kern w:val="0"/>
          <w:sz w:val="18"/>
          <w:szCs w:val="18"/>
          <w:highlight w:val="none"/>
        </w:rPr>
        <w:t>：</w:t>
      </w:r>
      <w:r>
        <w:rPr>
          <w:rFonts w:hint="default" w:ascii="Times New Roman" w:hAnsi="Times New Roman" w:eastAsia="TimesNewRomanPSMT" w:cs="Times New Roman"/>
          <w:color w:val="auto"/>
          <w:kern w:val="0"/>
          <w:sz w:val="18"/>
          <w:szCs w:val="18"/>
          <w:highlight w:val="none"/>
        </w:rPr>
        <w:t>“—”</w:t>
      </w:r>
      <w:r>
        <w:rPr>
          <w:rFonts w:hint="default" w:ascii="Times New Roman" w:hAnsi="Times New Roman" w:cs="Times New Roman"/>
          <w:color w:val="auto"/>
          <w:kern w:val="0"/>
          <w:sz w:val="18"/>
          <w:szCs w:val="18"/>
          <w:highlight w:val="none"/>
        </w:rPr>
        <w:t>表示可不开展土壤环境影响评价工作。</w:t>
      </w:r>
    </w:p>
    <w:p w14:paraId="3D1EBFD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本项目土壤环境影响评价项目类别为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类项目，占地规模属于</w:t>
      </w:r>
      <w:r>
        <w:rPr>
          <w:rFonts w:hint="default" w:ascii="Times New Roman" w:hAnsi="Times New Roman" w:eastAsia="宋体" w:cs="Times New Roman"/>
          <w:color w:val="auto"/>
          <w:highlight w:val="none"/>
          <w:lang w:val="en-US" w:eastAsia="zh-CN"/>
        </w:rPr>
        <w:t>大</w:t>
      </w:r>
      <w:r>
        <w:rPr>
          <w:rFonts w:hint="default" w:ascii="Times New Roman" w:hAnsi="Times New Roman" w:eastAsia="宋体" w:cs="Times New Roman"/>
          <w:color w:val="auto"/>
          <w:highlight w:val="none"/>
        </w:rPr>
        <w:t>型（≥50hm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），土壤环境敏感程度为敏感，根据《环境影响评价技术导则 土壤环境（试行）》（HJ964-2018），确定为本项目土壤环境影响评价等级为三级。</w:t>
      </w:r>
    </w:p>
    <w:bookmarkEnd w:id="121"/>
    <w:p w14:paraId="739C3DB7">
      <w:pPr>
        <w:pStyle w:val="4"/>
        <w:rPr>
          <w:rFonts w:hint="default" w:ascii="Times New Roman" w:hAnsi="Times New Roman" w:cs="Times New Roman"/>
          <w:color w:val="auto"/>
          <w:highlight w:val="none"/>
        </w:rPr>
      </w:pPr>
      <w:bookmarkStart w:id="122" w:name="_Toc8353"/>
      <w:bookmarkStart w:id="123" w:name="_Toc57713623"/>
      <w:r>
        <w:rPr>
          <w:rFonts w:hint="default" w:ascii="Times New Roman" w:hAnsi="Times New Roman" w:cs="Times New Roman"/>
          <w:color w:val="auto"/>
          <w:highlight w:val="none"/>
        </w:rPr>
        <w:t>2.6评价范围及评价时段</w:t>
      </w:r>
      <w:bookmarkEnd w:id="114"/>
      <w:bookmarkEnd w:id="122"/>
      <w:bookmarkEnd w:id="123"/>
    </w:p>
    <w:p w14:paraId="286EA1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施工期对周围环境影响较小，并且为短期影响，因此施工期只作影响分析；营运期对周围环境影响程度因工序污染物排放不同而不同，而且为长期影响，因此本评价以营运期为重点评价时段。根据评价区域环境特点、建设项目工程污染特征及环境影响评价工作等级要求，确定各环境要素评价范围。</w:t>
      </w:r>
    </w:p>
    <w:p w14:paraId="416BD4B7">
      <w:pPr>
        <w:pStyle w:val="5"/>
        <w:spacing w:line="500" w:lineRule="exact"/>
        <w:rPr>
          <w:rFonts w:hint="default" w:ascii="Times New Roman" w:hAnsi="Times New Roman" w:cs="Times New Roman"/>
          <w:color w:val="auto"/>
          <w:highlight w:val="none"/>
        </w:rPr>
      </w:pPr>
      <w:bookmarkStart w:id="124" w:name="_Toc57713624"/>
      <w:bookmarkStart w:id="125" w:name="_Toc27164"/>
      <w:bookmarkStart w:id="126" w:name="_Toc524431293"/>
      <w:r>
        <w:rPr>
          <w:rFonts w:hint="default" w:ascii="Times New Roman" w:hAnsi="Times New Roman" w:cs="Times New Roman"/>
          <w:color w:val="auto"/>
          <w:highlight w:val="none"/>
        </w:rPr>
        <w:t>2.6.1评价范围</w:t>
      </w:r>
      <w:bookmarkEnd w:id="124"/>
      <w:bookmarkEnd w:id="125"/>
      <w:bookmarkEnd w:id="126"/>
    </w:p>
    <w:p w14:paraId="6032659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（1）环境空气</w:t>
      </w:r>
    </w:p>
    <w:p w14:paraId="5E28966B">
      <w:pPr>
        <w:pStyle w:val="67"/>
        <w:ind w:firstLine="480"/>
        <w:rPr>
          <w:rFonts w:hint="default" w:ascii="Times New Roman" w:hAnsi="Times New Roman" w:eastAsia="宋体" w:cs="Times New Roman"/>
          <w:color w:val="auto"/>
          <w:highlight w:val="none"/>
        </w:rPr>
      </w:pPr>
      <w:bookmarkStart w:id="127" w:name="_Hlk44582004"/>
      <w:r>
        <w:rPr>
          <w:rFonts w:hint="default" w:ascii="Times New Roman" w:hAnsi="Times New Roman" w:eastAsia="宋体" w:cs="Times New Roman"/>
          <w:color w:val="auto"/>
          <w:highlight w:val="none"/>
        </w:rPr>
        <w:t>根据评价工作等级要求，考虑本项目所在区域的地形、地理特征，</w:t>
      </w:r>
      <w:bookmarkStart w:id="128" w:name="_Hlk11609889"/>
      <w:r>
        <w:rPr>
          <w:rFonts w:hint="default" w:ascii="Times New Roman" w:hAnsi="Times New Roman" w:eastAsia="宋体" w:cs="Times New Roman"/>
          <w:color w:val="auto"/>
          <w:highlight w:val="none"/>
        </w:rPr>
        <w:t>评价范围为以项目场址为中心区域，边长为5km的矩形区域。</w:t>
      </w:r>
      <w:bookmarkEnd w:id="128"/>
    </w:p>
    <w:bookmarkEnd w:id="127"/>
    <w:p w14:paraId="3A59CF02">
      <w:pPr>
        <w:pStyle w:val="67"/>
        <w:ind w:firstLine="480"/>
        <w:rPr>
          <w:rFonts w:hint="default" w:ascii="Times New Roman" w:hAnsi="Times New Roman" w:eastAsia="宋体" w:cs="Times New Roman"/>
          <w:color w:val="auto"/>
          <w:highlight w:val="none"/>
        </w:rPr>
      </w:pPr>
      <w:bookmarkStart w:id="129" w:name="_Hlk44582202"/>
      <w:r>
        <w:rPr>
          <w:rFonts w:hint="default" w:ascii="Times New Roman" w:hAnsi="Times New Roman" w:eastAsia="宋体" w:cs="Times New Roman"/>
          <w:color w:val="auto"/>
          <w:highlight w:val="none"/>
        </w:rPr>
        <w:t>（2）地表水</w:t>
      </w:r>
    </w:p>
    <w:p w14:paraId="13278EE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本项目地表水环境影响评价工作等级为三级B，因此本评价主要针对地表水环境影响现状以及产生的废水能否满足国家、地方的排放标准要求，做简单的废水达标可行性分析，不设地表水环境影响评价范围</w:t>
      </w:r>
      <w:r>
        <w:rPr>
          <w:rFonts w:hint="default" w:ascii="Times New Roman" w:hAnsi="Times New Roman" w:eastAsia="宋体" w:cs="Times New Roman"/>
          <w:color w:val="auto"/>
          <w:highlight w:val="none"/>
          <w:lang w:val="en-US" w:eastAsia="zh-CN"/>
        </w:rPr>
        <w:t>。</w:t>
      </w:r>
      <w:bookmarkEnd w:id="129"/>
    </w:p>
    <w:p w14:paraId="308A38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（3）地下水</w:t>
      </w:r>
    </w:p>
    <w:p w14:paraId="28904E48">
      <w:pPr>
        <w:pStyle w:val="67"/>
        <w:keepNext w:val="0"/>
        <w:keepLines w:val="0"/>
        <w:pageBreakBefore w:val="0"/>
        <w:widowControl w:val="0"/>
        <w:tabs>
          <w:tab w:val="left" w:pos="3600"/>
        </w:tabs>
        <w:kinsoku/>
        <w:wordWrap/>
        <w:overflowPunct/>
        <w:topLinePunct w:val="0"/>
        <w:autoSpaceDE/>
        <w:autoSpaceDN/>
        <w:bidi w:val="0"/>
        <w:spacing w:line="500" w:lineRule="atLeast"/>
        <w:ind w:firstLine="480"/>
        <w:textAlignment w:val="auto"/>
        <w:rPr>
          <w:rFonts w:hint="default" w:ascii="Times New Roman" w:hAnsi="Times New Roman" w:eastAsia="宋体" w:cs="Times New Roman"/>
          <w:color w:val="auto"/>
          <w:highlight w:val="none"/>
        </w:rPr>
      </w:pPr>
      <w:bookmarkStart w:id="130" w:name="_Hlk44582031"/>
      <w:r>
        <w:rPr>
          <w:rFonts w:hint="default" w:ascii="Times New Roman" w:hAnsi="Times New Roman" w:eastAsia="宋体" w:cs="Times New Roman"/>
          <w:color w:val="auto"/>
          <w:highlight w:val="none"/>
        </w:rPr>
        <w:t>本项目地下水评价等级为三级评价。依据《环境影响评价技术导则 地下水环境》（HJ610-2016）中表3地下水环境现状调查评价范围参照表，详见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3C2106A2">
      <w:pPr>
        <w:pStyle w:val="210"/>
        <w:keepNext w:val="0"/>
        <w:keepLines w:val="0"/>
        <w:pageBreakBefore w:val="0"/>
        <w:widowControl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表2-6-1地下水环境现状调查评价范围参照表</w:t>
      </w:r>
    </w:p>
    <w:tbl>
      <w:tblPr>
        <w:tblStyle w:val="4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8"/>
        <w:gridCol w:w="2835"/>
        <w:gridCol w:w="3203"/>
      </w:tblGrid>
      <w:tr w14:paraId="285E39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68" w:type="dxa"/>
            <w:tcBorders>
              <w:tl2br w:val="nil"/>
              <w:tr2bl w:val="nil"/>
            </w:tcBorders>
            <w:vAlign w:val="center"/>
          </w:tcPr>
          <w:p w14:paraId="30D9F070">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评价等级</w:t>
            </w:r>
          </w:p>
        </w:tc>
        <w:tc>
          <w:tcPr>
            <w:tcW w:w="2835" w:type="dxa"/>
            <w:tcBorders>
              <w:tl2br w:val="nil"/>
              <w:tr2bl w:val="nil"/>
            </w:tcBorders>
            <w:vAlign w:val="center"/>
          </w:tcPr>
          <w:p w14:paraId="5A0F0EEE">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调查范围面积/km</w:t>
            </w:r>
            <w:r>
              <w:rPr>
                <w:rFonts w:hint="default" w:ascii="Times New Roman" w:hAnsi="Times New Roman" w:eastAsia="宋体" w:cs="Times New Roman"/>
                <w:color w:val="auto"/>
                <w:highlight w:val="none"/>
                <w:vertAlign w:val="superscript"/>
              </w:rPr>
              <w:t>2</w:t>
            </w:r>
          </w:p>
        </w:tc>
        <w:tc>
          <w:tcPr>
            <w:tcW w:w="3203" w:type="dxa"/>
            <w:tcBorders>
              <w:tl2br w:val="nil"/>
              <w:tr2bl w:val="nil"/>
            </w:tcBorders>
            <w:vAlign w:val="center"/>
          </w:tcPr>
          <w:p w14:paraId="0EB68383">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112DC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68" w:type="dxa"/>
            <w:tcBorders>
              <w:tl2br w:val="nil"/>
              <w:tr2bl w:val="nil"/>
            </w:tcBorders>
            <w:vAlign w:val="center"/>
          </w:tcPr>
          <w:p w14:paraId="4847D1BA">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一级</w:t>
            </w:r>
          </w:p>
        </w:tc>
        <w:tc>
          <w:tcPr>
            <w:tcW w:w="2835" w:type="dxa"/>
            <w:tcBorders>
              <w:tl2br w:val="nil"/>
              <w:tr2bl w:val="nil"/>
            </w:tcBorders>
            <w:vAlign w:val="center"/>
          </w:tcPr>
          <w:p w14:paraId="7B9B1F1A">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3203" w:type="dxa"/>
            <w:vMerge w:val="restart"/>
            <w:tcBorders>
              <w:tl2br w:val="nil"/>
              <w:tr2bl w:val="nil"/>
            </w:tcBorders>
            <w:vAlign w:val="center"/>
          </w:tcPr>
          <w:p w14:paraId="7723CF5D">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应包括重要的地下水环境目</w:t>
            </w:r>
          </w:p>
          <w:p w14:paraId="74597D4C">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标，必要时适当扩大范围。</w:t>
            </w:r>
          </w:p>
        </w:tc>
      </w:tr>
      <w:tr w14:paraId="3A499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68" w:type="dxa"/>
            <w:tcBorders>
              <w:tl2br w:val="nil"/>
              <w:tr2bl w:val="nil"/>
            </w:tcBorders>
            <w:vAlign w:val="center"/>
          </w:tcPr>
          <w:p w14:paraId="7AE2F1BC">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二级</w:t>
            </w:r>
          </w:p>
        </w:tc>
        <w:tc>
          <w:tcPr>
            <w:tcW w:w="2835" w:type="dxa"/>
            <w:tcBorders>
              <w:tl2br w:val="nil"/>
              <w:tr2bl w:val="nil"/>
            </w:tcBorders>
            <w:vAlign w:val="center"/>
          </w:tcPr>
          <w:p w14:paraId="06A00C70">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6-20</w:t>
            </w:r>
          </w:p>
        </w:tc>
        <w:tc>
          <w:tcPr>
            <w:tcW w:w="3203" w:type="dxa"/>
            <w:vMerge w:val="continue"/>
            <w:tcBorders>
              <w:tl2br w:val="nil"/>
              <w:tr2bl w:val="nil"/>
            </w:tcBorders>
            <w:vAlign w:val="center"/>
          </w:tcPr>
          <w:p w14:paraId="3F51E89C">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p>
        </w:tc>
      </w:tr>
      <w:tr w14:paraId="1C5E7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68" w:type="dxa"/>
            <w:tcBorders>
              <w:tl2br w:val="nil"/>
              <w:tr2bl w:val="nil"/>
            </w:tcBorders>
            <w:vAlign w:val="center"/>
          </w:tcPr>
          <w:p w14:paraId="5A2C4A0B">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三级</w:t>
            </w:r>
          </w:p>
        </w:tc>
        <w:tc>
          <w:tcPr>
            <w:tcW w:w="2835" w:type="dxa"/>
            <w:tcBorders>
              <w:tl2br w:val="nil"/>
              <w:tr2bl w:val="nil"/>
            </w:tcBorders>
            <w:vAlign w:val="center"/>
          </w:tcPr>
          <w:p w14:paraId="2DB2F8B4">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3203" w:type="dxa"/>
            <w:vMerge w:val="continue"/>
            <w:tcBorders>
              <w:tl2br w:val="nil"/>
              <w:tr2bl w:val="nil"/>
            </w:tcBorders>
            <w:vAlign w:val="center"/>
          </w:tcPr>
          <w:p w14:paraId="09331CA6">
            <w:pPr>
              <w:pStyle w:val="146"/>
              <w:keepNext w:val="0"/>
              <w:keepLines w:val="0"/>
              <w:pageBreakBefore w:val="0"/>
              <w:widowControl w:val="0"/>
              <w:kinsoku/>
              <w:wordWrap/>
              <w:overflowPunct/>
              <w:topLinePunct w:val="0"/>
              <w:autoSpaceDE/>
              <w:autoSpaceDN/>
              <w:bidi w:val="0"/>
              <w:spacing w:line="240" w:lineRule="auto"/>
              <w:textAlignment w:val="auto"/>
              <w:rPr>
                <w:rFonts w:hint="default" w:ascii="Times New Roman" w:hAnsi="Times New Roman" w:eastAsia="宋体" w:cs="Times New Roman"/>
                <w:color w:val="auto"/>
                <w:highlight w:val="none"/>
              </w:rPr>
            </w:pPr>
          </w:p>
        </w:tc>
      </w:tr>
    </w:tbl>
    <w:p w14:paraId="2CDA1A95">
      <w:pPr>
        <w:pStyle w:val="67"/>
        <w:keepNext w:val="0"/>
        <w:keepLines w:val="0"/>
        <w:pageBreakBefore w:val="0"/>
        <w:widowControl w:val="0"/>
        <w:kinsoku/>
        <w:wordWrap/>
        <w:overflowPunct/>
        <w:topLinePunct w:val="0"/>
        <w:autoSpaceDE/>
        <w:autoSpaceDN/>
        <w:bidi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根据表2-6-1，本项目地下水评价范围为≤6km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，因此，确定本项目地下水评价范围为：项目用地边界上游1000m、下游2000m，两侧各1000m范围内的矩形区域。</w:t>
      </w:r>
    </w:p>
    <w:bookmarkEnd w:id="130"/>
    <w:p w14:paraId="4CC6893F">
      <w:pPr>
        <w:pStyle w:val="67"/>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（4）声环境</w:t>
      </w:r>
    </w:p>
    <w:p w14:paraId="5706012E">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根据评价工作等级要求，该项目噪声评价范围为建设项目场界外200m范围。</w:t>
      </w:r>
    </w:p>
    <w:p w14:paraId="31BE5653">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（5）生态环境</w:t>
      </w:r>
    </w:p>
    <w:p w14:paraId="4EE1170A">
      <w:pPr>
        <w:pStyle w:val="311"/>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color w:val="auto"/>
          <w:highlight w:val="none"/>
          <w:lang w:val="en-US"/>
        </w:rPr>
      </w:pPr>
      <w:r>
        <w:rPr>
          <w:rFonts w:hint="eastAsia"/>
          <w:color w:val="auto"/>
          <w:highlight w:val="none"/>
          <w:lang w:val="en-US" w:eastAsia="zh-CN"/>
        </w:rPr>
        <w:t>1）</w:t>
      </w:r>
      <w:r>
        <w:rPr>
          <w:color w:val="auto"/>
          <w:highlight w:val="none"/>
          <w:lang w:val="en-US"/>
        </w:rPr>
        <w:t>确定原则</w:t>
      </w:r>
    </w:p>
    <w:p w14:paraId="11BD3BFE">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rPr>
        <w:t>根据《环境影响评价技术导则 生态影响》（HJ 19-20</w:t>
      </w:r>
      <w:r>
        <w:rPr>
          <w:rFonts w:ascii="Times New Roman" w:hAnsi="Times New Roman" w:cs="Times New Roman"/>
          <w:color w:val="auto"/>
          <w:kern w:val="21"/>
          <w:highlight w:val="none"/>
          <w:lang w:val="en-US"/>
        </w:rPr>
        <w:t>22</w:t>
      </w:r>
      <w:r>
        <w:rPr>
          <w:rFonts w:ascii="Times New Roman" w:hAnsi="Times New Roman" w:cs="Times New Roman"/>
          <w:color w:val="auto"/>
          <w:kern w:val="21"/>
          <w:highlight w:val="none"/>
        </w:rPr>
        <w:t>）</w:t>
      </w:r>
      <w:r>
        <w:rPr>
          <w:rFonts w:ascii="Times New Roman" w:hAnsi="Times New Roman" w:cs="Times New Roman"/>
          <w:color w:val="auto"/>
          <w:kern w:val="21"/>
          <w:highlight w:val="none"/>
          <w:lang w:val="en-US"/>
        </w:rPr>
        <w:t>相关内容</w:t>
      </w:r>
      <w:r>
        <w:rPr>
          <w:rFonts w:ascii="Times New Roman" w:hAnsi="Times New Roman" w:cs="Times New Roman"/>
          <w:color w:val="auto"/>
          <w:kern w:val="21"/>
          <w:highlight w:val="none"/>
        </w:rPr>
        <w:t>，</w:t>
      </w:r>
      <w:r>
        <w:rPr>
          <w:rFonts w:ascii="Times New Roman" w:hAnsi="Times New Roman" w:cs="Times New Roman"/>
          <w:color w:val="auto"/>
          <w:kern w:val="21"/>
          <w:highlight w:val="none"/>
          <w:lang w:val="en-US"/>
        </w:rPr>
        <w:t>生态影响评价应能够充分体现生态完整性和生物多样性保护要求，涵盖评价项目全部活动的直接影响区域和间接影响区域。评价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涉及占用或穿（跨）越生态敏感区时，应考虑生态敏感区的结构、功能及主要保护对象合理确定评价范围。污染影响类建设项目评价范围应涵盖直接占用区域以及污染物排放产生的间接生态影响区域。</w:t>
      </w:r>
    </w:p>
    <w:p w14:paraId="30356E57">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ascii="Times New Roman" w:hAnsi="Times New Roman" w:cs="Times New Roman"/>
          <w:color w:val="auto"/>
          <w:kern w:val="21"/>
          <w:highlight w:val="none"/>
          <w:lang w:val="en-US"/>
        </w:rPr>
      </w:pPr>
      <w:r>
        <w:rPr>
          <w:rFonts w:hint="eastAsia" w:ascii="Times New Roman" w:hAnsi="Times New Roman" w:cs="Times New Roman"/>
          <w:color w:val="auto"/>
          <w:kern w:val="21"/>
          <w:highlight w:val="none"/>
          <w:lang w:val="en-US" w:eastAsia="zh-CN"/>
        </w:rPr>
        <w:t>2</w:t>
      </w:r>
      <w:r>
        <w:rPr>
          <w:rFonts w:hint="eastAsia" w:cs="Times New Roman"/>
          <w:color w:val="auto"/>
          <w:kern w:val="21"/>
          <w:highlight w:val="none"/>
          <w:lang w:val="en-US" w:eastAsia="zh-CN"/>
        </w:rPr>
        <w:t>）</w:t>
      </w:r>
      <w:r>
        <w:rPr>
          <w:rFonts w:ascii="Times New Roman" w:hAnsi="Times New Roman" w:cs="Times New Roman"/>
          <w:color w:val="auto"/>
          <w:kern w:val="21"/>
          <w:highlight w:val="none"/>
          <w:lang w:val="en-US"/>
        </w:rPr>
        <w:t>确定结果</w:t>
      </w:r>
    </w:p>
    <w:p w14:paraId="246C0D8A">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highlight w:val="none"/>
        </w:rPr>
      </w:pPr>
      <w:r>
        <w:rPr>
          <w:rFonts w:ascii="Times New Roman" w:hAnsi="Times New Roman" w:eastAsia="宋体" w:cs="Times New Roman"/>
          <w:color w:val="auto"/>
          <w:kern w:val="21"/>
          <w:highlight w:val="none"/>
          <w:lang w:val="en-US"/>
        </w:rPr>
        <w:t>经资料收集及现场调查，项目拟选厂址不涉及生态敏感区。根据《环境影响评价技术导则 生态影响》（HJ 19-2022）相关内容，污染影响类建设项目评价范围应涵盖直接占用区域以及污染物排放产生的间接生态影响区域。该项目对生态环境的影响主要为施工期施工占地、水土流失、施工活动等，这些行为对生态环境的影响一般会控制在占地范围内，本次生态环境影响评价范围的确定参考环境防护距离的设置，确定为本次评价生态环境影响评价范围为以拟选厂址厂界外延300m为评价范围。</w:t>
      </w:r>
    </w:p>
    <w:p w14:paraId="2FB5789D">
      <w:pPr>
        <w:pStyle w:val="67"/>
        <w:spacing w:line="480" w:lineRule="exact"/>
        <w:ind w:firstLine="480"/>
        <w:rPr>
          <w:rFonts w:hint="default" w:ascii="Times New Roman" w:hAnsi="Times New Roman" w:eastAsia="宋体" w:cs="Times New Roman"/>
          <w:color w:val="auto"/>
          <w:highlight w:val="none"/>
        </w:rPr>
      </w:pPr>
      <w:bookmarkStart w:id="131" w:name="_Hlk44593995"/>
      <w:r>
        <w:rPr>
          <w:rFonts w:hint="default" w:ascii="Times New Roman" w:hAnsi="Times New Roman" w:eastAsia="宋体" w:cs="Times New Roman"/>
          <w:color w:val="auto"/>
          <w:highlight w:val="none"/>
        </w:rPr>
        <w:t>（6）环境风险</w:t>
      </w:r>
    </w:p>
    <w:p w14:paraId="6C1A0160">
      <w:pPr>
        <w:pStyle w:val="67"/>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本项目环境风险评价主要为提出风险防范措施，评价范围不予确定。</w:t>
      </w:r>
    </w:p>
    <w:bookmarkEnd w:id="131"/>
    <w:p w14:paraId="60500E57">
      <w:pPr>
        <w:pStyle w:val="67"/>
        <w:spacing w:line="480" w:lineRule="exact"/>
        <w:ind w:firstLine="480"/>
        <w:rPr>
          <w:rFonts w:hint="default" w:ascii="Times New Roman" w:hAnsi="Times New Roman" w:eastAsia="宋体" w:cs="Times New Roman"/>
          <w:color w:val="auto"/>
          <w:szCs w:val="24"/>
          <w:highlight w:val="none"/>
        </w:rPr>
      </w:pPr>
      <w:bookmarkStart w:id="132" w:name="_Hlk15926971"/>
      <w:bookmarkStart w:id="133" w:name="_Hlk44582045"/>
      <w:r>
        <w:rPr>
          <w:rFonts w:hint="default" w:ascii="Times New Roman" w:hAnsi="Times New Roman" w:eastAsia="宋体" w:cs="Times New Roman"/>
          <w:color w:val="auto"/>
          <w:szCs w:val="24"/>
          <w:highlight w:val="none"/>
        </w:rPr>
        <w:t>（7）土壤环境评价范围</w:t>
      </w:r>
    </w:p>
    <w:p w14:paraId="2F8F9D38">
      <w:pPr>
        <w:pStyle w:val="67"/>
        <w:spacing w:line="480" w:lineRule="exact"/>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4"/>
          <w:highlight w:val="none"/>
        </w:rPr>
        <w:t>根据《环境影响评价技术导则 土壤环境（试行）》（HJ964-2018）规定，本项目土壤环境评价范围为项目占地范围内全部土地及占地范围外0.05km。</w:t>
      </w:r>
      <w:bookmarkEnd w:id="132"/>
      <w:r>
        <w:rPr>
          <w:rFonts w:hint="eastAsia" w:eastAsia="宋体" w:cs="Times New Roman"/>
          <w:color w:val="auto"/>
          <w:szCs w:val="24"/>
          <w:highlight w:val="none"/>
          <w:lang w:val="en-US" w:eastAsia="zh-CN"/>
        </w:rPr>
        <w:t>评价范围见图2.6-1。</w:t>
      </w:r>
    </w:p>
    <w:bookmarkEnd w:id="133"/>
    <w:p w14:paraId="29B74D90">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表2-6-2评价范围表</w:t>
      </w:r>
    </w:p>
    <w:tbl>
      <w:tblPr>
        <w:tblStyle w:val="47"/>
        <w:tblW w:w="829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276"/>
        <w:gridCol w:w="1559"/>
        <w:gridCol w:w="4326"/>
      </w:tblGrid>
      <w:tr w14:paraId="12B96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410" w:type="dxa"/>
            <w:gridSpan w:val="2"/>
            <w:shd w:val="clear" w:color="auto" w:fill="auto"/>
            <w:vAlign w:val="center"/>
          </w:tcPr>
          <w:p w14:paraId="2A8B0574">
            <w:pPr>
              <w:pStyle w:val="146"/>
              <w:rPr>
                <w:rFonts w:hint="default" w:ascii="Times New Roman" w:hAnsi="Times New Roman" w:eastAsia="宋体" w:cs="Times New Roman"/>
                <w:snapToGrid w:val="0"/>
                <w:color w:val="auto"/>
                <w:highlight w:val="none"/>
              </w:rPr>
            </w:pPr>
            <w:bookmarkStart w:id="134" w:name="_Hlk44582157"/>
            <w:r>
              <w:rPr>
                <w:rFonts w:hint="default" w:ascii="Times New Roman" w:hAnsi="Times New Roman" w:eastAsia="宋体" w:cs="Times New Roman"/>
                <w:snapToGrid w:val="0"/>
                <w:color w:val="auto"/>
                <w:highlight w:val="none"/>
              </w:rPr>
              <w:t>项目</w:t>
            </w:r>
          </w:p>
        </w:tc>
        <w:tc>
          <w:tcPr>
            <w:tcW w:w="1559" w:type="dxa"/>
            <w:shd w:val="clear" w:color="auto" w:fill="auto"/>
            <w:vAlign w:val="center"/>
          </w:tcPr>
          <w:p w14:paraId="0B5C1D3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评价区域</w:t>
            </w:r>
          </w:p>
        </w:tc>
        <w:tc>
          <w:tcPr>
            <w:tcW w:w="4326" w:type="dxa"/>
            <w:shd w:val="clear" w:color="auto" w:fill="auto"/>
            <w:vAlign w:val="center"/>
          </w:tcPr>
          <w:p w14:paraId="464A92D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评价范围</w:t>
            </w:r>
          </w:p>
        </w:tc>
      </w:tr>
      <w:tr w14:paraId="2A9C2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7CC807A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空气环境</w:t>
            </w:r>
          </w:p>
        </w:tc>
        <w:tc>
          <w:tcPr>
            <w:tcW w:w="1276" w:type="dxa"/>
            <w:shd w:val="clear" w:color="auto" w:fill="auto"/>
            <w:vAlign w:val="center"/>
          </w:tcPr>
          <w:p w14:paraId="131F3EC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39D1F5D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项目所在区域</w:t>
            </w:r>
          </w:p>
        </w:tc>
        <w:tc>
          <w:tcPr>
            <w:tcW w:w="4326" w:type="dxa"/>
            <w:vMerge w:val="restart"/>
            <w:shd w:val="clear" w:color="auto" w:fill="auto"/>
            <w:vAlign w:val="center"/>
          </w:tcPr>
          <w:p w14:paraId="78DA5D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以场址为中心区域，边长为5km的矩形区域</w:t>
            </w:r>
          </w:p>
        </w:tc>
      </w:tr>
      <w:tr w14:paraId="49873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5406176A">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77B8962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512D95B2">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2B617F71">
            <w:pPr>
              <w:pStyle w:val="146"/>
              <w:rPr>
                <w:rFonts w:hint="default" w:ascii="Times New Roman" w:hAnsi="Times New Roman" w:eastAsia="宋体" w:cs="Times New Roman"/>
                <w:snapToGrid w:val="0"/>
                <w:color w:val="auto"/>
                <w:highlight w:val="none"/>
              </w:rPr>
            </w:pPr>
          </w:p>
        </w:tc>
      </w:tr>
      <w:tr w14:paraId="21236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3688D7D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1276" w:type="dxa"/>
            <w:shd w:val="clear" w:color="auto" w:fill="auto"/>
            <w:vAlign w:val="center"/>
          </w:tcPr>
          <w:p w14:paraId="6D8C5F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2FD67A5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项目区及周边</w:t>
            </w:r>
          </w:p>
        </w:tc>
        <w:tc>
          <w:tcPr>
            <w:tcW w:w="4326" w:type="dxa"/>
            <w:vMerge w:val="restart"/>
            <w:shd w:val="clear" w:color="auto" w:fill="auto"/>
            <w:vAlign w:val="center"/>
          </w:tcPr>
          <w:p w14:paraId="0F7E40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场界外200m范围</w:t>
            </w:r>
          </w:p>
        </w:tc>
      </w:tr>
      <w:tr w14:paraId="529878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5154881C">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0625282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5E140027">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4FEAED9E">
            <w:pPr>
              <w:pStyle w:val="146"/>
              <w:rPr>
                <w:rFonts w:hint="default" w:ascii="Times New Roman" w:hAnsi="Times New Roman" w:eastAsia="宋体" w:cs="Times New Roman"/>
                <w:snapToGrid w:val="0"/>
                <w:color w:val="auto"/>
                <w:highlight w:val="none"/>
              </w:rPr>
            </w:pPr>
          </w:p>
        </w:tc>
      </w:tr>
      <w:tr w14:paraId="6A329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36A632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地表水</w:t>
            </w:r>
          </w:p>
        </w:tc>
        <w:tc>
          <w:tcPr>
            <w:tcW w:w="1276" w:type="dxa"/>
            <w:shd w:val="clear" w:color="auto" w:fill="auto"/>
            <w:vAlign w:val="center"/>
          </w:tcPr>
          <w:p w14:paraId="7DDD8E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6399BE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项目所在区域</w:t>
            </w:r>
          </w:p>
        </w:tc>
        <w:tc>
          <w:tcPr>
            <w:tcW w:w="4326" w:type="dxa"/>
            <w:vMerge w:val="restart"/>
            <w:shd w:val="clear" w:color="auto" w:fill="auto"/>
            <w:vAlign w:val="center"/>
          </w:tcPr>
          <w:p w14:paraId="01EE41FD">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项目区段平关河至</w:t>
            </w:r>
            <w:r>
              <w:rPr>
                <w:rFonts w:hint="default" w:ascii="Times New Roman" w:hAnsi="Times New Roman" w:eastAsia="宋体" w:cs="Times New Roman"/>
                <w:snapToGrid w:val="0"/>
                <w:color w:val="auto"/>
                <w:highlight w:val="none"/>
              </w:rPr>
              <w:t>逊别拉河干流段从平山林场至逊河镇</w:t>
            </w:r>
          </w:p>
        </w:tc>
      </w:tr>
      <w:tr w14:paraId="5E549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2997B1D6">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480BD4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1DE3B6D0">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7F3572F3">
            <w:pPr>
              <w:pStyle w:val="146"/>
              <w:rPr>
                <w:rFonts w:hint="default" w:ascii="Times New Roman" w:hAnsi="Times New Roman" w:eastAsia="宋体" w:cs="Times New Roman"/>
                <w:snapToGrid w:val="0"/>
                <w:color w:val="auto"/>
                <w:highlight w:val="none"/>
              </w:rPr>
            </w:pPr>
          </w:p>
        </w:tc>
      </w:tr>
      <w:tr w14:paraId="02D9C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75A619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w:t>
            </w:r>
          </w:p>
        </w:tc>
        <w:tc>
          <w:tcPr>
            <w:tcW w:w="1276" w:type="dxa"/>
            <w:shd w:val="clear" w:color="auto" w:fill="auto"/>
            <w:vAlign w:val="center"/>
          </w:tcPr>
          <w:p w14:paraId="244613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126CEA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项目评价区域</w:t>
            </w:r>
          </w:p>
        </w:tc>
        <w:tc>
          <w:tcPr>
            <w:tcW w:w="4326" w:type="dxa"/>
            <w:vMerge w:val="restart"/>
            <w:shd w:val="clear" w:color="auto" w:fill="auto"/>
            <w:vAlign w:val="center"/>
          </w:tcPr>
          <w:p w14:paraId="139B6BEE">
            <w:pPr>
              <w:pStyle w:val="146"/>
              <w:rPr>
                <w:rFonts w:hint="default" w:ascii="Times New Roman" w:hAnsi="Times New Roman" w:eastAsia="仿宋" w:cs="Times New Roman"/>
                <w:snapToGrid w:val="0"/>
                <w:color w:val="auto"/>
                <w:highlight w:val="none"/>
                <w:lang w:val="en-US" w:eastAsia="zh-CN"/>
              </w:rPr>
            </w:pPr>
            <w:r>
              <w:rPr>
                <w:rFonts w:hint="default" w:ascii="Times New Roman" w:hAnsi="Times New Roman" w:eastAsia="宋体" w:cs="Times New Roman"/>
                <w:color w:val="auto"/>
                <w:highlight w:val="none"/>
              </w:rPr>
              <w:t>项目用地边界</w:t>
            </w:r>
            <w:r>
              <w:rPr>
                <w:rFonts w:hint="default" w:ascii="Times New Roman" w:hAnsi="Times New Roman" w:eastAsia="宋体" w:cs="Times New Roman"/>
                <w:snapToGrid w:val="0"/>
                <w:color w:val="auto"/>
                <w:highlight w:val="none"/>
              </w:rPr>
              <w:t>上游1000m、下游2000m，两侧各1000m范围内的矩形区域</w:t>
            </w:r>
            <w:r>
              <w:rPr>
                <w:rFonts w:hint="eastAsia" w:ascii="Times New Roman" w:hAnsi="Times New Roman" w:eastAsia="宋体" w:cs="Times New Roman"/>
                <w:snapToGrid w:val="0"/>
                <w:color w:val="auto"/>
                <w:highlight w:val="none"/>
                <w:lang w:eastAsia="zh-CN"/>
              </w:rPr>
              <w:t>，</w:t>
            </w:r>
            <w:r>
              <w:rPr>
                <w:rFonts w:hint="eastAsia" w:ascii="Times New Roman" w:hAnsi="Times New Roman" w:eastAsia="宋体" w:cs="Times New Roman"/>
                <w:snapToGrid w:val="0"/>
                <w:color w:val="auto"/>
                <w:highlight w:val="none"/>
                <w:lang w:val="en-US" w:eastAsia="zh-CN"/>
              </w:rPr>
              <w:t>评价</w:t>
            </w:r>
            <w:r>
              <w:rPr>
                <w:rFonts w:hint="eastAsia" w:eastAsia="宋体" w:cs="Times New Roman"/>
                <w:snapToGrid w:val="0"/>
                <w:color w:val="auto"/>
                <w:highlight w:val="none"/>
                <w:lang w:val="en-US" w:eastAsia="zh-CN"/>
              </w:rPr>
              <w:t>范围</w:t>
            </w:r>
            <w:r>
              <w:rPr>
                <w:rFonts w:hint="eastAsia" w:ascii="Times New Roman" w:hAnsi="Times New Roman" w:eastAsia="宋体" w:cs="Times New Roman"/>
                <w:snapToGrid w:val="0"/>
                <w:color w:val="auto"/>
                <w:highlight w:val="none"/>
                <w:lang w:val="en-US" w:eastAsia="zh-CN"/>
              </w:rPr>
              <w:t>面积6km</w:t>
            </w:r>
            <w:r>
              <w:rPr>
                <w:rFonts w:hint="eastAsia" w:ascii="Times New Roman" w:hAnsi="Times New Roman" w:eastAsia="宋体" w:cs="Times New Roman"/>
                <w:snapToGrid w:val="0"/>
                <w:color w:val="auto"/>
                <w:highlight w:val="none"/>
                <w:vertAlign w:val="superscript"/>
                <w:lang w:val="en-US" w:eastAsia="zh-CN"/>
              </w:rPr>
              <w:t>2</w:t>
            </w:r>
          </w:p>
        </w:tc>
      </w:tr>
      <w:tr w14:paraId="46038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45533CE9">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024F989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73BEDC0C">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6B2F2B7E">
            <w:pPr>
              <w:pStyle w:val="146"/>
              <w:rPr>
                <w:rFonts w:hint="default" w:ascii="Times New Roman" w:hAnsi="Times New Roman" w:eastAsia="宋体" w:cs="Times New Roman"/>
                <w:snapToGrid w:val="0"/>
                <w:color w:val="auto"/>
                <w:highlight w:val="none"/>
              </w:rPr>
            </w:pPr>
          </w:p>
        </w:tc>
      </w:tr>
      <w:tr w14:paraId="31D6F7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2BDFCE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生态环境</w:t>
            </w:r>
          </w:p>
        </w:tc>
        <w:tc>
          <w:tcPr>
            <w:tcW w:w="1276" w:type="dxa"/>
            <w:shd w:val="clear" w:color="auto" w:fill="auto"/>
            <w:vAlign w:val="center"/>
          </w:tcPr>
          <w:p w14:paraId="147DC1B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277C75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项目区及周边</w:t>
            </w:r>
          </w:p>
        </w:tc>
        <w:tc>
          <w:tcPr>
            <w:tcW w:w="4326" w:type="dxa"/>
            <w:vMerge w:val="restart"/>
            <w:shd w:val="clear" w:color="auto" w:fill="auto"/>
            <w:vAlign w:val="center"/>
          </w:tcPr>
          <w:p w14:paraId="0075FAD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highlight w:val="none"/>
              </w:rPr>
              <w:t>项目用地范围</w:t>
            </w:r>
            <w:r>
              <w:rPr>
                <w:rFonts w:hint="eastAsia" w:eastAsia="宋体" w:cs="Times New Roman"/>
                <w:color w:val="auto"/>
                <w:highlight w:val="none"/>
                <w:lang w:val="en-US" w:eastAsia="zh-CN"/>
              </w:rPr>
              <w:t>及</w:t>
            </w:r>
            <w:r>
              <w:rPr>
                <w:rFonts w:ascii="Times New Roman" w:hAnsi="Times New Roman" w:eastAsia="宋体" w:cs="Times New Roman"/>
                <w:color w:val="auto"/>
                <w:kern w:val="21"/>
                <w:highlight w:val="none"/>
                <w:lang w:val="en-US"/>
              </w:rPr>
              <w:t>厂址厂界外延300m</w:t>
            </w:r>
          </w:p>
        </w:tc>
      </w:tr>
      <w:tr w14:paraId="24119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6536C796">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2B9E32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29911756">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26FDF84F">
            <w:pPr>
              <w:pStyle w:val="146"/>
              <w:rPr>
                <w:rFonts w:hint="default" w:ascii="Times New Roman" w:hAnsi="Times New Roman" w:eastAsia="宋体" w:cs="Times New Roman"/>
                <w:snapToGrid w:val="0"/>
                <w:color w:val="auto"/>
                <w:highlight w:val="none"/>
              </w:rPr>
            </w:pPr>
          </w:p>
        </w:tc>
      </w:tr>
      <w:tr w14:paraId="38F6F2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restart"/>
            <w:shd w:val="clear" w:color="auto" w:fill="auto"/>
            <w:vAlign w:val="center"/>
          </w:tcPr>
          <w:p w14:paraId="1A48D22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土壤环境</w:t>
            </w:r>
          </w:p>
        </w:tc>
        <w:tc>
          <w:tcPr>
            <w:tcW w:w="1276" w:type="dxa"/>
            <w:shd w:val="clear" w:color="auto" w:fill="auto"/>
            <w:vAlign w:val="center"/>
          </w:tcPr>
          <w:p w14:paraId="3A69A48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现状调查</w:t>
            </w:r>
          </w:p>
        </w:tc>
        <w:tc>
          <w:tcPr>
            <w:tcW w:w="1559" w:type="dxa"/>
            <w:vMerge w:val="restart"/>
            <w:shd w:val="clear" w:color="auto" w:fill="auto"/>
            <w:vAlign w:val="center"/>
          </w:tcPr>
          <w:p w14:paraId="4E48942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项目区及周边</w:t>
            </w:r>
          </w:p>
        </w:tc>
        <w:tc>
          <w:tcPr>
            <w:tcW w:w="4326" w:type="dxa"/>
            <w:vMerge w:val="restart"/>
            <w:shd w:val="clear" w:color="auto" w:fill="auto"/>
            <w:vAlign w:val="center"/>
          </w:tcPr>
          <w:p w14:paraId="2F27E55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项目占地范围内全部土地及占地范围外0.05km</w:t>
            </w:r>
          </w:p>
        </w:tc>
      </w:tr>
      <w:tr w14:paraId="229BC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34" w:type="dxa"/>
            <w:vMerge w:val="continue"/>
            <w:shd w:val="clear" w:color="auto" w:fill="auto"/>
            <w:vAlign w:val="center"/>
          </w:tcPr>
          <w:p w14:paraId="3F504EDF">
            <w:pPr>
              <w:pStyle w:val="146"/>
              <w:rPr>
                <w:rFonts w:hint="default" w:ascii="Times New Roman" w:hAnsi="Times New Roman" w:eastAsia="宋体" w:cs="Times New Roman"/>
                <w:snapToGrid w:val="0"/>
                <w:color w:val="auto"/>
                <w:highlight w:val="none"/>
              </w:rPr>
            </w:pPr>
          </w:p>
        </w:tc>
        <w:tc>
          <w:tcPr>
            <w:tcW w:w="1276" w:type="dxa"/>
            <w:shd w:val="clear" w:color="auto" w:fill="auto"/>
            <w:vAlign w:val="center"/>
          </w:tcPr>
          <w:p w14:paraId="2A1115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影响分析</w:t>
            </w:r>
          </w:p>
        </w:tc>
        <w:tc>
          <w:tcPr>
            <w:tcW w:w="1559" w:type="dxa"/>
            <w:vMerge w:val="continue"/>
            <w:shd w:val="clear" w:color="auto" w:fill="auto"/>
            <w:vAlign w:val="center"/>
          </w:tcPr>
          <w:p w14:paraId="19D70E29">
            <w:pPr>
              <w:pStyle w:val="146"/>
              <w:rPr>
                <w:rFonts w:hint="default" w:ascii="Times New Roman" w:hAnsi="Times New Roman" w:eastAsia="宋体" w:cs="Times New Roman"/>
                <w:snapToGrid w:val="0"/>
                <w:color w:val="auto"/>
                <w:highlight w:val="none"/>
              </w:rPr>
            </w:pPr>
          </w:p>
        </w:tc>
        <w:tc>
          <w:tcPr>
            <w:tcW w:w="4326" w:type="dxa"/>
            <w:vMerge w:val="continue"/>
            <w:shd w:val="clear" w:color="auto" w:fill="auto"/>
            <w:vAlign w:val="center"/>
          </w:tcPr>
          <w:p w14:paraId="5CE65E00">
            <w:pPr>
              <w:pStyle w:val="146"/>
              <w:rPr>
                <w:rFonts w:hint="default" w:ascii="Times New Roman" w:hAnsi="Times New Roman" w:eastAsia="宋体" w:cs="Times New Roman"/>
                <w:snapToGrid w:val="0"/>
                <w:color w:val="auto"/>
                <w:highlight w:val="none"/>
              </w:rPr>
            </w:pPr>
          </w:p>
        </w:tc>
      </w:tr>
      <w:bookmarkEnd w:id="134"/>
    </w:tbl>
    <w:p w14:paraId="577AB652">
      <w:pPr>
        <w:pStyle w:val="5"/>
        <w:spacing w:line="500" w:lineRule="exact"/>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bookmarkStart w:id="135" w:name="_Toc524431294"/>
      <w:bookmarkStart w:id="136" w:name="_Toc57713625"/>
      <w:bookmarkStart w:id="137" w:name="_Toc8419"/>
    </w:p>
    <w:p w14:paraId="322EA283">
      <w:pPr>
        <w:pStyle w:val="2"/>
        <w:ind w:left="0" w:leftChars="0" w:firstLine="0" w:firstLineChars="0"/>
        <w:jc w:val="center"/>
        <w:rPr>
          <w:rFonts w:hint="default"/>
          <w:color w:val="auto"/>
          <w:highlight w:val="none"/>
        </w:rPr>
      </w:pPr>
      <w:r>
        <w:rPr>
          <w:color w:val="auto"/>
          <w:highlight w:val="none"/>
        </w:rPr>
        <w:drawing>
          <wp:inline distT="0" distB="0" distL="114300" distR="114300">
            <wp:extent cx="7385050" cy="4724400"/>
            <wp:effectExtent l="0" t="0" r="6350" b="0"/>
            <wp:docPr id="1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
                    <pic:cNvPicPr>
                      <a:picLocks noChangeAspect="1"/>
                    </pic:cNvPicPr>
                  </pic:nvPicPr>
                  <pic:blipFill>
                    <a:blip r:embed="rId33"/>
                    <a:stretch>
                      <a:fillRect/>
                    </a:stretch>
                  </pic:blipFill>
                  <pic:spPr>
                    <a:xfrm>
                      <a:off x="0" y="0"/>
                      <a:ext cx="7385050" cy="4724400"/>
                    </a:xfrm>
                    <a:prstGeom prst="rect">
                      <a:avLst/>
                    </a:prstGeom>
                    <a:noFill/>
                    <a:ln>
                      <a:noFill/>
                    </a:ln>
                  </pic:spPr>
                </pic:pic>
              </a:graphicData>
            </a:graphic>
          </wp:inline>
        </w:drawing>
      </w:r>
    </w:p>
    <w:p w14:paraId="1EEB70B5">
      <w:pPr>
        <w:pStyle w:val="210"/>
        <w:rPr>
          <w:rFonts w:hint="default"/>
          <w:color w:val="auto"/>
          <w:highlight w:val="none"/>
        </w:rPr>
      </w:pPr>
      <w:r>
        <w:rPr>
          <w:rFonts w:hint="eastAsia" w:ascii="Times New Roman" w:hAnsi="Times New Roman" w:cs="Times New Roman"/>
          <w:color w:val="auto"/>
          <w:highlight w:val="none"/>
          <w:lang w:val="en-US" w:eastAsia="zh-CN"/>
        </w:rPr>
        <w:t>图</w:t>
      </w:r>
      <w:r>
        <w:rPr>
          <w:rFonts w:hint="eastAsia" w:cs="Times New Roman"/>
          <w:color w:val="auto"/>
          <w:highlight w:val="none"/>
          <w:lang w:val="en-US" w:eastAsia="zh-CN"/>
        </w:rPr>
        <w:t>2.6-1</w:t>
      </w:r>
      <w:r>
        <w:rPr>
          <w:rFonts w:hint="eastAsia" w:ascii="Times New Roman" w:hAnsi="Times New Roman" w:cs="Times New Roman"/>
          <w:color w:val="auto"/>
          <w:highlight w:val="none"/>
          <w:lang w:val="en-US" w:eastAsia="zh-CN"/>
        </w:rPr>
        <w:t xml:space="preserve"> 项目周边环境评价范围图</w:t>
      </w:r>
    </w:p>
    <w:p w14:paraId="250D8904">
      <w:pPr>
        <w:rPr>
          <w:rFonts w:hint="default"/>
          <w:color w:val="auto"/>
          <w:highlight w:val="none"/>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720" w:num="1"/>
          <w:docGrid w:type="lines" w:linePitch="326" w:charSpace="0"/>
        </w:sectPr>
      </w:pPr>
    </w:p>
    <w:p w14:paraId="7BADDD5E">
      <w:pPr>
        <w:pStyle w:val="5"/>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2.6.2评价时段</w:t>
      </w:r>
      <w:bookmarkEnd w:id="135"/>
      <w:bookmarkEnd w:id="136"/>
      <w:bookmarkEnd w:id="137"/>
    </w:p>
    <w:p w14:paraId="419055FC">
      <w:pPr>
        <w:pStyle w:val="67"/>
        <w:spacing w:line="460" w:lineRule="exact"/>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评价时段为施工期、营运期。由于施工期对周围环境影响较小，并且为短期影响，因此施工期只作影响分析；营运期对周围环境影响程度因工序污染物排放不同而不同，而且为长期影响，因此本评价以营运期为重点评价时段。</w:t>
      </w:r>
    </w:p>
    <w:p w14:paraId="7CAF1F27">
      <w:pPr>
        <w:pStyle w:val="4"/>
        <w:spacing w:line="460" w:lineRule="exact"/>
        <w:rPr>
          <w:rFonts w:hint="default" w:ascii="Times New Roman" w:hAnsi="Times New Roman" w:cs="Times New Roman"/>
          <w:color w:val="auto"/>
          <w:highlight w:val="none"/>
        </w:rPr>
      </w:pPr>
      <w:bookmarkStart w:id="138" w:name="_Toc57713626"/>
      <w:bookmarkStart w:id="139" w:name="_Toc524431295"/>
      <w:bookmarkStart w:id="140" w:name="_Toc23639"/>
      <w:r>
        <w:rPr>
          <w:rFonts w:hint="default" w:ascii="Times New Roman" w:hAnsi="Times New Roman" w:cs="Times New Roman"/>
          <w:color w:val="auto"/>
          <w:highlight w:val="none"/>
        </w:rPr>
        <w:t>2.7环境保护目标</w:t>
      </w:r>
      <w:bookmarkEnd w:id="138"/>
      <w:bookmarkEnd w:id="139"/>
      <w:bookmarkEnd w:id="140"/>
    </w:p>
    <w:p w14:paraId="63184C9C">
      <w:pPr>
        <w:pStyle w:val="67"/>
        <w:spacing w:line="46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经现场调查，本项目评价区内无国家、省、市级自然保护区、风景名胜区和文物保护单位，环境保护目标主要为评价区范围内受项目排污影响的大气环境、水环境、声环境、土壤环境</w:t>
      </w:r>
      <w:r>
        <w:rPr>
          <w:rFonts w:hint="eastAsia" w:eastAsia="宋体" w:cs="Times New Roman"/>
          <w:color w:val="auto"/>
          <w:highlight w:val="none"/>
          <w:lang w:eastAsia="zh-CN"/>
        </w:rPr>
        <w:t>、</w:t>
      </w:r>
      <w:r>
        <w:rPr>
          <w:rFonts w:hint="eastAsia" w:eastAsia="宋体" w:cs="Times New Roman"/>
          <w:color w:val="auto"/>
          <w:highlight w:val="none"/>
          <w:lang w:val="en-US" w:eastAsia="zh-CN"/>
        </w:rPr>
        <w:t>生态环境</w:t>
      </w:r>
      <w:r>
        <w:rPr>
          <w:rFonts w:hint="default" w:ascii="Times New Roman" w:hAnsi="Times New Roman" w:eastAsia="宋体" w:cs="Times New Roman"/>
          <w:color w:val="auto"/>
          <w:highlight w:val="none"/>
        </w:rPr>
        <w:t>。</w:t>
      </w:r>
    </w:p>
    <w:p w14:paraId="17BB4196">
      <w:pPr>
        <w:pStyle w:val="67"/>
        <w:spacing w:line="46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经资料收集及现场调查，生态环境影响评价范围内共分布有疏林天然林（国家二级公益林）；项目拟选厂址不涉及重要物种；不涉及依据法律法规、政策等规范性文件划定或确认的国家公园、自然保护区、自然公园等自然保护地、世界自然遗产、生态保护红线等区域；不涉及重要物种的天然集中分布区、栖息地，重要水生生物的产卵场、索饵场、越冬场和洄游通道，迁徙鸟类的重要繁殖地、停歇地、越冬地等。本次评价具有代表性的生态环境保护目标见下表。</w:t>
      </w:r>
    </w:p>
    <w:p w14:paraId="3A27AC6E">
      <w:pPr>
        <w:autoSpaceDE/>
        <w:autoSpaceDN/>
        <w:spacing w:before="120" w:beforeLines="50"/>
        <w:jc w:val="center"/>
        <w:rPr>
          <w:rFonts w:ascii="Times New Roman" w:hAnsi="Times New Roman" w:cs="Times New Roman"/>
          <w:b/>
          <w:bCs/>
          <w:color w:val="auto"/>
          <w:kern w:val="21"/>
          <w:highlight w:val="none"/>
        </w:rPr>
      </w:pPr>
      <w:r>
        <w:rPr>
          <w:rFonts w:ascii="Times New Roman" w:hAnsi="Times New Roman" w:cs="Times New Roman"/>
          <w:b/>
          <w:bCs/>
          <w:color w:val="auto"/>
          <w:kern w:val="21"/>
          <w:szCs w:val="21"/>
          <w:highlight w:val="none"/>
        </w:rPr>
        <w:t>表</w:t>
      </w:r>
      <w:r>
        <w:rPr>
          <w:rFonts w:ascii="Times New Roman" w:hAnsi="Times New Roman" w:cs="Times New Roman"/>
          <w:b/>
          <w:bCs/>
          <w:color w:val="auto"/>
          <w:kern w:val="21"/>
          <w:szCs w:val="21"/>
          <w:highlight w:val="none"/>
          <w:lang w:val="en-US"/>
        </w:rPr>
        <w:t>2</w:t>
      </w:r>
      <w:r>
        <w:rPr>
          <w:rFonts w:hint="eastAsia" w:ascii="Times New Roman" w:hAnsi="Times New Roman" w:cs="Times New Roman"/>
          <w:b/>
          <w:bCs/>
          <w:color w:val="auto"/>
          <w:kern w:val="21"/>
          <w:szCs w:val="21"/>
          <w:highlight w:val="none"/>
          <w:lang w:val="en-US" w:eastAsia="zh-CN"/>
        </w:rPr>
        <w:t>-</w:t>
      </w:r>
      <w:r>
        <w:rPr>
          <w:rFonts w:ascii="Times New Roman" w:hAnsi="Times New Roman" w:cs="Times New Roman"/>
          <w:b/>
          <w:bCs/>
          <w:color w:val="auto"/>
          <w:kern w:val="21"/>
          <w:szCs w:val="21"/>
          <w:highlight w:val="none"/>
          <w:lang w:val="en-US"/>
        </w:rPr>
        <w:t>7-1</w:t>
      </w:r>
      <w:r>
        <w:rPr>
          <w:rFonts w:ascii="Times New Roman" w:hAnsi="Times New Roman" w:cs="Times New Roman"/>
          <w:b/>
          <w:bCs/>
          <w:color w:val="auto"/>
          <w:kern w:val="21"/>
          <w:szCs w:val="21"/>
          <w:highlight w:val="none"/>
        </w:rPr>
        <w:t xml:space="preserve"> </w:t>
      </w:r>
      <w:r>
        <w:rPr>
          <w:rFonts w:ascii="Times New Roman" w:hAnsi="Times New Roman" w:cs="Times New Roman"/>
          <w:b/>
          <w:bCs/>
          <w:color w:val="auto"/>
          <w:kern w:val="21"/>
          <w:szCs w:val="21"/>
          <w:highlight w:val="none"/>
          <w:lang w:val="en-US"/>
        </w:rPr>
        <w:t>具有代表性的</w:t>
      </w:r>
      <w:r>
        <w:rPr>
          <w:rFonts w:ascii="Times New Roman" w:hAnsi="Times New Roman" w:cs="Times New Roman"/>
          <w:b/>
          <w:bCs/>
          <w:color w:val="auto"/>
          <w:kern w:val="21"/>
          <w:szCs w:val="21"/>
          <w:highlight w:val="none"/>
        </w:rPr>
        <w:t>生态环境保护目标表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514"/>
        <w:gridCol w:w="3808"/>
        <w:gridCol w:w="2981"/>
      </w:tblGrid>
      <w:tr w14:paraId="068461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911" w:type="pct"/>
            <w:vAlign w:val="center"/>
          </w:tcPr>
          <w:p w14:paraId="20698B3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环境保护目标</w:t>
            </w:r>
          </w:p>
        </w:tc>
        <w:tc>
          <w:tcPr>
            <w:tcW w:w="2293" w:type="pct"/>
            <w:vAlign w:val="center"/>
          </w:tcPr>
          <w:p w14:paraId="13A0B87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与建设项目位置关系及规模</w:t>
            </w:r>
          </w:p>
        </w:tc>
        <w:tc>
          <w:tcPr>
            <w:tcW w:w="1795" w:type="pct"/>
            <w:vAlign w:val="center"/>
          </w:tcPr>
          <w:p w14:paraId="2358134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主要保护对象</w:t>
            </w:r>
          </w:p>
        </w:tc>
      </w:tr>
      <w:tr w14:paraId="1DF4B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911" w:type="pct"/>
            <w:vAlign w:val="center"/>
          </w:tcPr>
          <w:p w14:paraId="394EE53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陆生生态系统</w:t>
            </w:r>
          </w:p>
        </w:tc>
        <w:tc>
          <w:tcPr>
            <w:tcW w:w="2293" w:type="pct"/>
            <w:vAlign w:val="center"/>
          </w:tcPr>
          <w:p w14:paraId="03B0C27C">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项目拟选厂址周边生态环境影响评价范围内</w:t>
            </w:r>
          </w:p>
        </w:tc>
        <w:tc>
          <w:tcPr>
            <w:tcW w:w="1795" w:type="pct"/>
            <w:vAlign w:val="center"/>
          </w:tcPr>
          <w:p w14:paraId="5C09F278">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生境、生物群落、生态系统、生物多样性、自然景观</w:t>
            </w:r>
          </w:p>
        </w:tc>
      </w:tr>
      <w:tr w14:paraId="13BBF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911" w:type="pct"/>
            <w:vAlign w:val="center"/>
          </w:tcPr>
          <w:p w14:paraId="7583699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水生生态系统</w:t>
            </w:r>
          </w:p>
        </w:tc>
        <w:tc>
          <w:tcPr>
            <w:tcW w:w="2293" w:type="pct"/>
            <w:vAlign w:val="center"/>
          </w:tcPr>
          <w:p w14:paraId="2E04A15A">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w:t>
            </w:r>
          </w:p>
        </w:tc>
        <w:tc>
          <w:tcPr>
            <w:tcW w:w="1795" w:type="pct"/>
            <w:vAlign w:val="center"/>
          </w:tcPr>
          <w:p w14:paraId="12D23D9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w:t>
            </w:r>
          </w:p>
        </w:tc>
      </w:tr>
      <w:tr w14:paraId="1D0C0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911" w:type="pct"/>
            <w:vAlign w:val="center"/>
          </w:tcPr>
          <w:p w14:paraId="27CB97CF">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天然林（国家二级公益林）</w:t>
            </w:r>
          </w:p>
        </w:tc>
        <w:tc>
          <w:tcPr>
            <w:tcW w:w="2293" w:type="pct"/>
            <w:vAlign w:val="center"/>
          </w:tcPr>
          <w:p w14:paraId="28811163">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生态环境影响评价范围内共分布有7处疏林天然林（国家二级公益林），面积共</w:t>
            </w:r>
            <w:r>
              <w:rPr>
                <w:rFonts w:hint="eastAsia" w:ascii="Times New Roman" w:hAnsi="Times New Roman" w:eastAsia="宋体" w:cs="Times New Roman"/>
                <w:color w:val="auto"/>
                <w:highlight w:val="none"/>
                <w:lang w:val="en-US" w:eastAsia="zh-CN"/>
              </w:rPr>
              <w:t>120.48</w:t>
            </w:r>
            <w:r>
              <w:rPr>
                <w:rFonts w:hint="default" w:ascii="Times New Roman" w:hAnsi="Times New Roman" w:eastAsia="宋体" w:cs="Times New Roman"/>
                <w:color w:val="auto"/>
                <w:highlight w:val="none"/>
                <w:lang w:val="en-US"/>
              </w:rPr>
              <w:t>hm</w:t>
            </w:r>
            <w:r>
              <w:rPr>
                <w:rFonts w:hint="default" w:ascii="Times New Roman" w:hAnsi="Times New Roman" w:eastAsia="宋体" w:cs="Times New Roman"/>
                <w:color w:val="auto"/>
                <w:highlight w:val="none"/>
                <w:vertAlign w:val="superscript"/>
                <w:lang w:val="en-US"/>
              </w:rPr>
              <w:t>2</w:t>
            </w:r>
          </w:p>
        </w:tc>
        <w:tc>
          <w:tcPr>
            <w:tcW w:w="1795" w:type="pct"/>
            <w:vAlign w:val="center"/>
          </w:tcPr>
          <w:p w14:paraId="6422AE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保护天然林（国家二级公益林）群落结构和完整性，尽量减少对天然林（国家二级公益林）破坏</w:t>
            </w:r>
          </w:p>
        </w:tc>
      </w:tr>
    </w:tbl>
    <w:p w14:paraId="113885B6">
      <w:pPr>
        <w:pStyle w:val="67"/>
        <w:spacing w:line="46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同时，通过对评价范围内环境及人群分布情况的调查，确定本项目的环境保护目标，</w:t>
      </w:r>
      <w:r>
        <w:rPr>
          <w:rFonts w:hint="default" w:ascii="Times New Roman" w:hAnsi="Times New Roman" w:eastAsia="宋体" w:cs="Times New Roman"/>
          <w:color w:val="auto"/>
          <w:highlight w:val="none"/>
          <w:lang w:val="en-US" w:eastAsia="zh-CN"/>
        </w:rPr>
        <w:t>经调查，本项目周边5km范围内无环境空气保护目标，其余</w:t>
      </w:r>
      <w:r>
        <w:rPr>
          <w:rFonts w:hint="default" w:ascii="Times New Roman" w:hAnsi="Times New Roman" w:eastAsia="宋体" w:cs="Times New Roman"/>
          <w:color w:val="auto"/>
          <w:highlight w:val="none"/>
        </w:rPr>
        <w:t>环境保护目标见</w:t>
      </w:r>
      <w:r>
        <w:rPr>
          <w:rFonts w:hint="default" w:ascii="Times New Roman" w:hAnsi="Times New Roman" w:eastAsia="宋体" w:cs="Times New Roman"/>
          <w:color w:val="auto"/>
          <w:highlight w:val="none"/>
          <w:lang w:val="en-US" w:eastAsia="zh-CN"/>
        </w:rPr>
        <w:t>下表</w:t>
      </w:r>
      <w:r>
        <w:rPr>
          <w:rFonts w:hint="default" w:ascii="Times New Roman" w:hAnsi="Times New Roman" w:eastAsia="宋体" w:cs="Times New Roman"/>
          <w:color w:val="auto"/>
          <w:highlight w:val="none"/>
        </w:rPr>
        <w:t>。</w:t>
      </w:r>
    </w:p>
    <w:p w14:paraId="7ADB0B62">
      <w:pPr>
        <w:adjustRightInd/>
        <w:snapToGrid/>
        <w:spacing w:line="500" w:lineRule="exact"/>
        <w:rPr>
          <w:rFonts w:hint="default" w:ascii="Times New Roman" w:hAnsi="Times New Roman" w:cs="Times New Roman"/>
          <w:snapToGrid w:val="0"/>
          <w:color w:val="auto"/>
          <w:kern w:val="0"/>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484D6963">
      <w:pPr>
        <w:pStyle w:val="210"/>
        <w:rPr>
          <w:rFonts w:hint="default" w:ascii="Times New Roman" w:hAnsi="Times New Roman" w:cs="Times New Roman"/>
          <w:color w:val="auto"/>
          <w:highlight w:val="none"/>
        </w:rPr>
      </w:pPr>
      <w:bookmarkStart w:id="141" w:name="_Hlk524423186"/>
      <w:bookmarkStart w:id="142" w:name="_Toc524431296"/>
      <w:r>
        <w:rPr>
          <w:rFonts w:hint="default" w:ascii="Times New Roman" w:hAnsi="Times New Roman" w:cs="Times New Roman"/>
          <w:color w:val="auto"/>
          <w:highlight w:val="none"/>
        </w:rPr>
        <w:t>表2-7-</w:t>
      </w:r>
      <w:r>
        <w:rPr>
          <w:rFonts w:hint="eastAsia" w:cs="Times New Roman"/>
          <w:color w:val="auto"/>
          <w:highlight w:val="none"/>
          <w:lang w:val="en-US" w:eastAsia="zh-CN"/>
        </w:rPr>
        <w:t>2</w:t>
      </w:r>
      <w:r>
        <w:rPr>
          <w:rFonts w:hint="default" w:ascii="Times New Roman" w:hAnsi="Times New Roman" w:cs="Times New Roman"/>
          <w:color w:val="auto"/>
          <w:highlight w:val="none"/>
        </w:rPr>
        <w:t>环境要素主要环境保护目标</w:t>
      </w:r>
    </w:p>
    <w:tbl>
      <w:tblPr>
        <w:tblStyle w:val="47"/>
        <w:tblW w:w="460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855"/>
        <w:gridCol w:w="964"/>
        <w:gridCol w:w="1213"/>
        <w:gridCol w:w="5395"/>
      </w:tblGrid>
      <w:tr w14:paraId="4E807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blHeader/>
          <w:jc w:val="center"/>
        </w:trPr>
        <w:tc>
          <w:tcPr>
            <w:tcW w:w="725" w:type="pct"/>
            <w:tcBorders>
              <w:tl2br w:val="nil"/>
              <w:tr2bl w:val="nil"/>
            </w:tcBorders>
            <w:vAlign w:val="center"/>
          </w:tcPr>
          <w:p w14:paraId="431136C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环境要素</w:t>
            </w:r>
          </w:p>
        </w:tc>
        <w:tc>
          <w:tcPr>
            <w:tcW w:w="1170" w:type="pct"/>
            <w:tcBorders>
              <w:tl2br w:val="nil"/>
              <w:tr2bl w:val="nil"/>
            </w:tcBorders>
            <w:vAlign w:val="center"/>
          </w:tcPr>
          <w:p w14:paraId="4D0E5F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环境保护目标</w:t>
            </w:r>
          </w:p>
        </w:tc>
        <w:tc>
          <w:tcPr>
            <w:tcW w:w="395" w:type="pct"/>
            <w:tcBorders>
              <w:tl2br w:val="nil"/>
              <w:tr2bl w:val="nil"/>
            </w:tcBorders>
            <w:vAlign w:val="center"/>
          </w:tcPr>
          <w:p w14:paraId="31BC410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方位</w:t>
            </w:r>
          </w:p>
        </w:tc>
        <w:tc>
          <w:tcPr>
            <w:tcW w:w="497" w:type="pct"/>
            <w:tcBorders>
              <w:tl2br w:val="nil"/>
              <w:tr2bl w:val="nil"/>
            </w:tcBorders>
            <w:vAlign w:val="center"/>
          </w:tcPr>
          <w:p w14:paraId="76FC896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最近距离</w:t>
            </w:r>
          </w:p>
        </w:tc>
        <w:tc>
          <w:tcPr>
            <w:tcW w:w="2211" w:type="pct"/>
            <w:tcBorders>
              <w:tl2br w:val="nil"/>
              <w:tr2bl w:val="nil"/>
            </w:tcBorders>
            <w:vAlign w:val="center"/>
          </w:tcPr>
          <w:p w14:paraId="664E865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环境功能</w:t>
            </w:r>
          </w:p>
        </w:tc>
      </w:tr>
      <w:tr w14:paraId="11B26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725" w:type="pct"/>
            <w:tcBorders>
              <w:tl2br w:val="nil"/>
              <w:tr2bl w:val="nil"/>
            </w:tcBorders>
            <w:vAlign w:val="center"/>
          </w:tcPr>
          <w:p w14:paraId="7A97D7A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大气环境</w:t>
            </w:r>
          </w:p>
        </w:tc>
        <w:tc>
          <w:tcPr>
            <w:tcW w:w="1170" w:type="pct"/>
            <w:tcBorders>
              <w:tl2br w:val="nil"/>
              <w:tr2bl w:val="nil"/>
            </w:tcBorders>
            <w:vAlign w:val="center"/>
          </w:tcPr>
          <w:p w14:paraId="4B73D7C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395" w:type="pct"/>
            <w:tcBorders>
              <w:tl2br w:val="nil"/>
              <w:tr2bl w:val="nil"/>
            </w:tcBorders>
            <w:vAlign w:val="center"/>
          </w:tcPr>
          <w:p w14:paraId="41286C5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497" w:type="pct"/>
            <w:tcBorders>
              <w:tl2br w:val="nil"/>
              <w:tr2bl w:val="nil"/>
            </w:tcBorders>
            <w:vAlign w:val="center"/>
          </w:tcPr>
          <w:p w14:paraId="6C5A069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211" w:type="pct"/>
            <w:tcBorders>
              <w:tl2br w:val="nil"/>
              <w:tr2bl w:val="nil"/>
            </w:tcBorders>
            <w:vAlign w:val="center"/>
          </w:tcPr>
          <w:p w14:paraId="0BEF9FB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highlight w:val="none"/>
              </w:rPr>
              <w:t>《环境空气质量标准》</w:t>
            </w:r>
            <w:r>
              <w:rPr>
                <w:rFonts w:hint="default" w:ascii="Times New Roman" w:hAnsi="Times New Roman" w:eastAsia="宋体" w:cs="Times New Roman"/>
                <w:color w:val="auto"/>
                <w:highlight w:val="none"/>
              </w:rPr>
              <w:t>（GB</w:t>
            </w:r>
            <w:r>
              <w:rPr>
                <w:rFonts w:hint="default" w:ascii="Times New Roman" w:hAnsi="Times New Roman" w:eastAsia="宋体" w:cs="Times New Roman"/>
                <w:color w:val="auto"/>
                <w:highlight w:val="none"/>
                <w:lang w:val="en-US" w:eastAsia="zh-CN"/>
              </w:rPr>
              <w:t>3095-2026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过渡阶段浓度限值二级标准</w:t>
            </w:r>
          </w:p>
        </w:tc>
      </w:tr>
      <w:tr w14:paraId="7E28D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25" w:type="pct"/>
            <w:tcBorders>
              <w:tl2br w:val="nil"/>
              <w:tr2bl w:val="nil"/>
            </w:tcBorders>
            <w:vAlign w:val="center"/>
          </w:tcPr>
          <w:p w14:paraId="0CF8DBE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地下水环境</w:t>
            </w:r>
          </w:p>
        </w:tc>
        <w:tc>
          <w:tcPr>
            <w:tcW w:w="1170" w:type="pct"/>
            <w:tcBorders>
              <w:tl2br w:val="nil"/>
              <w:tr2bl w:val="nil"/>
            </w:tcBorders>
            <w:vAlign w:val="center"/>
          </w:tcPr>
          <w:p w14:paraId="5AE85A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场区内自打饮用水水井、项目区域内地下水潜水含水层</w:t>
            </w:r>
          </w:p>
        </w:tc>
        <w:tc>
          <w:tcPr>
            <w:tcW w:w="395" w:type="pct"/>
            <w:tcBorders>
              <w:tl2br w:val="nil"/>
              <w:tr2bl w:val="nil"/>
            </w:tcBorders>
            <w:vAlign w:val="center"/>
          </w:tcPr>
          <w:p w14:paraId="30472D3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97" w:type="pct"/>
            <w:tcBorders>
              <w:tl2br w:val="nil"/>
              <w:tr2bl w:val="nil"/>
            </w:tcBorders>
            <w:vAlign w:val="center"/>
          </w:tcPr>
          <w:p w14:paraId="7563CA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211" w:type="pct"/>
            <w:tcBorders>
              <w:tl2br w:val="nil"/>
              <w:tr2bl w:val="nil"/>
            </w:tcBorders>
            <w:vAlign w:val="center"/>
          </w:tcPr>
          <w:p w14:paraId="637912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《地下水质量标准》（GB/T14848-2017）</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tc>
      </w:tr>
      <w:tr w14:paraId="5F1B72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6" w:hRule="atLeast"/>
          <w:jc w:val="center"/>
        </w:trPr>
        <w:tc>
          <w:tcPr>
            <w:tcW w:w="725" w:type="pct"/>
            <w:tcBorders>
              <w:tl2br w:val="nil"/>
              <w:tr2bl w:val="nil"/>
            </w:tcBorders>
            <w:vAlign w:val="center"/>
          </w:tcPr>
          <w:p w14:paraId="01D0DB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w:t>
            </w:r>
          </w:p>
        </w:tc>
        <w:tc>
          <w:tcPr>
            <w:tcW w:w="1170" w:type="pct"/>
            <w:tcBorders>
              <w:tl2br w:val="nil"/>
              <w:tr2bl w:val="nil"/>
            </w:tcBorders>
            <w:vAlign w:val="center"/>
          </w:tcPr>
          <w:p w14:paraId="6914BF3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厂界外200m范围内</w:t>
            </w:r>
          </w:p>
        </w:tc>
        <w:tc>
          <w:tcPr>
            <w:tcW w:w="395" w:type="pct"/>
            <w:tcBorders>
              <w:tl2br w:val="nil"/>
              <w:tr2bl w:val="nil"/>
            </w:tcBorders>
            <w:vAlign w:val="center"/>
          </w:tcPr>
          <w:p w14:paraId="00A3C12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97" w:type="pct"/>
            <w:tcBorders>
              <w:tl2br w:val="nil"/>
              <w:tr2bl w:val="nil"/>
            </w:tcBorders>
            <w:vAlign w:val="center"/>
          </w:tcPr>
          <w:p w14:paraId="2611EE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211" w:type="pct"/>
            <w:tcBorders>
              <w:tl2br w:val="nil"/>
              <w:tr2bl w:val="nil"/>
            </w:tcBorders>
            <w:vAlign w:val="center"/>
          </w:tcPr>
          <w:p w14:paraId="386C617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《声环境质量标准》（GB3096-2008）</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w:t>
            </w:r>
          </w:p>
        </w:tc>
      </w:tr>
      <w:tr w14:paraId="5A927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7" w:hRule="atLeast"/>
          <w:jc w:val="center"/>
        </w:trPr>
        <w:tc>
          <w:tcPr>
            <w:tcW w:w="725" w:type="pct"/>
            <w:tcBorders>
              <w:tl2br w:val="nil"/>
              <w:tr2bl w:val="nil"/>
            </w:tcBorders>
            <w:vAlign w:val="center"/>
          </w:tcPr>
          <w:p w14:paraId="55C3AC5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土壤环境</w:t>
            </w:r>
          </w:p>
        </w:tc>
        <w:tc>
          <w:tcPr>
            <w:tcW w:w="1170" w:type="pct"/>
            <w:tcBorders>
              <w:tl2br w:val="nil"/>
              <w:tr2bl w:val="nil"/>
            </w:tcBorders>
            <w:vAlign w:val="center"/>
          </w:tcPr>
          <w:p w14:paraId="45471CA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占地范围内及占地范围外0.05km范围内</w:t>
            </w:r>
            <w:r>
              <w:rPr>
                <w:rFonts w:hint="default" w:ascii="Times New Roman" w:hAnsi="Times New Roman" w:eastAsia="宋体" w:cs="Times New Roman"/>
                <w:color w:val="auto"/>
                <w:highlight w:val="none"/>
                <w:lang w:val="en-US" w:eastAsia="zh-CN"/>
              </w:rPr>
              <w:t>水田、旱地、天然牧草地</w:t>
            </w:r>
          </w:p>
        </w:tc>
        <w:tc>
          <w:tcPr>
            <w:tcW w:w="395" w:type="pct"/>
            <w:tcBorders>
              <w:tl2br w:val="nil"/>
              <w:tr2bl w:val="nil"/>
            </w:tcBorders>
            <w:vAlign w:val="center"/>
          </w:tcPr>
          <w:p w14:paraId="5A6B05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97" w:type="pct"/>
            <w:tcBorders>
              <w:tl2br w:val="nil"/>
              <w:tr2bl w:val="nil"/>
            </w:tcBorders>
            <w:vAlign w:val="center"/>
          </w:tcPr>
          <w:p w14:paraId="45950B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211" w:type="pct"/>
            <w:tcBorders>
              <w:tl2br w:val="nil"/>
              <w:tr2bl w:val="nil"/>
            </w:tcBorders>
            <w:vAlign w:val="center"/>
          </w:tcPr>
          <w:p w14:paraId="52299D7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占地范围内</w:t>
            </w:r>
            <w:r>
              <w:rPr>
                <w:rFonts w:hint="eastAsia" w:ascii="Times New Roman" w:hAnsi="Times New Roman" w:eastAsia="宋体" w:cs="Times New Roman"/>
                <w:color w:val="auto"/>
                <w:highlight w:val="none"/>
                <w:lang w:val="en-US" w:eastAsia="zh-CN"/>
              </w:rPr>
              <w:t>执行</w:t>
            </w:r>
            <w:r>
              <w:rPr>
                <w:rFonts w:hint="default" w:ascii="Times New Roman" w:hAnsi="Times New Roman" w:eastAsia="宋体" w:cs="Times New Roman"/>
                <w:color w:val="auto"/>
                <w:highlight w:val="none"/>
              </w:rPr>
              <w:t>《土壤环境质量 建设用地土壤污染风险管控标准（试行）》（GB36680-2018）第二类用地风险筛选值</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占地范围外执行</w:t>
            </w:r>
            <w:r>
              <w:rPr>
                <w:rFonts w:hint="default" w:ascii="Times New Roman" w:hAnsi="Times New Roman" w:eastAsia="宋体" w:cs="Times New Roman"/>
                <w:color w:val="auto"/>
                <w:highlight w:val="none"/>
              </w:rPr>
              <w:t>《土壤环境质量 农用地土壤污染风险管控标准（试行）》（GB36600-2018）表1中其他农用地标准限值要求</w:t>
            </w:r>
          </w:p>
        </w:tc>
      </w:tr>
      <w:bookmarkEnd w:id="141"/>
    </w:tbl>
    <w:p w14:paraId="59CC1051">
      <w:pPr>
        <w:pStyle w:val="67"/>
        <w:ind w:firstLine="420"/>
        <w:rPr>
          <w:rStyle w:val="422"/>
          <w:rFonts w:hint="default" w:ascii="Times New Roman" w:hAnsi="Times New Roman" w:cs="Times New Roman"/>
          <w:color w:val="auto"/>
          <w:highlight w:val="none"/>
        </w:rPr>
      </w:pPr>
    </w:p>
    <w:p w14:paraId="61EE0E0D">
      <w:pPr>
        <w:bidi w:val="0"/>
        <w:rPr>
          <w:rFonts w:hint="default"/>
          <w:color w:val="auto"/>
          <w:highlight w:val="none"/>
          <w:lang w:val="en-US" w:eastAsia="zh-CN"/>
        </w:rPr>
      </w:pPr>
    </w:p>
    <w:p w14:paraId="1B6F3D7C">
      <w:pPr>
        <w:bidi w:val="0"/>
        <w:rPr>
          <w:rFonts w:hint="default"/>
          <w:color w:val="auto"/>
          <w:highlight w:val="none"/>
          <w:lang w:val="en-US" w:eastAsia="zh-CN"/>
        </w:rPr>
      </w:pPr>
    </w:p>
    <w:p w14:paraId="67E69F84">
      <w:pPr>
        <w:bidi w:val="0"/>
        <w:rPr>
          <w:rFonts w:hint="default"/>
          <w:color w:val="auto"/>
          <w:highlight w:val="none"/>
        </w:rPr>
      </w:pPr>
    </w:p>
    <w:p w14:paraId="3CF8D111">
      <w:pPr>
        <w:pStyle w:val="2"/>
        <w:rPr>
          <w:rFonts w:hint="default"/>
          <w:color w:val="auto"/>
          <w:highlight w:val="none"/>
        </w:rPr>
      </w:pPr>
    </w:p>
    <w:p w14:paraId="0A94816F">
      <w:pPr>
        <w:pStyle w:val="2"/>
        <w:rPr>
          <w:rFonts w:hint="default"/>
          <w:color w:val="auto"/>
          <w:highlight w:val="none"/>
        </w:rPr>
      </w:pPr>
    </w:p>
    <w:p w14:paraId="0105B06B">
      <w:pPr>
        <w:pStyle w:val="2"/>
        <w:rPr>
          <w:rFonts w:hint="default"/>
          <w:color w:val="auto"/>
          <w:highlight w:val="none"/>
        </w:rPr>
      </w:pPr>
    </w:p>
    <w:p w14:paraId="40E25271">
      <w:pPr>
        <w:pStyle w:val="2"/>
        <w:rPr>
          <w:rFonts w:hint="default"/>
          <w:color w:val="auto"/>
          <w:highlight w:val="none"/>
        </w:rPr>
      </w:pPr>
    </w:p>
    <w:p w14:paraId="6B81CCBF">
      <w:pPr>
        <w:pStyle w:val="2"/>
        <w:rPr>
          <w:rFonts w:hint="default"/>
          <w:color w:val="auto"/>
          <w:highlight w:val="none"/>
        </w:rPr>
      </w:pPr>
    </w:p>
    <w:p w14:paraId="349A64C7">
      <w:pPr>
        <w:pStyle w:val="2"/>
        <w:rPr>
          <w:rFonts w:hint="default"/>
          <w:color w:val="auto"/>
          <w:highlight w:val="none"/>
        </w:rPr>
      </w:pPr>
    </w:p>
    <w:p w14:paraId="2E86372F">
      <w:pPr>
        <w:pStyle w:val="2"/>
        <w:rPr>
          <w:rFonts w:hint="default"/>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274005CE">
      <w:pPr>
        <w:pStyle w:val="4"/>
        <w:rPr>
          <w:rFonts w:hint="default" w:ascii="Times New Roman" w:hAnsi="Times New Roman" w:cs="Times New Roman"/>
          <w:color w:val="auto"/>
          <w:highlight w:val="none"/>
        </w:rPr>
      </w:pPr>
      <w:bookmarkStart w:id="143" w:name="_Toc57713627"/>
      <w:bookmarkStart w:id="144" w:name="_Toc32336"/>
      <w:r>
        <w:rPr>
          <w:rFonts w:hint="default" w:ascii="Times New Roman" w:hAnsi="Times New Roman" w:cs="Times New Roman"/>
          <w:color w:val="auto"/>
          <w:highlight w:val="none"/>
        </w:rPr>
        <w:t>2.8评价标准</w:t>
      </w:r>
      <w:bookmarkEnd w:id="142"/>
      <w:bookmarkEnd w:id="143"/>
      <w:bookmarkEnd w:id="144"/>
    </w:p>
    <w:p w14:paraId="7A4E66C7">
      <w:pPr>
        <w:pStyle w:val="5"/>
        <w:spacing w:line="500" w:lineRule="exact"/>
        <w:rPr>
          <w:rFonts w:hint="default" w:ascii="Times New Roman" w:hAnsi="Times New Roman" w:cs="Times New Roman"/>
          <w:color w:val="auto"/>
          <w:highlight w:val="none"/>
        </w:rPr>
      </w:pPr>
      <w:bookmarkStart w:id="145" w:name="_Toc57713628"/>
      <w:bookmarkStart w:id="146" w:name="_Toc524431297"/>
      <w:bookmarkStart w:id="147" w:name="_Toc87"/>
      <w:r>
        <w:rPr>
          <w:rFonts w:hint="default" w:ascii="Times New Roman" w:hAnsi="Times New Roman" w:cs="Times New Roman"/>
          <w:color w:val="auto"/>
          <w:highlight w:val="none"/>
        </w:rPr>
        <w:t>2.8.1环境质量标准</w:t>
      </w:r>
      <w:bookmarkEnd w:id="145"/>
      <w:bookmarkEnd w:id="146"/>
      <w:bookmarkEnd w:id="147"/>
    </w:p>
    <w:p w14:paraId="1CD2A1C5">
      <w:pPr>
        <w:pStyle w:val="67"/>
        <w:ind w:firstLine="480"/>
        <w:rPr>
          <w:rFonts w:hint="default" w:ascii="Times New Roman" w:hAnsi="Times New Roman" w:eastAsia="宋体" w:cs="Times New Roman"/>
          <w:color w:val="auto"/>
          <w:highlight w:val="none"/>
        </w:rPr>
      </w:pPr>
      <w:bookmarkStart w:id="148" w:name="_Hlk29215255"/>
      <w:r>
        <w:rPr>
          <w:rFonts w:hint="default" w:ascii="Times New Roman" w:hAnsi="Times New Roman" w:eastAsia="宋体" w:cs="Times New Roman"/>
          <w:color w:val="auto"/>
          <w:highlight w:val="none"/>
        </w:rPr>
        <w:t>（1）环境空气</w:t>
      </w:r>
    </w:p>
    <w:p w14:paraId="47B6BB95">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本项目所在区域为农村地区，基本污染物NO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CO、O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执行《环境空气质量标准》（GB3095-</w:t>
      </w:r>
      <w:r>
        <w:rPr>
          <w:rFonts w:hint="default" w:ascii="Times New Roman" w:hAnsi="Times New Roman" w:eastAsia="宋体" w:cs="Times New Roman"/>
          <w:color w:val="auto"/>
          <w:highlight w:val="none"/>
          <w:lang w:val="en-US" w:eastAsia="zh-CN"/>
        </w:rPr>
        <w:t>2026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过渡阶段浓度限值</w:t>
      </w:r>
      <w:r>
        <w:rPr>
          <w:rFonts w:hint="default" w:ascii="Times New Roman" w:hAnsi="Times New Roman" w:eastAsia="宋体" w:cs="Times New Roman"/>
          <w:color w:val="auto"/>
          <w:highlight w:val="none"/>
        </w:rPr>
        <w:t>二级标准，</w:t>
      </w:r>
      <w:r>
        <w:rPr>
          <w:rFonts w:hint="eastAsia" w:ascii="Times New Roman" w:hAnsi="Times New Roman" w:eastAsia="宋体" w:cs="Times New Roman"/>
          <w:color w:val="auto"/>
          <w:highlight w:val="none"/>
          <w:lang w:val="en-US" w:eastAsia="zh-CN"/>
        </w:rPr>
        <w:t>TSP</w:t>
      </w:r>
      <w:r>
        <w:rPr>
          <w:rFonts w:hint="eastAsia" w:eastAsia="宋体" w:cs="Times New Roman"/>
          <w:color w:val="auto"/>
          <w:highlight w:val="none"/>
          <w:lang w:val="en-US" w:eastAsia="zh-CN"/>
        </w:rPr>
        <w:t>执行</w:t>
      </w:r>
      <w:r>
        <w:rPr>
          <w:rFonts w:hint="default" w:ascii="Times New Roman" w:hAnsi="Times New Roman" w:eastAsia="宋体" w:cs="Times New Roman"/>
          <w:color w:val="auto"/>
          <w:highlight w:val="none"/>
        </w:rPr>
        <w:t>《环境空气质量标准》（GB3095-20</w:t>
      </w:r>
      <w:r>
        <w:rPr>
          <w:rFonts w:hint="eastAsia"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二级标准</w:t>
      </w:r>
      <w:r>
        <w:rPr>
          <w:rFonts w:hint="eastAsia" w:eastAsia="宋体" w:cs="Times New Roman"/>
          <w:color w:val="auto"/>
          <w:highlight w:val="none"/>
          <w:lang w:val="en-US" w:eastAsia="zh-CN"/>
        </w:rPr>
        <w:t>，</w:t>
      </w:r>
      <w:r>
        <w:rPr>
          <w:rFonts w:hint="default" w:ascii="Times New Roman" w:hAnsi="Times New Roman" w:eastAsia="宋体" w:cs="Times New Roman"/>
          <w:color w:val="auto"/>
          <w:highlight w:val="none"/>
        </w:rPr>
        <w:t>其他污染物H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执行《环境影响评价技术导则 大气环境》（HJ2.2-2018）中附录D表D.1其他污染物空气质量浓度参考限值要求。详见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78E8CF68">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表2-8-1环境空气质量标准</w:t>
      </w:r>
    </w:p>
    <w:tbl>
      <w:tblPr>
        <w:tblStyle w:val="47"/>
        <w:tblW w:w="48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4"/>
        <w:gridCol w:w="2274"/>
        <w:gridCol w:w="1050"/>
        <w:gridCol w:w="1909"/>
        <w:gridCol w:w="1211"/>
        <w:gridCol w:w="965"/>
      </w:tblGrid>
      <w:tr w14:paraId="49933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restart"/>
            <w:vAlign w:val="center"/>
          </w:tcPr>
          <w:p w14:paraId="280B8E5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2274" w:type="dxa"/>
            <w:vMerge w:val="restart"/>
            <w:vAlign w:val="center"/>
          </w:tcPr>
          <w:p w14:paraId="27530F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标准名称及</w:t>
            </w:r>
          </w:p>
          <w:p w14:paraId="7D08988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级（类）别</w:t>
            </w:r>
          </w:p>
        </w:tc>
        <w:tc>
          <w:tcPr>
            <w:tcW w:w="1050" w:type="dxa"/>
            <w:vMerge w:val="restart"/>
            <w:vAlign w:val="center"/>
          </w:tcPr>
          <w:p w14:paraId="17AB3E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w:t>
            </w:r>
          </w:p>
          <w:p w14:paraId="1752BA5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因子</w:t>
            </w:r>
          </w:p>
        </w:tc>
        <w:tc>
          <w:tcPr>
            <w:tcW w:w="4086" w:type="dxa"/>
            <w:gridSpan w:val="3"/>
            <w:vAlign w:val="center"/>
          </w:tcPr>
          <w:p w14:paraId="6CCC1A5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w:t>
            </w:r>
          </w:p>
        </w:tc>
      </w:tr>
      <w:tr w14:paraId="20488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65F79E43">
            <w:pPr>
              <w:pStyle w:val="146"/>
              <w:rPr>
                <w:rFonts w:hint="default" w:ascii="Times New Roman" w:hAnsi="Times New Roman" w:eastAsia="宋体" w:cs="Times New Roman"/>
                <w:color w:val="auto"/>
                <w:highlight w:val="none"/>
              </w:rPr>
            </w:pPr>
          </w:p>
        </w:tc>
        <w:tc>
          <w:tcPr>
            <w:tcW w:w="2274" w:type="dxa"/>
            <w:vMerge w:val="continue"/>
            <w:vAlign w:val="center"/>
          </w:tcPr>
          <w:p w14:paraId="471C0E00">
            <w:pPr>
              <w:pStyle w:val="146"/>
              <w:rPr>
                <w:rFonts w:hint="default" w:ascii="Times New Roman" w:hAnsi="Times New Roman" w:eastAsia="宋体" w:cs="Times New Roman"/>
                <w:color w:val="auto"/>
                <w:highlight w:val="none"/>
              </w:rPr>
            </w:pPr>
          </w:p>
        </w:tc>
        <w:tc>
          <w:tcPr>
            <w:tcW w:w="1050" w:type="dxa"/>
            <w:vMerge w:val="continue"/>
            <w:vAlign w:val="center"/>
          </w:tcPr>
          <w:p w14:paraId="42BD28EA">
            <w:pPr>
              <w:pStyle w:val="146"/>
              <w:rPr>
                <w:rFonts w:hint="default" w:ascii="Times New Roman" w:hAnsi="Times New Roman" w:eastAsia="宋体" w:cs="Times New Roman"/>
                <w:color w:val="auto"/>
                <w:highlight w:val="none"/>
              </w:rPr>
            </w:pPr>
          </w:p>
        </w:tc>
        <w:tc>
          <w:tcPr>
            <w:tcW w:w="3121" w:type="dxa"/>
            <w:gridSpan w:val="2"/>
            <w:vAlign w:val="center"/>
          </w:tcPr>
          <w:p w14:paraId="359E911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965" w:type="dxa"/>
            <w:vAlign w:val="center"/>
          </w:tcPr>
          <w:p w14:paraId="3755361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数值</w:t>
            </w:r>
          </w:p>
        </w:tc>
      </w:tr>
      <w:tr w14:paraId="3F407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restart"/>
            <w:vAlign w:val="center"/>
          </w:tcPr>
          <w:p w14:paraId="295D35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w:t>
            </w:r>
          </w:p>
        </w:tc>
        <w:tc>
          <w:tcPr>
            <w:tcW w:w="2274" w:type="dxa"/>
            <w:vMerge w:val="restart"/>
            <w:vAlign w:val="center"/>
          </w:tcPr>
          <w:p w14:paraId="422F37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《环境空气质量标准》（GB3095-20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过渡阶段浓度限值</w:t>
            </w:r>
            <w:r>
              <w:rPr>
                <w:rFonts w:hint="default" w:ascii="Times New Roman" w:hAnsi="Times New Roman" w:eastAsia="宋体" w:cs="Times New Roman"/>
                <w:color w:val="auto"/>
                <w:highlight w:val="none"/>
              </w:rPr>
              <w:t>二级标准</w:t>
            </w:r>
          </w:p>
        </w:tc>
        <w:tc>
          <w:tcPr>
            <w:tcW w:w="1050" w:type="dxa"/>
            <w:vMerge w:val="restart"/>
            <w:vAlign w:val="center"/>
          </w:tcPr>
          <w:p w14:paraId="546C576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909" w:type="dxa"/>
            <w:vAlign w:val="center"/>
          </w:tcPr>
          <w:p w14:paraId="055DB01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128DA4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3E0CD99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0.50</w:t>
            </w:r>
          </w:p>
        </w:tc>
      </w:tr>
      <w:tr w14:paraId="49F7EC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61E2FFDF">
            <w:pPr>
              <w:pStyle w:val="146"/>
              <w:rPr>
                <w:rFonts w:hint="default" w:ascii="Times New Roman" w:hAnsi="Times New Roman" w:eastAsia="宋体" w:cs="Times New Roman"/>
                <w:color w:val="auto"/>
                <w:highlight w:val="none"/>
              </w:rPr>
            </w:pPr>
          </w:p>
        </w:tc>
        <w:tc>
          <w:tcPr>
            <w:tcW w:w="2274" w:type="dxa"/>
            <w:vMerge w:val="continue"/>
            <w:vAlign w:val="center"/>
          </w:tcPr>
          <w:p w14:paraId="11EEE85F">
            <w:pPr>
              <w:pStyle w:val="146"/>
              <w:rPr>
                <w:rFonts w:hint="default" w:ascii="Times New Roman" w:hAnsi="Times New Roman" w:eastAsia="宋体" w:cs="Times New Roman"/>
                <w:color w:val="auto"/>
                <w:highlight w:val="none"/>
              </w:rPr>
            </w:pPr>
          </w:p>
        </w:tc>
        <w:tc>
          <w:tcPr>
            <w:tcW w:w="1050" w:type="dxa"/>
            <w:vMerge w:val="continue"/>
            <w:vAlign w:val="center"/>
          </w:tcPr>
          <w:p w14:paraId="280702C6">
            <w:pPr>
              <w:pStyle w:val="146"/>
              <w:rPr>
                <w:rFonts w:hint="default" w:ascii="Times New Roman" w:hAnsi="Times New Roman" w:eastAsia="宋体" w:cs="Times New Roman"/>
                <w:color w:val="auto"/>
                <w:highlight w:val="none"/>
              </w:rPr>
            </w:pPr>
          </w:p>
        </w:tc>
        <w:tc>
          <w:tcPr>
            <w:tcW w:w="1909" w:type="dxa"/>
            <w:vAlign w:val="center"/>
          </w:tcPr>
          <w:p w14:paraId="226C0BE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47808A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62C19A9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w:t>
            </w:r>
          </w:p>
        </w:tc>
      </w:tr>
      <w:tr w14:paraId="24F67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1666892F">
            <w:pPr>
              <w:pStyle w:val="146"/>
              <w:rPr>
                <w:rFonts w:hint="default" w:ascii="Times New Roman" w:hAnsi="Times New Roman" w:eastAsia="宋体" w:cs="Times New Roman"/>
                <w:color w:val="auto"/>
                <w:highlight w:val="none"/>
              </w:rPr>
            </w:pPr>
          </w:p>
        </w:tc>
        <w:tc>
          <w:tcPr>
            <w:tcW w:w="2274" w:type="dxa"/>
            <w:vMerge w:val="continue"/>
            <w:vAlign w:val="center"/>
          </w:tcPr>
          <w:p w14:paraId="7D7237B0">
            <w:pPr>
              <w:pStyle w:val="146"/>
              <w:rPr>
                <w:rFonts w:hint="default" w:ascii="Times New Roman" w:hAnsi="Times New Roman" w:eastAsia="宋体" w:cs="Times New Roman"/>
                <w:color w:val="auto"/>
                <w:highlight w:val="none"/>
              </w:rPr>
            </w:pPr>
          </w:p>
        </w:tc>
        <w:tc>
          <w:tcPr>
            <w:tcW w:w="1050" w:type="dxa"/>
            <w:vMerge w:val="continue"/>
            <w:vAlign w:val="center"/>
          </w:tcPr>
          <w:p w14:paraId="1E7D1B1B">
            <w:pPr>
              <w:pStyle w:val="146"/>
              <w:rPr>
                <w:rFonts w:hint="default" w:ascii="Times New Roman" w:hAnsi="Times New Roman" w:eastAsia="宋体" w:cs="Times New Roman"/>
                <w:color w:val="auto"/>
                <w:highlight w:val="none"/>
              </w:rPr>
            </w:pPr>
          </w:p>
        </w:tc>
        <w:tc>
          <w:tcPr>
            <w:tcW w:w="1909" w:type="dxa"/>
            <w:vAlign w:val="center"/>
          </w:tcPr>
          <w:p w14:paraId="06834B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c>
          <w:tcPr>
            <w:tcW w:w="1212" w:type="dxa"/>
            <w:vAlign w:val="center"/>
          </w:tcPr>
          <w:p w14:paraId="707A77A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7B84349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0.0</w:t>
            </w:r>
            <w:r>
              <w:rPr>
                <w:rFonts w:hint="default" w:ascii="Times New Roman" w:hAnsi="Times New Roman" w:eastAsia="宋体" w:cs="Times New Roman"/>
                <w:color w:val="auto"/>
                <w:highlight w:val="none"/>
                <w:lang w:val="en-US" w:eastAsia="zh-CN"/>
              </w:rPr>
              <w:t>6</w:t>
            </w:r>
          </w:p>
        </w:tc>
      </w:tr>
      <w:tr w14:paraId="6587A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02682655">
            <w:pPr>
              <w:pStyle w:val="146"/>
              <w:rPr>
                <w:rFonts w:hint="default" w:ascii="Times New Roman" w:hAnsi="Times New Roman" w:eastAsia="宋体" w:cs="Times New Roman"/>
                <w:color w:val="auto"/>
                <w:highlight w:val="none"/>
              </w:rPr>
            </w:pPr>
          </w:p>
        </w:tc>
        <w:tc>
          <w:tcPr>
            <w:tcW w:w="2274" w:type="dxa"/>
            <w:vMerge w:val="continue"/>
            <w:vAlign w:val="center"/>
          </w:tcPr>
          <w:p w14:paraId="38D78EB6">
            <w:pPr>
              <w:pStyle w:val="146"/>
              <w:rPr>
                <w:rFonts w:hint="default" w:ascii="Times New Roman" w:hAnsi="Times New Roman" w:eastAsia="宋体" w:cs="Times New Roman"/>
                <w:color w:val="auto"/>
                <w:highlight w:val="none"/>
              </w:rPr>
            </w:pPr>
          </w:p>
        </w:tc>
        <w:tc>
          <w:tcPr>
            <w:tcW w:w="1050" w:type="dxa"/>
            <w:vMerge w:val="restart"/>
            <w:vAlign w:val="center"/>
          </w:tcPr>
          <w:p w14:paraId="0AD69A0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909" w:type="dxa"/>
            <w:vAlign w:val="center"/>
          </w:tcPr>
          <w:p w14:paraId="7A60501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0F9FEB1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305234F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r>
      <w:tr w14:paraId="5ED74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3D3DAC3C">
            <w:pPr>
              <w:pStyle w:val="146"/>
              <w:rPr>
                <w:rFonts w:hint="default" w:ascii="Times New Roman" w:hAnsi="Times New Roman" w:eastAsia="宋体" w:cs="Times New Roman"/>
                <w:color w:val="auto"/>
                <w:highlight w:val="none"/>
              </w:rPr>
            </w:pPr>
          </w:p>
        </w:tc>
        <w:tc>
          <w:tcPr>
            <w:tcW w:w="2274" w:type="dxa"/>
            <w:vMerge w:val="continue"/>
            <w:vAlign w:val="center"/>
          </w:tcPr>
          <w:p w14:paraId="56D98D1C">
            <w:pPr>
              <w:pStyle w:val="146"/>
              <w:rPr>
                <w:rFonts w:hint="default" w:ascii="Times New Roman" w:hAnsi="Times New Roman" w:eastAsia="宋体" w:cs="Times New Roman"/>
                <w:color w:val="auto"/>
                <w:highlight w:val="none"/>
              </w:rPr>
            </w:pPr>
          </w:p>
        </w:tc>
        <w:tc>
          <w:tcPr>
            <w:tcW w:w="1050" w:type="dxa"/>
            <w:vMerge w:val="continue"/>
            <w:vAlign w:val="center"/>
          </w:tcPr>
          <w:p w14:paraId="4BC519AA">
            <w:pPr>
              <w:pStyle w:val="146"/>
              <w:rPr>
                <w:rFonts w:hint="default" w:ascii="Times New Roman" w:hAnsi="Times New Roman" w:eastAsia="宋体" w:cs="Times New Roman"/>
                <w:color w:val="auto"/>
                <w:highlight w:val="none"/>
              </w:rPr>
            </w:pPr>
          </w:p>
        </w:tc>
        <w:tc>
          <w:tcPr>
            <w:tcW w:w="1909" w:type="dxa"/>
            <w:vAlign w:val="center"/>
          </w:tcPr>
          <w:p w14:paraId="73E0653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4987118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1F1E9C5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0.08</w:t>
            </w:r>
          </w:p>
        </w:tc>
      </w:tr>
      <w:tr w14:paraId="46E34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095B1F62">
            <w:pPr>
              <w:pStyle w:val="146"/>
              <w:rPr>
                <w:rFonts w:hint="default" w:ascii="Times New Roman" w:hAnsi="Times New Roman" w:eastAsia="宋体" w:cs="Times New Roman"/>
                <w:color w:val="auto"/>
                <w:highlight w:val="none"/>
              </w:rPr>
            </w:pPr>
          </w:p>
        </w:tc>
        <w:tc>
          <w:tcPr>
            <w:tcW w:w="2274" w:type="dxa"/>
            <w:vMerge w:val="continue"/>
            <w:vAlign w:val="center"/>
          </w:tcPr>
          <w:p w14:paraId="6E23201E">
            <w:pPr>
              <w:pStyle w:val="146"/>
              <w:rPr>
                <w:rFonts w:hint="default" w:ascii="Times New Roman" w:hAnsi="Times New Roman" w:eastAsia="宋体" w:cs="Times New Roman"/>
                <w:color w:val="auto"/>
                <w:highlight w:val="none"/>
              </w:rPr>
            </w:pPr>
          </w:p>
        </w:tc>
        <w:tc>
          <w:tcPr>
            <w:tcW w:w="1050" w:type="dxa"/>
            <w:vMerge w:val="continue"/>
            <w:vAlign w:val="center"/>
          </w:tcPr>
          <w:p w14:paraId="55CAF5D2">
            <w:pPr>
              <w:pStyle w:val="146"/>
              <w:rPr>
                <w:rFonts w:hint="default" w:ascii="Times New Roman" w:hAnsi="Times New Roman" w:eastAsia="宋体" w:cs="Times New Roman"/>
                <w:color w:val="auto"/>
                <w:highlight w:val="none"/>
              </w:rPr>
            </w:pPr>
          </w:p>
        </w:tc>
        <w:tc>
          <w:tcPr>
            <w:tcW w:w="1909" w:type="dxa"/>
            <w:vAlign w:val="center"/>
          </w:tcPr>
          <w:p w14:paraId="42270A6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c>
          <w:tcPr>
            <w:tcW w:w="1212" w:type="dxa"/>
            <w:vAlign w:val="center"/>
          </w:tcPr>
          <w:p w14:paraId="54BEEE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0D47CA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w:t>
            </w:r>
          </w:p>
        </w:tc>
      </w:tr>
      <w:tr w14:paraId="4B1B7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12FB9F06">
            <w:pPr>
              <w:pStyle w:val="146"/>
              <w:rPr>
                <w:rFonts w:hint="default" w:ascii="Times New Roman" w:hAnsi="Times New Roman" w:eastAsia="宋体" w:cs="Times New Roman"/>
                <w:color w:val="auto"/>
                <w:highlight w:val="none"/>
              </w:rPr>
            </w:pPr>
          </w:p>
        </w:tc>
        <w:tc>
          <w:tcPr>
            <w:tcW w:w="2274" w:type="dxa"/>
            <w:vMerge w:val="continue"/>
            <w:vAlign w:val="center"/>
          </w:tcPr>
          <w:p w14:paraId="3B235DFE">
            <w:pPr>
              <w:pStyle w:val="146"/>
              <w:rPr>
                <w:rFonts w:hint="default" w:ascii="Times New Roman" w:hAnsi="Times New Roman" w:eastAsia="宋体" w:cs="Times New Roman"/>
                <w:color w:val="auto"/>
                <w:highlight w:val="none"/>
              </w:rPr>
            </w:pPr>
          </w:p>
        </w:tc>
        <w:tc>
          <w:tcPr>
            <w:tcW w:w="1050" w:type="dxa"/>
            <w:vMerge w:val="restart"/>
            <w:vAlign w:val="center"/>
          </w:tcPr>
          <w:p w14:paraId="6F5C5FB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909" w:type="dxa"/>
            <w:vAlign w:val="center"/>
          </w:tcPr>
          <w:p w14:paraId="77B81B5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0734602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73B6E2D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r>
      <w:tr w14:paraId="531D8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541733C7">
            <w:pPr>
              <w:pStyle w:val="146"/>
              <w:rPr>
                <w:rFonts w:hint="default" w:ascii="Times New Roman" w:hAnsi="Times New Roman" w:eastAsia="宋体" w:cs="Times New Roman"/>
                <w:color w:val="auto"/>
                <w:highlight w:val="none"/>
              </w:rPr>
            </w:pPr>
          </w:p>
        </w:tc>
        <w:tc>
          <w:tcPr>
            <w:tcW w:w="2274" w:type="dxa"/>
            <w:vMerge w:val="continue"/>
            <w:vAlign w:val="center"/>
          </w:tcPr>
          <w:p w14:paraId="5ACF3205">
            <w:pPr>
              <w:pStyle w:val="146"/>
              <w:rPr>
                <w:rFonts w:hint="default" w:ascii="Times New Roman" w:hAnsi="Times New Roman" w:eastAsia="宋体" w:cs="Times New Roman"/>
                <w:color w:val="auto"/>
                <w:highlight w:val="none"/>
              </w:rPr>
            </w:pPr>
          </w:p>
        </w:tc>
        <w:tc>
          <w:tcPr>
            <w:tcW w:w="1050" w:type="dxa"/>
            <w:vMerge w:val="continue"/>
            <w:vAlign w:val="center"/>
          </w:tcPr>
          <w:p w14:paraId="6ACB1966">
            <w:pPr>
              <w:pStyle w:val="146"/>
              <w:rPr>
                <w:rFonts w:hint="default" w:ascii="Times New Roman" w:hAnsi="Times New Roman" w:eastAsia="宋体" w:cs="Times New Roman"/>
                <w:color w:val="auto"/>
                <w:highlight w:val="none"/>
              </w:rPr>
            </w:pPr>
          </w:p>
        </w:tc>
        <w:tc>
          <w:tcPr>
            <w:tcW w:w="1909" w:type="dxa"/>
            <w:vAlign w:val="center"/>
          </w:tcPr>
          <w:p w14:paraId="2E79AD2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42AB597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1F0A501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r>
      <w:tr w14:paraId="75D5D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5266CAB0">
            <w:pPr>
              <w:pStyle w:val="146"/>
              <w:rPr>
                <w:rFonts w:hint="default" w:ascii="Times New Roman" w:hAnsi="Times New Roman" w:eastAsia="宋体" w:cs="Times New Roman"/>
                <w:color w:val="auto"/>
                <w:highlight w:val="none"/>
              </w:rPr>
            </w:pPr>
          </w:p>
        </w:tc>
        <w:tc>
          <w:tcPr>
            <w:tcW w:w="2274" w:type="dxa"/>
            <w:vMerge w:val="continue"/>
            <w:vAlign w:val="center"/>
          </w:tcPr>
          <w:p w14:paraId="482653A8">
            <w:pPr>
              <w:pStyle w:val="146"/>
              <w:rPr>
                <w:rFonts w:hint="default" w:ascii="Times New Roman" w:hAnsi="Times New Roman" w:eastAsia="宋体" w:cs="Times New Roman"/>
                <w:color w:val="auto"/>
                <w:highlight w:val="none"/>
              </w:rPr>
            </w:pPr>
          </w:p>
        </w:tc>
        <w:tc>
          <w:tcPr>
            <w:tcW w:w="1050" w:type="dxa"/>
            <w:vMerge w:val="restart"/>
            <w:vAlign w:val="center"/>
          </w:tcPr>
          <w:p w14:paraId="50AAF09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1909" w:type="dxa"/>
            <w:vAlign w:val="center"/>
          </w:tcPr>
          <w:p w14:paraId="1B2AD00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4741E5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51BCB1F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w:t>
            </w:r>
          </w:p>
        </w:tc>
      </w:tr>
      <w:tr w14:paraId="32987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1CA371C2">
            <w:pPr>
              <w:pStyle w:val="146"/>
              <w:rPr>
                <w:rFonts w:hint="default" w:ascii="Times New Roman" w:hAnsi="Times New Roman" w:eastAsia="宋体" w:cs="Times New Roman"/>
                <w:color w:val="auto"/>
                <w:highlight w:val="none"/>
              </w:rPr>
            </w:pPr>
          </w:p>
        </w:tc>
        <w:tc>
          <w:tcPr>
            <w:tcW w:w="2274" w:type="dxa"/>
            <w:vMerge w:val="continue"/>
            <w:vAlign w:val="center"/>
          </w:tcPr>
          <w:p w14:paraId="7CEAF226">
            <w:pPr>
              <w:pStyle w:val="146"/>
              <w:rPr>
                <w:rFonts w:hint="default" w:ascii="Times New Roman" w:hAnsi="Times New Roman" w:eastAsia="宋体" w:cs="Times New Roman"/>
                <w:color w:val="auto"/>
                <w:highlight w:val="none"/>
              </w:rPr>
            </w:pPr>
          </w:p>
        </w:tc>
        <w:tc>
          <w:tcPr>
            <w:tcW w:w="1050" w:type="dxa"/>
            <w:vMerge w:val="continue"/>
            <w:vAlign w:val="center"/>
          </w:tcPr>
          <w:p w14:paraId="607E33B4">
            <w:pPr>
              <w:pStyle w:val="146"/>
              <w:rPr>
                <w:rFonts w:hint="default" w:ascii="Times New Roman" w:hAnsi="Times New Roman" w:eastAsia="宋体" w:cs="Times New Roman"/>
                <w:color w:val="auto"/>
                <w:highlight w:val="none"/>
              </w:rPr>
            </w:pPr>
          </w:p>
        </w:tc>
        <w:tc>
          <w:tcPr>
            <w:tcW w:w="1909" w:type="dxa"/>
            <w:vAlign w:val="center"/>
          </w:tcPr>
          <w:p w14:paraId="3876BA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日最大8小时平均</w:t>
            </w:r>
          </w:p>
        </w:tc>
        <w:tc>
          <w:tcPr>
            <w:tcW w:w="1212" w:type="dxa"/>
            <w:vAlign w:val="center"/>
          </w:tcPr>
          <w:p w14:paraId="6EC323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1C4496A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0.16</w:t>
            </w:r>
          </w:p>
        </w:tc>
      </w:tr>
      <w:tr w14:paraId="690DB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080D95E4">
            <w:pPr>
              <w:pStyle w:val="146"/>
              <w:rPr>
                <w:rFonts w:hint="default" w:ascii="Times New Roman" w:hAnsi="Times New Roman" w:eastAsia="宋体" w:cs="Times New Roman"/>
                <w:color w:val="auto"/>
                <w:highlight w:val="none"/>
              </w:rPr>
            </w:pPr>
          </w:p>
        </w:tc>
        <w:tc>
          <w:tcPr>
            <w:tcW w:w="2274" w:type="dxa"/>
            <w:vMerge w:val="continue"/>
            <w:vAlign w:val="center"/>
          </w:tcPr>
          <w:p w14:paraId="13D70580">
            <w:pPr>
              <w:pStyle w:val="146"/>
              <w:rPr>
                <w:rFonts w:hint="default" w:ascii="Times New Roman" w:hAnsi="Times New Roman" w:eastAsia="宋体" w:cs="Times New Roman"/>
                <w:color w:val="auto"/>
                <w:highlight w:val="none"/>
              </w:rPr>
            </w:pPr>
          </w:p>
        </w:tc>
        <w:tc>
          <w:tcPr>
            <w:tcW w:w="1050" w:type="dxa"/>
            <w:vMerge w:val="restart"/>
            <w:vAlign w:val="center"/>
          </w:tcPr>
          <w:p w14:paraId="570E443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909" w:type="dxa"/>
            <w:vAlign w:val="center"/>
          </w:tcPr>
          <w:p w14:paraId="7A870EF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3E56C1C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3D6D6BF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0.1</w:t>
            </w:r>
            <w:r>
              <w:rPr>
                <w:rFonts w:hint="default" w:ascii="Times New Roman" w:hAnsi="Times New Roman" w:eastAsia="宋体" w:cs="Times New Roman"/>
                <w:color w:val="auto"/>
                <w:highlight w:val="none"/>
                <w:lang w:val="en-US" w:eastAsia="zh-CN"/>
              </w:rPr>
              <w:t>2</w:t>
            </w:r>
          </w:p>
        </w:tc>
      </w:tr>
      <w:tr w14:paraId="5E2B8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28F854A3">
            <w:pPr>
              <w:pStyle w:val="146"/>
              <w:rPr>
                <w:rFonts w:hint="default" w:ascii="Times New Roman" w:hAnsi="Times New Roman" w:eastAsia="宋体" w:cs="Times New Roman"/>
                <w:color w:val="auto"/>
                <w:highlight w:val="none"/>
              </w:rPr>
            </w:pPr>
          </w:p>
        </w:tc>
        <w:tc>
          <w:tcPr>
            <w:tcW w:w="2274" w:type="dxa"/>
            <w:vMerge w:val="continue"/>
            <w:vAlign w:val="center"/>
          </w:tcPr>
          <w:p w14:paraId="7928722C">
            <w:pPr>
              <w:pStyle w:val="146"/>
              <w:rPr>
                <w:rFonts w:hint="default" w:ascii="Times New Roman" w:hAnsi="Times New Roman" w:eastAsia="宋体" w:cs="Times New Roman"/>
                <w:color w:val="auto"/>
                <w:highlight w:val="none"/>
              </w:rPr>
            </w:pPr>
          </w:p>
        </w:tc>
        <w:tc>
          <w:tcPr>
            <w:tcW w:w="1050" w:type="dxa"/>
            <w:vMerge w:val="continue"/>
            <w:vAlign w:val="center"/>
          </w:tcPr>
          <w:p w14:paraId="38E33487">
            <w:pPr>
              <w:pStyle w:val="146"/>
              <w:rPr>
                <w:rFonts w:hint="default" w:ascii="Times New Roman" w:hAnsi="Times New Roman" w:eastAsia="宋体" w:cs="Times New Roman"/>
                <w:color w:val="auto"/>
                <w:highlight w:val="none"/>
              </w:rPr>
            </w:pPr>
          </w:p>
        </w:tc>
        <w:tc>
          <w:tcPr>
            <w:tcW w:w="1909" w:type="dxa"/>
            <w:vAlign w:val="center"/>
          </w:tcPr>
          <w:p w14:paraId="5A07C33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c>
          <w:tcPr>
            <w:tcW w:w="1212" w:type="dxa"/>
            <w:vAlign w:val="center"/>
          </w:tcPr>
          <w:p w14:paraId="608333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2569D54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0.0</w:t>
            </w:r>
            <w:r>
              <w:rPr>
                <w:rFonts w:hint="default" w:ascii="Times New Roman" w:hAnsi="Times New Roman" w:eastAsia="宋体" w:cs="Times New Roman"/>
                <w:color w:val="auto"/>
                <w:highlight w:val="none"/>
                <w:lang w:val="en-US" w:eastAsia="zh-CN"/>
              </w:rPr>
              <w:t>6</w:t>
            </w:r>
          </w:p>
        </w:tc>
      </w:tr>
      <w:tr w14:paraId="2A464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4A2AF783">
            <w:pPr>
              <w:pStyle w:val="146"/>
              <w:rPr>
                <w:rFonts w:hint="default" w:ascii="Times New Roman" w:hAnsi="Times New Roman" w:eastAsia="宋体" w:cs="Times New Roman"/>
                <w:color w:val="auto"/>
                <w:highlight w:val="none"/>
              </w:rPr>
            </w:pPr>
          </w:p>
        </w:tc>
        <w:tc>
          <w:tcPr>
            <w:tcW w:w="2274" w:type="dxa"/>
            <w:vMerge w:val="continue"/>
            <w:vAlign w:val="center"/>
          </w:tcPr>
          <w:p w14:paraId="154078D0">
            <w:pPr>
              <w:pStyle w:val="146"/>
              <w:rPr>
                <w:rFonts w:hint="default" w:ascii="Times New Roman" w:hAnsi="Times New Roman" w:eastAsia="宋体" w:cs="Times New Roman"/>
                <w:color w:val="auto"/>
                <w:highlight w:val="none"/>
              </w:rPr>
            </w:pPr>
          </w:p>
        </w:tc>
        <w:tc>
          <w:tcPr>
            <w:tcW w:w="1050" w:type="dxa"/>
            <w:vMerge w:val="restart"/>
            <w:vAlign w:val="center"/>
          </w:tcPr>
          <w:p w14:paraId="089D54E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909" w:type="dxa"/>
            <w:vAlign w:val="center"/>
          </w:tcPr>
          <w:p w14:paraId="786EB3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01EA63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722288F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0.0</w:t>
            </w:r>
            <w:r>
              <w:rPr>
                <w:rFonts w:hint="default" w:ascii="Times New Roman" w:hAnsi="Times New Roman" w:eastAsia="宋体" w:cs="Times New Roman"/>
                <w:color w:val="auto"/>
                <w:highlight w:val="none"/>
                <w:lang w:val="en-US" w:eastAsia="zh-CN"/>
              </w:rPr>
              <w:t>6</w:t>
            </w:r>
          </w:p>
        </w:tc>
      </w:tr>
      <w:tr w14:paraId="6415D9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203CD2A3">
            <w:pPr>
              <w:pStyle w:val="146"/>
              <w:rPr>
                <w:rFonts w:hint="default" w:ascii="Times New Roman" w:hAnsi="Times New Roman" w:eastAsia="宋体" w:cs="Times New Roman"/>
                <w:color w:val="auto"/>
                <w:highlight w:val="none"/>
              </w:rPr>
            </w:pPr>
          </w:p>
        </w:tc>
        <w:tc>
          <w:tcPr>
            <w:tcW w:w="2274" w:type="dxa"/>
            <w:vMerge w:val="continue"/>
            <w:vAlign w:val="center"/>
          </w:tcPr>
          <w:p w14:paraId="256D986D">
            <w:pPr>
              <w:pStyle w:val="146"/>
              <w:rPr>
                <w:rFonts w:hint="default" w:ascii="Times New Roman" w:hAnsi="Times New Roman" w:eastAsia="宋体" w:cs="Times New Roman"/>
                <w:color w:val="auto"/>
                <w:highlight w:val="none"/>
              </w:rPr>
            </w:pPr>
          </w:p>
        </w:tc>
        <w:tc>
          <w:tcPr>
            <w:tcW w:w="1050" w:type="dxa"/>
            <w:vMerge w:val="continue"/>
            <w:vAlign w:val="center"/>
          </w:tcPr>
          <w:p w14:paraId="4C54B6BB">
            <w:pPr>
              <w:pStyle w:val="146"/>
              <w:rPr>
                <w:rFonts w:hint="default" w:ascii="Times New Roman" w:hAnsi="Times New Roman" w:eastAsia="宋体" w:cs="Times New Roman"/>
                <w:color w:val="auto"/>
                <w:highlight w:val="none"/>
              </w:rPr>
            </w:pPr>
          </w:p>
        </w:tc>
        <w:tc>
          <w:tcPr>
            <w:tcW w:w="1909" w:type="dxa"/>
            <w:vAlign w:val="center"/>
          </w:tcPr>
          <w:p w14:paraId="0B15C4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c>
          <w:tcPr>
            <w:tcW w:w="1212" w:type="dxa"/>
            <w:vAlign w:val="center"/>
          </w:tcPr>
          <w:p w14:paraId="63F9AB1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0D2FB0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w:t>
            </w:r>
          </w:p>
        </w:tc>
      </w:tr>
      <w:tr w14:paraId="58009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2" w:hRule="atLeast"/>
          <w:jc w:val="center"/>
        </w:trPr>
        <w:tc>
          <w:tcPr>
            <w:tcW w:w="684" w:type="dxa"/>
            <w:vMerge w:val="continue"/>
            <w:vAlign w:val="center"/>
          </w:tcPr>
          <w:p w14:paraId="2140CC47">
            <w:pPr>
              <w:pStyle w:val="146"/>
              <w:rPr>
                <w:rFonts w:hint="default" w:ascii="Times New Roman" w:hAnsi="Times New Roman" w:eastAsia="宋体" w:cs="Times New Roman"/>
                <w:color w:val="auto"/>
                <w:highlight w:val="none"/>
              </w:rPr>
            </w:pPr>
          </w:p>
        </w:tc>
        <w:tc>
          <w:tcPr>
            <w:tcW w:w="2274" w:type="dxa"/>
            <w:vMerge w:val="continue"/>
            <w:vAlign w:val="center"/>
          </w:tcPr>
          <w:p w14:paraId="0C9819BD">
            <w:pPr>
              <w:pStyle w:val="146"/>
              <w:rPr>
                <w:rFonts w:hint="default" w:ascii="Times New Roman" w:hAnsi="Times New Roman" w:eastAsia="宋体" w:cs="Times New Roman"/>
                <w:color w:val="auto"/>
                <w:highlight w:val="none"/>
              </w:rPr>
            </w:pPr>
          </w:p>
        </w:tc>
        <w:tc>
          <w:tcPr>
            <w:tcW w:w="1050" w:type="dxa"/>
            <w:vMerge w:val="restart"/>
            <w:vAlign w:val="center"/>
          </w:tcPr>
          <w:p w14:paraId="55611C4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X</w:t>
            </w:r>
          </w:p>
        </w:tc>
        <w:tc>
          <w:tcPr>
            <w:tcW w:w="1909" w:type="dxa"/>
            <w:vAlign w:val="center"/>
          </w:tcPr>
          <w:p w14:paraId="6E2483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212" w:type="dxa"/>
            <w:vAlign w:val="center"/>
          </w:tcPr>
          <w:p w14:paraId="6E15A4B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4F50E74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w:t>
            </w:r>
          </w:p>
        </w:tc>
      </w:tr>
      <w:tr w14:paraId="64BF4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756CB6F7">
            <w:pPr>
              <w:pStyle w:val="146"/>
              <w:rPr>
                <w:rFonts w:hint="default" w:ascii="Times New Roman" w:hAnsi="Times New Roman" w:eastAsia="宋体" w:cs="Times New Roman"/>
                <w:color w:val="auto"/>
                <w:highlight w:val="none"/>
              </w:rPr>
            </w:pPr>
          </w:p>
        </w:tc>
        <w:tc>
          <w:tcPr>
            <w:tcW w:w="2274" w:type="dxa"/>
            <w:vMerge w:val="continue"/>
            <w:vAlign w:val="center"/>
          </w:tcPr>
          <w:p w14:paraId="6840FAC0">
            <w:pPr>
              <w:pStyle w:val="146"/>
              <w:rPr>
                <w:rFonts w:hint="default" w:ascii="Times New Roman" w:hAnsi="Times New Roman" w:eastAsia="宋体" w:cs="Times New Roman"/>
                <w:color w:val="auto"/>
                <w:highlight w:val="none"/>
              </w:rPr>
            </w:pPr>
          </w:p>
        </w:tc>
        <w:tc>
          <w:tcPr>
            <w:tcW w:w="1050" w:type="dxa"/>
            <w:vMerge w:val="continue"/>
            <w:vAlign w:val="center"/>
          </w:tcPr>
          <w:p w14:paraId="390EED26">
            <w:pPr>
              <w:pStyle w:val="146"/>
              <w:rPr>
                <w:rFonts w:hint="default" w:ascii="Times New Roman" w:hAnsi="Times New Roman" w:eastAsia="宋体" w:cs="Times New Roman"/>
                <w:color w:val="auto"/>
                <w:highlight w:val="none"/>
              </w:rPr>
            </w:pPr>
          </w:p>
        </w:tc>
        <w:tc>
          <w:tcPr>
            <w:tcW w:w="1909" w:type="dxa"/>
            <w:vAlign w:val="center"/>
          </w:tcPr>
          <w:p w14:paraId="0AB702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c>
          <w:tcPr>
            <w:tcW w:w="1212" w:type="dxa"/>
            <w:vAlign w:val="center"/>
          </w:tcPr>
          <w:p w14:paraId="7060DC4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5F4EFB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w:t>
            </w:r>
          </w:p>
        </w:tc>
      </w:tr>
      <w:tr w14:paraId="39701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465EE560">
            <w:pPr>
              <w:pStyle w:val="146"/>
              <w:rPr>
                <w:rFonts w:hint="default" w:ascii="Times New Roman" w:hAnsi="Times New Roman" w:eastAsia="宋体" w:cs="Times New Roman"/>
                <w:color w:val="auto"/>
                <w:highlight w:val="none"/>
              </w:rPr>
            </w:pPr>
          </w:p>
        </w:tc>
        <w:tc>
          <w:tcPr>
            <w:tcW w:w="2274" w:type="dxa"/>
            <w:vMerge w:val="restart"/>
            <w:vAlign w:val="center"/>
          </w:tcPr>
          <w:p w14:paraId="08BC196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《环境空气质量标准》（GB3095-20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）二级标准</w:t>
            </w:r>
          </w:p>
        </w:tc>
        <w:tc>
          <w:tcPr>
            <w:tcW w:w="1050" w:type="dxa"/>
            <w:vAlign w:val="center"/>
          </w:tcPr>
          <w:p w14:paraId="4808C57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X</w:t>
            </w:r>
          </w:p>
        </w:tc>
        <w:tc>
          <w:tcPr>
            <w:tcW w:w="1909" w:type="dxa"/>
            <w:shd w:val="clear" w:color="auto" w:fill="auto"/>
            <w:vAlign w:val="center"/>
          </w:tcPr>
          <w:p w14:paraId="2BD309EE">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小时平均</w:t>
            </w:r>
          </w:p>
        </w:tc>
        <w:tc>
          <w:tcPr>
            <w:tcW w:w="1212" w:type="dxa"/>
            <w:shd w:val="clear" w:color="auto" w:fill="auto"/>
            <w:vAlign w:val="center"/>
          </w:tcPr>
          <w:p w14:paraId="7D5DF7CC">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shd w:val="clear" w:color="auto" w:fill="auto"/>
            <w:vAlign w:val="center"/>
          </w:tcPr>
          <w:p w14:paraId="5CD7E07E">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0.25</w:t>
            </w:r>
          </w:p>
        </w:tc>
      </w:tr>
      <w:tr w14:paraId="50FFB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28E807CC">
            <w:pPr>
              <w:pStyle w:val="146"/>
              <w:rPr>
                <w:rFonts w:hint="default" w:ascii="Times New Roman" w:hAnsi="Times New Roman" w:eastAsia="宋体" w:cs="Times New Roman"/>
                <w:color w:val="auto"/>
                <w:highlight w:val="none"/>
              </w:rPr>
            </w:pPr>
          </w:p>
        </w:tc>
        <w:tc>
          <w:tcPr>
            <w:tcW w:w="2274" w:type="dxa"/>
            <w:vMerge w:val="continue"/>
            <w:vAlign w:val="center"/>
          </w:tcPr>
          <w:p w14:paraId="4104A32C">
            <w:pPr>
              <w:pStyle w:val="146"/>
              <w:rPr>
                <w:rFonts w:hint="default" w:ascii="Times New Roman" w:hAnsi="Times New Roman" w:eastAsia="宋体" w:cs="Times New Roman"/>
                <w:color w:val="auto"/>
                <w:highlight w:val="none"/>
              </w:rPr>
            </w:pPr>
          </w:p>
        </w:tc>
        <w:tc>
          <w:tcPr>
            <w:tcW w:w="1050" w:type="dxa"/>
            <w:vMerge w:val="restart"/>
            <w:vAlign w:val="center"/>
          </w:tcPr>
          <w:p w14:paraId="040BEBB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TSP</w:t>
            </w:r>
          </w:p>
        </w:tc>
        <w:tc>
          <w:tcPr>
            <w:tcW w:w="1909" w:type="dxa"/>
            <w:vAlign w:val="center"/>
          </w:tcPr>
          <w:p w14:paraId="2B23731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年平均</w:t>
            </w:r>
          </w:p>
        </w:tc>
        <w:tc>
          <w:tcPr>
            <w:tcW w:w="1212" w:type="dxa"/>
            <w:vAlign w:val="center"/>
          </w:tcPr>
          <w:p w14:paraId="645143F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6CD1A62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0.2</w:t>
            </w:r>
          </w:p>
        </w:tc>
      </w:tr>
      <w:tr w14:paraId="67C71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4" w:type="dxa"/>
            <w:vMerge w:val="continue"/>
            <w:vAlign w:val="center"/>
          </w:tcPr>
          <w:p w14:paraId="33DA3D0A">
            <w:pPr>
              <w:pStyle w:val="146"/>
              <w:rPr>
                <w:rFonts w:hint="default" w:ascii="Times New Roman" w:hAnsi="Times New Roman" w:eastAsia="宋体" w:cs="Times New Roman"/>
                <w:color w:val="auto"/>
                <w:highlight w:val="none"/>
              </w:rPr>
            </w:pPr>
          </w:p>
        </w:tc>
        <w:tc>
          <w:tcPr>
            <w:tcW w:w="2274" w:type="dxa"/>
            <w:vMerge w:val="continue"/>
            <w:vAlign w:val="center"/>
          </w:tcPr>
          <w:p w14:paraId="625B6DD2">
            <w:pPr>
              <w:pStyle w:val="146"/>
              <w:rPr>
                <w:rFonts w:hint="default" w:ascii="Times New Roman" w:hAnsi="Times New Roman" w:eastAsia="宋体" w:cs="Times New Roman"/>
                <w:color w:val="auto"/>
                <w:highlight w:val="none"/>
              </w:rPr>
            </w:pPr>
          </w:p>
        </w:tc>
        <w:tc>
          <w:tcPr>
            <w:tcW w:w="1050" w:type="dxa"/>
            <w:vMerge w:val="continue"/>
            <w:vAlign w:val="center"/>
          </w:tcPr>
          <w:p w14:paraId="73C5FBB9">
            <w:pPr>
              <w:pStyle w:val="146"/>
              <w:rPr>
                <w:rFonts w:hint="default" w:ascii="Times New Roman" w:hAnsi="Times New Roman" w:eastAsia="宋体" w:cs="Times New Roman"/>
                <w:color w:val="auto"/>
                <w:highlight w:val="none"/>
              </w:rPr>
            </w:pPr>
          </w:p>
        </w:tc>
        <w:tc>
          <w:tcPr>
            <w:tcW w:w="1909" w:type="dxa"/>
            <w:vAlign w:val="center"/>
          </w:tcPr>
          <w:p w14:paraId="58A4354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24小时平均</w:t>
            </w:r>
          </w:p>
        </w:tc>
        <w:tc>
          <w:tcPr>
            <w:tcW w:w="1212" w:type="dxa"/>
            <w:vAlign w:val="center"/>
          </w:tcPr>
          <w:p w14:paraId="52AECD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mg/Nm</w:t>
            </w:r>
            <w:r>
              <w:rPr>
                <w:rFonts w:hint="default" w:ascii="Times New Roman" w:hAnsi="Times New Roman" w:eastAsia="宋体" w:cs="Times New Roman"/>
                <w:color w:val="auto"/>
                <w:highlight w:val="none"/>
                <w:vertAlign w:val="superscript"/>
              </w:rPr>
              <w:t>3</w:t>
            </w:r>
          </w:p>
        </w:tc>
        <w:tc>
          <w:tcPr>
            <w:tcW w:w="965" w:type="dxa"/>
            <w:vAlign w:val="center"/>
          </w:tcPr>
          <w:p w14:paraId="21EE90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0.3</w:t>
            </w:r>
          </w:p>
        </w:tc>
      </w:tr>
      <w:tr w14:paraId="518B7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958" w:type="dxa"/>
            <w:gridSpan w:val="2"/>
            <w:vMerge w:val="restart"/>
            <w:vAlign w:val="center"/>
          </w:tcPr>
          <w:p w14:paraId="3F799C6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《环境影响评价技术导则大气环境》(HJ2.2-2018)附录D</w:t>
            </w:r>
          </w:p>
        </w:tc>
        <w:tc>
          <w:tcPr>
            <w:tcW w:w="1050" w:type="dxa"/>
            <w:vAlign w:val="center"/>
          </w:tcPr>
          <w:p w14:paraId="20F83C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909" w:type="dxa"/>
            <w:vAlign w:val="center"/>
          </w:tcPr>
          <w:p w14:paraId="326226B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605B65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μg/Nm</w:t>
            </w:r>
            <w:r>
              <w:rPr>
                <w:rFonts w:hint="default" w:ascii="Times New Roman" w:hAnsi="Times New Roman" w:eastAsia="宋体" w:cs="Times New Roman"/>
                <w:color w:val="auto"/>
                <w:highlight w:val="none"/>
                <w:vertAlign w:val="superscript"/>
              </w:rPr>
              <w:t>3</w:t>
            </w:r>
          </w:p>
        </w:tc>
        <w:tc>
          <w:tcPr>
            <w:tcW w:w="965" w:type="dxa"/>
            <w:vAlign w:val="center"/>
          </w:tcPr>
          <w:p w14:paraId="1091D5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r>
      <w:tr w14:paraId="46DA9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958" w:type="dxa"/>
            <w:gridSpan w:val="2"/>
            <w:vMerge w:val="continue"/>
            <w:vAlign w:val="center"/>
          </w:tcPr>
          <w:p w14:paraId="647AD30A">
            <w:pPr>
              <w:pStyle w:val="146"/>
              <w:rPr>
                <w:rFonts w:hint="default" w:ascii="Times New Roman" w:hAnsi="Times New Roman" w:eastAsia="宋体" w:cs="Times New Roman"/>
                <w:color w:val="auto"/>
                <w:highlight w:val="none"/>
              </w:rPr>
            </w:pPr>
          </w:p>
        </w:tc>
        <w:tc>
          <w:tcPr>
            <w:tcW w:w="1050" w:type="dxa"/>
            <w:vAlign w:val="center"/>
          </w:tcPr>
          <w:p w14:paraId="6285CFC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1909" w:type="dxa"/>
            <w:vAlign w:val="center"/>
          </w:tcPr>
          <w:p w14:paraId="381E5E3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小时平均</w:t>
            </w:r>
          </w:p>
        </w:tc>
        <w:tc>
          <w:tcPr>
            <w:tcW w:w="1212" w:type="dxa"/>
            <w:vAlign w:val="center"/>
          </w:tcPr>
          <w:p w14:paraId="632BAA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μg/Nm</w:t>
            </w:r>
            <w:r>
              <w:rPr>
                <w:rFonts w:hint="default" w:ascii="Times New Roman" w:hAnsi="Times New Roman" w:eastAsia="宋体" w:cs="Times New Roman"/>
                <w:color w:val="auto"/>
                <w:highlight w:val="none"/>
                <w:vertAlign w:val="superscript"/>
              </w:rPr>
              <w:t>3</w:t>
            </w:r>
          </w:p>
        </w:tc>
        <w:tc>
          <w:tcPr>
            <w:tcW w:w="965" w:type="dxa"/>
            <w:vAlign w:val="center"/>
          </w:tcPr>
          <w:p w14:paraId="5CF9E35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r>
    </w:tbl>
    <w:p w14:paraId="4C3E44F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（2）地下水</w:t>
      </w:r>
    </w:p>
    <w:p w14:paraId="324E730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项目所在区域地下水为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类水体，执行《地下水质量标准》（GB/T14848-2017）中</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r>
        <w:rPr>
          <w:rFonts w:hint="eastAsia" w:eastAsia="宋体" w:cs="Times New Roman"/>
          <w:color w:val="auto"/>
          <w:highlight w:val="none"/>
          <w:lang w:eastAsia="zh-CN"/>
        </w:rPr>
        <w:t>，</w:t>
      </w:r>
      <w:r>
        <w:rPr>
          <w:rFonts w:hint="eastAsia" w:eastAsia="宋体" w:cs="Times New Roman"/>
          <w:color w:val="auto"/>
          <w:szCs w:val="24"/>
          <w:highlight w:val="none"/>
          <w:lang w:val="en-US" w:eastAsia="zh-CN"/>
        </w:rPr>
        <w:t>化学需氧量、石油类</w:t>
      </w:r>
      <w:r>
        <w:rPr>
          <w:rFonts w:hint="default" w:ascii="Times New Roman" w:hAnsi="Times New Roman" w:eastAsia="宋体" w:cs="Times New Roman"/>
          <w:color w:val="auto"/>
          <w:szCs w:val="24"/>
          <w:highlight w:val="none"/>
        </w:rPr>
        <w:t>评价标准参照《地表水环境质量标准》（GB3838-2002）Ш类标准。</w:t>
      </w:r>
      <w:r>
        <w:rPr>
          <w:rFonts w:hint="default" w:ascii="Times New Roman" w:hAnsi="Times New Roman" w:eastAsia="宋体" w:cs="Times New Roman"/>
          <w:color w:val="auto"/>
          <w:highlight w:val="none"/>
        </w:rPr>
        <w:t>详见</w:t>
      </w:r>
      <w:r>
        <w:rPr>
          <w:rFonts w:hint="default" w:ascii="Times New Roman" w:hAnsi="Times New Roman" w:eastAsia="宋体" w:cs="Times New Roman"/>
          <w:color w:val="auto"/>
          <w:highlight w:val="none"/>
          <w:lang w:eastAsia="zh-CN"/>
        </w:rPr>
        <w:t>下</w:t>
      </w:r>
      <w:r>
        <w:rPr>
          <w:rFonts w:hint="default" w:ascii="Times New Roman" w:hAnsi="Times New Roman" w:eastAsia="宋体" w:cs="Times New Roman"/>
          <w:color w:val="auto"/>
          <w:highlight w:val="none"/>
        </w:rPr>
        <w:t>表。</w:t>
      </w:r>
    </w:p>
    <w:p w14:paraId="688670E8">
      <w:pPr>
        <w:pStyle w:val="210"/>
        <w:rPr>
          <w:rFonts w:hint="default" w:ascii="Times New Roman" w:hAnsi="Times New Roman" w:cs="Times New Roman"/>
          <w:color w:val="auto"/>
          <w:highlight w:val="none"/>
        </w:rPr>
      </w:pPr>
    </w:p>
    <w:p w14:paraId="1F707F7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表2-8-2地下水质量标准</w:t>
      </w:r>
    </w:p>
    <w:tbl>
      <w:tblPr>
        <w:tblStyle w:val="47"/>
        <w:tblW w:w="852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410"/>
        <w:gridCol w:w="1842"/>
        <w:gridCol w:w="1701"/>
        <w:gridCol w:w="1723"/>
      </w:tblGrid>
      <w:tr w14:paraId="740A4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51" w:type="dxa"/>
            <w:vMerge w:val="restart"/>
            <w:vAlign w:val="center"/>
          </w:tcPr>
          <w:p w14:paraId="0112923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2410" w:type="dxa"/>
            <w:vMerge w:val="restart"/>
            <w:vAlign w:val="center"/>
          </w:tcPr>
          <w:p w14:paraId="24DB905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标准名称及级（类）别</w:t>
            </w:r>
          </w:p>
        </w:tc>
        <w:tc>
          <w:tcPr>
            <w:tcW w:w="1842" w:type="dxa"/>
            <w:vMerge w:val="restart"/>
            <w:vAlign w:val="center"/>
          </w:tcPr>
          <w:p w14:paraId="4DA3896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污染因子</w:t>
            </w:r>
          </w:p>
        </w:tc>
        <w:tc>
          <w:tcPr>
            <w:tcW w:w="3424" w:type="dxa"/>
            <w:gridSpan w:val="2"/>
            <w:vAlign w:val="center"/>
          </w:tcPr>
          <w:p w14:paraId="1AB097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w:t>
            </w:r>
          </w:p>
        </w:tc>
      </w:tr>
      <w:tr w14:paraId="05A44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51" w:type="dxa"/>
            <w:vMerge w:val="continue"/>
            <w:vAlign w:val="center"/>
          </w:tcPr>
          <w:p w14:paraId="1559CAC6">
            <w:pPr>
              <w:pStyle w:val="146"/>
              <w:rPr>
                <w:rFonts w:hint="default" w:ascii="Times New Roman" w:hAnsi="Times New Roman" w:eastAsia="宋体" w:cs="Times New Roman"/>
                <w:color w:val="auto"/>
                <w:highlight w:val="none"/>
              </w:rPr>
            </w:pPr>
          </w:p>
        </w:tc>
        <w:tc>
          <w:tcPr>
            <w:tcW w:w="2410" w:type="dxa"/>
            <w:vMerge w:val="continue"/>
            <w:vAlign w:val="center"/>
          </w:tcPr>
          <w:p w14:paraId="0982F99C">
            <w:pPr>
              <w:pStyle w:val="146"/>
              <w:rPr>
                <w:rFonts w:hint="default" w:ascii="Times New Roman" w:hAnsi="Times New Roman" w:eastAsia="宋体" w:cs="Times New Roman"/>
                <w:color w:val="auto"/>
                <w:highlight w:val="none"/>
              </w:rPr>
            </w:pPr>
          </w:p>
        </w:tc>
        <w:tc>
          <w:tcPr>
            <w:tcW w:w="1842" w:type="dxa"/>
            <w:vMerge w:val="continue"/>
            <w:vAlign w:val="center"/>
          </w:tcPr>
          <w:p w14:paraId="1C7C7230">
            <w:pPr>
              <w:pStyle w:val="146"/>
              <w:rPr>
                <w:rFonts w:hint="default" w:ascii="Times New Roman" w:hAnsi="Times New Roman" w:eastAsia="宋体" w:cs="Times New Roman"/>
                <w:color w:val="auto"/>
                <w:highlight w:val="none"/>
              </w:rPr>
            </w:pPr>
          </w:p>
        </w:tc>
        <w:tc>
          <w:tcPr>
            <w:tcW w:w="1701" w:type="dxa"/>
            <w:vAlign w:val="center"/>
          </w:tcPr>
          <w:p w14:paraId="1B3CCC6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1723" w:type="dxa"/>
            <w:vAlign w:val="center"/>
          </w:tcPr>
          <w:p w14:paraId="1D1098D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数值</w:t>
            </w:r>
          </w:p>
        </w:tc>
      </w:tr>
      <w:tr w14:paraId="7CA3D5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restart"/>
            <w:vAlign w:val="center"/>
          </w:tcPr>
          <w:p w14:paraId="579712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地下水环境</w:t>
            </w:r>
          </w:p>
        </w:tc>
        <w:tc>
          <w:tcPr>
            <w:tcW w:w="2410" w:type="dxa"/>
            <w:vMerge w:val="restart"/>
            <w:vAlign w:val="center"/>
          </w:tcPr>
          <w:p w14:paraId="28E364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地下水质量标准（GB14848-2017）</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类标准</w:t>
            </w:r>
          </w:p>
        </w:tc>
        <w:tc>
          <w:tcPr>
            <w:tcW w:w="1842" w:type="dxa"/>
            <w:vAlign w:val="center"/>
          </w:tcPr>
          <w:p w14:paraId="203909A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w:t>
            </w:r>
          </w:p>
        </w:tc>
        <w:tc>
          <w:tcPr>
            <w:tcW w:w="1701" w:type="dxa"/>
            <w:vAlign w:val="center"/>
          </w:tcPr>
          <w:p w14:paraId="3C3F78A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无量纲</w:t>
            </w:r>
          </w:p>
        </w:tc>
        <w:tc>
          <w:tcPr>
            <w:tcW w:w="1723" w:type="dxa"/>
            <w:vAlign w:val="center"/>
          </w:tcPr>
          <w:p w14:paraId="4CB38BB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6.5～8.5</w:t>
            </w:r>
          </w:p>
        </w:tc>
      </w:tr>
      <w:tr w14:paraId="59C7A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60351672">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07FA3916">
            <w:pPr>
              <w:pStyle w:val="146"/>
              <w:rPr>
                <w:rFonts w:hint="default" w:ascii="Times New Roman" w:hAnsi="Times New Roman" w:eastAsia="宋体" w:cs="Times New Roman"/>
                <w:snapToGrid w:val="0"/>
                <w:color w:val="auto"/>
                <w:highlight w:val="none"/>
              </w:rPr>
            </w:pPr>
          </w:p>
        </w:tc>
        <w:tc>
          <w:tcPr>
            <w:tcW w:w="1842" w:type="dxa"/>
            <w:vAlign w:val="center"/>
          </w:tcPr>
          <w:p w14:paraId="0A95066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701" w:type="dxa"/>
            <w:vMerge w:val="restart"/>
            <w:vAlign w:val="center"/>
          </w:tcPr>
          <w:p w14:paraId="7FEEF11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mg/L</w:t>
            </w:r>
          </w:p>
        </w:tc>
        <w:tc>
          <w:tcPr>
            <w:tcW w:w="1723" w:type="dxa"/>
            <w:vAlign w:val="center"/>
          </w:tcPr>
          <w:p w14:paraId="1896DB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r>
      <w:tr w14:paraId="7A9948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6592C2B5">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16C38528">
            <w:pPr>
              <w:pStyle w:val="146"/>
              <w:rPr>
                <w:rFonts w:hint="default" w:ascii="Times New Roman" w:hAnsi="Times New Roman" w:eastAsia="宋体" w:cs="Times New Roman"/>
                <w:snapToGrid w:val="0"/>
                <w:color w:val="auto"/>
                <w:highlight w:val="none"/>
              </w:rPr>
            </w:pPr>
          </w:p>
        </w:tc>
        <w:tc>
          <w:tcPr>
            <w:tcW w:w="1842" w:type="dxa"/>
            <w:vAlign w:val="center"/>
          </w:tcPr>
          <w:p w14:paraId="6CE539D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硝酸盐</w:t>
            </w:r>
          </w:p>
        </w:tc>
        <w:tc>
          <w:tcPr>
            <w:tcW w:w="1701" w:type="dxa"/>
            <w:vMerge w:val="continue"/>
            <w:vAlign w:val="center"/>
          </w:tcPr>
          <w:p w14:paraId="4581A359">
            <w:pPr>
              <w:pStyle w:val="146"/>
              <w:rPr>
                <w:rFonts w:hint="default" w:ascii="Times New Roman" w:hAnsi="Times New Roman" w:eastAsia="宋体" w:cs="Times New Roman"/>
                <w:snapToGrid w:val="0"/>
                <w:color w:val="auto"/>
                <w:highlight w:val="none"/>
              </w:rPr>
            </w:pPr>
          </w:p>
        </w:tc>
        <w:tc>
          <w:tcPr>
            <w:tcW w:w="1723" w:type="dxa"/>
            <w:vAlign w:val="center"/>
          </w:tcPr>
          <w:p w14:paraId="4B5211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≤20.00</w:t>
            </w:r>
          </w:p>
        </w:tc>
      </w:tr>
      <w:tr w14:paraId="1DBEA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539662C7">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4F6B663F">
            <w:pPr>
              <w:pStyle w:val="146"/>
              <w:rPr>
                <w:rFonts w:hint="default" w:ascii="Times New Roman" w:hAnsi="Times New Roman" w:eastAsia="宋体" w:cs="Times New Roman"/>
                <w:snapToGrid w:val="0"/>
                <w:color w:val="auto"/>
                <w:highlight w:val="none"/>
              </w:rPr>
            </w:pPr>
          </w:p>
        </w:tc>
        <w:tc>
          <w:tcPr>
            <w:tcW w:w="1842" w:type="dxa"/>
            <w:vAlign w:val="center"/>
          </w:tcPr>
          <w:p w14:paraId="53B8741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亚硝酸盐</w:t>
            </w:r>
          </w:p>
        </w:tc>
        <w:tc>
          <w:tcPr>
            <w:tcW w:w="1701" w:type="dxa"/>
            <w:vMerge w:val="continue"/>
            <w:vAlign w:val="center"/>
          </w:tcPr>
          <w:p w14:paraId="41CE0075">
            <w:pPr>
              <w:pStyle w:val="146"/>
              <w:rPr>
                <w:rFonts w:hint="default" w:ascii="Times New Roman" w:hAnsi="Times New Roman" w:eastAsia="宋体" w:cs="Times New Roman"/>
                <w:snapToGrid w:val="0"/>
                <w:color w:val="auto"/>
                <w:highlight w:val="none"/>
              </w:rPr>
            </w:pPr>
          </w:p>
        </w:tc>
        <w:tc>
          <w:tcPr>
            <w:tcW w:w="1723" w:type="dxa"/>
            <w:vAlign w:val="center"/>
          </w:tcPr>
          <w:p w14:paraId="264CE81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r>
      <w:tr w14:paraId="29276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3968C53A">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661C4C49">
            <w:pPr>
              <w:pStyle w:val="146"/>
              <w:rPr>
                <w:rFonts w:hint="default" w:ascii="Times New Roman" w:hAnsi="Times New Roman" w:eastAsia="宋体" w:cs="Times New Roman"/>
                <w:snapToGrid w:val="0"/>
                <w:color w:val="auto"/>
                <w:highlight w:val="none"/>
              </w:rPr>
            </w:pPr>
          </w:p>
        </w:tc>
        <w:tc>
          <w:tcPr>
            <w:tcW w:w="1842" w:type="dxa"/>
            <w:vAlign w:val="center"/>
          </w:tcPr>
          <w:p w14:paraId="52DB227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挥发性酚类</w:t>
            </w:r>
          </w:p>
        </w:tc>
        <w:tc>
          <w:tcPr>
            <w:tcW w:w="1701" w:type="dxa"/>
            <w:vMerge w:val="continue"/>
            <w:vAlign w:val="center"/>
          </w:tcPr>
          <w:p w14:paraId="3971DCCD">
            <w:pPr>
              <w:pStyle w:val="146"/>
              <w:rPr>
                <w:rFonts w:hint="default" w:ascii="Times New Roman" w:hAnsi="Times New Roman" w:eastAsia="宋体" w:cs="Times New Roman"/>
                <w:snapToGrid w:val="0"/>
                <w:color w:val="auto"/>
                <w:highlight w:val="none"/>
              </w:rPr>
            </w:pPr>
          </w:p>
        </w:tc>
        <w:tc>
          <w:tcPr>
            <w:tcW w:w="1723" w:type="dxa"/>
            <w:vAlign w:val="center"/>
          </w:tcPr>
          <w:p w14:paraId="5980892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≤0.002</w:t>
            </w:r>
          </w:p>
        </w:tc>
      </w:tr>
      <w:tr w14:paraId="00331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2D95CF67">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7F50EAFF">
            <w:pPr>
              <w:pStyle w:val="146"/>
              <w:rPr>
                <w:rFonts w:hint="default" w:ascii="Times New Roman" w:hAnsi="Times New Roman" w:eastAsia="宋体" w:cs="Times New Roman"/>
                <w:snapToGrid w:val="0"/>
                <w:color w:val="auto"/>
                <w:highlight w:val="none"/>
              </w:rPr>
            </w:pPr>
          </w:p>
        </w:tc>
        <w:tc>
          <w:tcPr>
            <w:tcW w:w="1842" w:type="dxa"/>
            <w:vAlign w:val="center"/>
          </w:tcPr>
          <w:p w14:paraId="40B30BB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氰化物</w:t>
            </w:r>
          </w:p>
        </w:tc>
        <w:tc>
          <w:tcPr>
            <w:tcW w:w="1701" w:type="dxa"/>
            <w:vMerge w:val="continue"/>
            <w:vAlign w:val="center"/>
          </w:tcPr>
          <w:p w14:paraId="70EF624F">
            <w:pPr>
              <w:pStyle w:val="146"/>
              <w:rPr>
                <w:rFonts w:hint="default" w:ascii="Times New Roman" w:hAnsi="Times New Roman" w:eastAsia="宋体" w:cs="Times New Roman"/>
                <w:snapToGrid w:val="0"/>
                <w:color w:val="auto"/>
                <w:highlight w:val="none"/>
              </w:rPr>
            </w:pPr>
          </w:p>
        </w:tc>
        <w:tc>
          <w:tcPr>
            <w:tcW w:w="1723" w:type="dxa"/>
            <w:vAlign w:val="center"/>
          </w:tcPr>
          <w:p w14:paraId="328700F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w:t>
            </w:r>
          </w:p>
        </w:tc>
      </w:tr>
      <w:tr w14:paraId="351AA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125FF939">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6A8F1397">
            <w:pPr>
              <w:pStyle w:val="146"/>
              <w:rPr>
                <w:rFonts w:hint="default" w:ascii="Times New Roman" w:hAnsi="Times New Roman" w:eastAsia="宋体" w:cs="Times New Roman"/>
                <w:snapToGrid w:val="0"/>
                <w:color w:val="auto"/>
                <w:highlight w:val="none"/>
              </w:rPr>
            </w:pPr>
          </w:p>
        </w:tc>
        <w:tc>
          <w:tcPr>
            <w:tcW w:w="1842" w:type="dxa"/>
            <w:vAlign w:val="center"/>
          </w:tcPr>
          <w:p w14:paraId="29303D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1701" w:type="dxa"/>
            <w:vMerge w:val="continue"/>
            <w:vAlign w:val="center"/>
          </w:tcPr>
          <w:p w14:paraId="5994CD01">
            <w:pPr>
              <w:pStyle w:val="146"/>
              <w:rPr>
                <w:rFonts w:hint="default" w:ascii="Times New Roman" w:hAnsi="Times New Roman" w:eastAsia="宋体" w:cs="Times New Roman"/>
                <w:snapToGrid w:val="0"/>
                <w:color w:val="auto"/>
                <w:highlight w:val="none"/>
              </w:rPr>
            </w:pPr>
          </w:p>
        </w:tc>
        <w:tc>
          <w:tcPr>
            <w:tcW w:w="1723" w:type="dxa"/>
            <w:vAlign w:val="center"/>
          </w:tcPr>
          <w:p w14:paraId="0DBF44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w:t>
            </w:r>
          </w:p>
        </w:tc>
      </w:tr>
      <w:tr w14:paraId="3DD3D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29C406CB">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61B44F3E">
            <w:pPr>
              <w:pStyle w:val="146"/>
              <w:rPr>
                <w:rFonts w:hint="default" w:ascii="Times New Roman" w:hAnsi="Times New Roman" w:eastAsia="宋体" w:cs="Times New Roman"/>
                <w:snapToGrid w:val="0"/>
                <w:color w:val="auto"/>
                <w:highlight w:val="none"/>
              </w:rPr>
            </w:pPr>
          </w:p>
        </w:tc>
        <w:tc>
          <w:tcPr>
            <w:tcW w:w="1842" w:type="dxa"/>
            <w:vAlign w:val="center"/>
          </w:tcPr>
          <w:p w14:paraId="67BCC33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1701" w:type="dxa"/>
            <w:vMerge w:val="continue"/>
            <w:vAlign w:val="center"/>
          </w:tcPr>
          <w:p w14:paraId="0AE40972">
            <w:pPr>
              <w:pStyle w:val="146"/>
              <w:rPr>
                <w:rFonts w:hint="default" w:ascii="Times New Roman" w:hAnsi="Times New Roman" w:eastAsia="宋体" w:cs="Times New Roman"/>
                <w:snapToGrid w:val="0"/>
                <w:color w:val="auto"/>
                <w:highlight w:val="none"/>
              </w:rPr>
            </w:pPr>
          </w:p>
        </w:tc>
        <w:tc>
          <w:tcPr>
            <w:tcW w:w="1723" w:type="dxa"/>
            <w:vAlign w:val="center"/>
          </w:tcPr>
          <w:p w14:paraId="4BD7E1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w:t>
            </w:r>
          </w:p>
        </w:tc>
      </w:tr>
      <w:tr w14:paraId="16626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7AEE713F">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5558F7E4">
            <w:pPr>
              <w:pStyle w:val="146"/>
              <w:rPr>
                <w:rFonts w:hint="default" w:ascii="Times New Roman" w:hAnsi="Times New Roman" w:eastAsia="宋体" w:cs="Times New Roman"/>
                <w:snapToGrid w:val="0"/>
                <w:color w:val="auto"/>
                <w:highlight w:val="none"/>
              </w:rPr>
            </w:pPr>
          </w:p>
        </w:tc>
        <w:tc>
          <w:tcPr>
            <w:tcW w:w="1842" w:type="dxa"/>
            <w:vAlign w:val="center"/>
          </w:tcPr>
          <w:p w14:paraId="4AE038C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铬（六价）</w:t>
            </w:r>
          </w:p>
        </w:tc>
        <w:tc>
          <w:tcPr>
            <w:tcW w:w="1701" w:type="dxa"/>
            <w:vMerge w:val="continue"/>
            <w:vAlign w:val="center"/>
          </w:tcPr>
          <w:p w14:paraId="4E9D15DA">
            <w:pPr>
              <w:pStyle w:val="146"/>
              <w:rPr>
                <w:rFonts w:hint="default" w:ascii="Times New Roman" w:hAnsi="Times New Roman" w:eastAsia="宋体" w:cs="Times New Roman"/>
                <w:snapToGrid w:val="0"/>
                <w:color w:val="auto"/>
                <w:highlight w:val="none"/>
              </w:rPr>
            </w:pPr>
          </w:p>
        </w:tc>
        <w:tc>
          <w:tcPr>
            <w:tcW w:w="1723" w:type="dxa"/>
            <w:vAlign w:val="center"/>
          </w:tcPr>
          <w:p w14:paraId="72E53D7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w:t>
            </w:r>
          </w:p>
        </w:tc>
      </w:tr>
      <w:tr w14:paraId="7DE90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4826E0B8">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497B57D4">
            <w:pPr>
              <w:pStyle w:val="146"/>
              <w:rPr>
                <w:rFonts w:hint="default" w:ascii="Times New Roman" w:hAnsi="Times New Roman" w:eastAsia="宋体" w:cs="Times New Roman"/>
                <w:snapToGrid w:val="0"/>
                <w:color w:val="auto"/>
                <w:highlight w:val="none"/>
              </w:rPr>
            </w:pPr>
          </w:p>
        </w:tc>
        <w:tc>
          <w:tcPr>
            <w:tcW w:w="1842" w:type="dxa"/>
            <w:vAlign w:val="center"/>
          </w:tcPr>
          <w:p w14:paraId="68DB479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总硬度</w:t>
            </w:r>
          </w:p>
        </w:tc>
        <w:tc>
          <w:tcPr>
            <w:tcW w:w="1701" w:type="dxa"/>
            <w:vMerge w:val="continue"/>
            <w:vAlign w:val="center"/>
          </w:tcPr>
          <w:p w14:paraId="432625B5">
            <w:pPr>
              <w:pStyle w:val="146"/>
              <w:rPr>
                <w:rFonts w:hint="default" w:ascii="Times New Roman" w:hAnsi="Times New Roman" w:eastAsia="宋体" w:cs="Times New Roman"/>
                <w:snapToGrid w:val="0"/>
                <w:color w:val="auto"/>
                <w:highlight w:val="none"/>
              </w:rPr>
            </w:pPr>
          </w:p>
        </w:tc>
        <w:tc>
          <w:tcPr>
            <w:tcW w:w="1723" w:type="dxa"/>
            <w:vAlign w:val="center"/>
          </w:tcPr>
          <w:p w14:paraId="648895B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≤450</w:t>
            </w:r>
          </w:p>
        </w:tc>
      </w:tr>
      <w:tr w14:paraId="27644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12AB4E2E">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1D613300">
            <w:pPr>
              <w:pStyle w:val="146"/>
              <w:rPr>
                <w:rFonts w:hint="default" w:ascii="Times New Roman" w:hAnsi="Times New Roman" w:eastAsia="宋体" w:cs="Times New Roman"/>
                <w:snapToGrid w:val="0"/>
                <w:color w:val="auto"/>
                <w:highlight w:val="none"/>
              </w:rPr>
            </w:pPr>
          </w:p>
        </w:tc>
        <w:tc>
          <w:tcPr>
            <w:tcW w:w="1842" w:type="dxa"/>
            <w:vAlign w:val="center"/>
          </w:tcPr>
          <w:p w14:paraId="17F05F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耗氧量</w:t>
            </w:r>
            <w:r>
              <w:rPr>
                <w:rFonts w:hint="default" w:ascii="Times New Roman" w:hAnsi="Times New Roman" w:eastAsia="宋体" w:cs="Times New Roman"/>
                <w:color w:val="auto"/>
                <w:highlight w:val="none"/>
              </w:rPr>
              <w:t>（COD</w:t>
            </w:r>
            <w:r>
              <w:rPr>
                <w:rFonts w:hint="default" w:ascii="Times New Roman" w:hAnsi="Times New Roman" w:eastAsia="宋体" w:cs="Times New Roman"/>
                <w:color w:val="auto"/>
                <w:highlight w:val="none"/>
                <w:vertAlign w:val="subscript"/>
              </w:rPr>
              <w:t>Mn</w:t>
            </w:r>
            <w:r>
              <w:rPr>
                <w:rFonts w:hint="default" w:ascii="Times New Roman" w:hAnsi="Times New Roman" w:eastAsia="宋体" w:cs="Times New Roman"/>
                <w:color w:val="auto"/>
                <w:highlight w:val="none"/>
              </w:rPr>
              <w:t>法，以O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计）</w:t>
            </w:r>
          </w:p>
        </w:tc>
        <w:tc>
          <w:tcPr>
            <w:tcW w:w="1701" w:type="dxa"/>
            <w:vMerge w:val="continue"/>
            <w:vAlign w:val="center"/>
          </w:tcPr>
          <w:p w14:paraId="68D04A2A">
            <w:pPr>
              <w:pStyle w:val="146"/>
              <w:rPr>
                <w:rFonts w:hint="default" w:ascii="Times New Roman" w:hAnsi="Times New Roman" w:eastAsia="宋体" w:cs="Times New Roman"/>
                <w:snapToGrid w:val="0"/>
                <w:color w:val="auto"/>
                <w:highlight w:val="none"/>
              </w:rPr>
            </w:pPr>
          </w:p>
        </w:tc>
        <w:tc>
          <w:tcPr>
            <w:tcW w:w="1723" w:type="dxa"/>
            <w:vAlign w:val="center"/>
          </w:tcPr>
          <w:p w14:paraId="27709D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r>
      <w:tr w14:paraId="67BD00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36F0F027">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75BEB269">
            <w:pPr>
              <w:pStyle w:val="146"/>
              <w:rPr>
                <w:rFonts w:hint="default" w:ascii="Times New Roman" w:hAnsi="Times New Roman" w:eastAsia="宋体" w:cs="Times New Roman"/>
                <w:snapToGrid w:val="0"/>
                <w:color w:val="auto"/>
                <w:highlight w:val="none"/>
              </w:rPr>
            </w:pPr>
          </w:p>
        </w:tc>
        <w:tc>
          <w:tcPr>
            <w:tcW w:w="1842" w:type="dxa"/>
            <w:vAlign w:val="center"/>
          </w:tcPr>
          <w:p w14:paraId="42CB8A2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1701" w:type="dxa"/>
            <w:vMerge w:val="continue"/>
            <w:vAlign w:val="center"/>
          </w:tcPr>
          <w:p w14:paraId="18258795">
            <w:pPr>
              <w:pStyle w:val="146"/>
              <w:rPr>
                <w:rFonts w:hint="default" w:ascii="Times New Roman" w:hAnsi="Times New Roman" w:eastAsia="宋体" w:cs="Times New Roman"/>
                <w:snapToGrid w:val="0"/>
                <w:color w:val="auto"/>
                <w:highlight w:val="none"/>
              </w:rPr>
            </w:pPr>
          </w:p>
        </w:tc>
        <w:tc>
          <w:tcPr>
            <w:tcW w:w="1723" w:type="dxa"/>
            <w:vAlign w:val="center"/>
          </w:tcPr>
          <w:p w14:paraId="0D556D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w:t>
            </w:r>
          </w:p>
        </w:tc>
      </w:tr>
      <w:tr w14:paraId="55878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520CA6AE">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4F12754B">
            <w:pPr>
              <w:pStyle w:val="146"/>
              <w:rPr>
                <w:rFonts w:hint="default" w:ascii="Times New Roman" w:hAnsi="Times New Roman" w:eastAsia="宋体" w:cs="Times New Roman"/>
                <w:snapToGrid w:val="0"/>
                <w:color w:val="auto"/>
                <w:highlight w:val="none"/>
              </w:rPr>
            </w:pPr>
          </w:p>
        </w:tc>
        <w:tc>
          <w:tcPr>
            <w:tcW w:w="1842" w:type="dxa"/>
            <w:vAlign w:val="center"/>
          </w:tcPr>
          <w:p w14:paraId="0C9C7D3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氟化物</w:t>
            </w:r>
          </w:p>
        </w:tc>
        <w:tc>
          <w:tcPr>
            <w:tcW w:w="1701" w:type="dxa"/>
            <w:vMerge w:val="continue"/>
            <w:vAlign w:val="center"/>
          </w:tcPr>
          <w:p w14:paraId="659A8FC8">
            <w:pPr>
              <w:pStyle w:val="146"/>
              <w:rPr>
                <w:rFonts w:hint="default" w:ascii="Times New Roman" w:hAnsi="Times New Roman" w:eastAsia="宋体" w:cs="Times New Roman"/>
                <w:snapToGrid w:val="0"/>
                <w:color w:val="auto"/>
                <w:highlight w:val="none"/>
              </w:rPr>
            </w:pPr>
          </w:p>
        </w:tc>
        <w:tc>
          <w:tcPr>
            <w:tcW w:w="1723" w:type="dxa"/>
            <w:vAlign w:val="center"/>
          </w:tcPr>
          <w:p w14:paraId="79D9BEA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r>
      <w:tr w14:paraId="47DF3B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5F191F84">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0EBD40F4">
            <w:pPr>
              <w:pStyle w:val="146"/>
              <w:rPr>
                <w:rFonts w:hint="default" w:ascii="Times New Roman" w:hAnsi="Times New Roman" w:eastAsia="宋体" w:cs="Times New Roman"/>
                <w:snapToGrid w:val="0"/>
                <w:color w:val="auto"/>
                <w:highlight w:val="none"/>
              </w:rPr>
            </w:pPr>
          </w:p>
        </w:tc>
        <w:tc>
          <w:tcPr>
            <w:tcW w:w="1842" w:type="dxa"/>
            <w:vAlign w:val="center"/>
          </w:tcPr>
          <w:p w14:paraId="1B9EDD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1701" w:type="dxa"/>
            <w:vMerge w:val="continue"/>
            <w:vAlign w:val="center"/>
          </w:tcPr>
          <w:p w14:paraId="702A641B">
            <w:pPr>
              <w:pStyle w:val="146"/>
              <w:rPr>
                <w:rFonts w:hint="default" w:ascii="Times New Roman" w:hAnsi="Times New Roman" w:eastAsia="宋体" w:cs="Times New Roman"/>
                <w:snapToGrid w:val="0"/>
                <w:color w:val="auto"/>
                <w:highlight w:val="none"/>
              </w:rPr>
            </w:pPr>
          </w:p>
        </w:tc>
        <w:tc>
          <w:tcPr>
            <w:tcW w:w="1723" w:type="dxa"/>
            <w:vAlign w:val="center"/>
          </w:tcPr>
          <w:p w14:paraId="3CB66AA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≤0.005</w:t>
            </w:r>
          </w:p>
        </w:tc>
      </w:tr>
      <w:tr w14:paraId="584CA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7921BBA0">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39FEDFD6">
            <w:pPr>
              <w:pStyle w:val="146"/>
              <w:rPr>
                <w:rFonts w:hint="default" w:ascii="Times New Roman" w:hAnsi="Times New Roman" w:eastAsia="宋体" w:cs="Times New Roman"/>
                <w:snapToGrid w:val="0"/>
                <w:color w:val="auto"/>
                <w:highlight w:val="none"/>
              </w:rPr>
            </w:pPr>
          </w:p>
        </w:tc>
        <w:tc>
          <w:tcPr>
            <w:tcW w:w="1842" w:type="dxa"/>
            <w:vAlign w:val="center"/>
          </w:tcPr>
          <w:p w14:paraId="5D0512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铁</w:t>
            </w:r>
          </w:p>
        </w:tc>
        <w:tc>
          <w:tcPr>
            <w:tcW w:w="1701" w:type="dxa"/>
            <w:vMerge w:val="continue"/>
            <w:vAlign w:val="center"/>
          </w:tcPr>
          <w:p w14:paraId="05B2B07C">
            <w:pPr>
              <w:pStyle w:val="146"/>
              <w:rPr>
                <w:rFonts w:hint="default" w:ascii="Times New Roman" w:hAnsi="Times New Roman" w:eastAsia="宋体" w:cs="Times New Roman"/>
                <w:snapToGrid w:val="0"/>
                <w:color w:val="auto"/>
                <w:highlight w:val="none"/>
              </w:rPr>
            </w:pPr>
          </w:p>
        </w:tc>
        <w:tc>
          <w:tcPr>
            <w:tcW w:w="1723" w:type="dxa"/>
            <w:vAlign w:val="center"/>
          </w:tcPr>
          <w:p w14:paraId="534D654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w:t>
            </w:r>
          </w:p>
        </w:tc>
      </w:tr>
      <w:tr w14:paraId="41BFD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671DE0F3">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393CE85C">
            <w:pPr>
              <w:pStyle w:val="146"/>
              <w:rPr>
                <w:rFonts w:hint="default" w:ascii="Times New Roman" w:hAnsi="Times New Roman" w:eastAsia="宋体" w:cs="Times New Roman"/>
                <w:snapToGrid w:val="0"/>
                <w:color w:val="auto"/>
                <w:highlight w:val="none"/>
              </w:rPr>
            </w:pPr>
          </w:p>
        </w:tc>
        <w:tc>
          <w:tcPr>
            <w:tcW w:w="1842" w:type="dxa"/>
            <w:vAlign w:val="center"/>
          </w:tcPr>
          <w:p w14:paraId="78BF933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锰</w:t>
            </w:r>
          </w:p>
        </w:tc>
        <w:tc>
          <w:tcPr>
            <w:tcW w:w="1701" w:type="dxa"/>
            <w:vMerge w:val="continue"/>
            <w:vAlign w:val="center"/>
          </w:tcPr>
          <w:p w14:paraId="2D3D53A1">
            <w:pPr>
              <w:pStyle w:val="146"/>
              <w:rPr>
                <w:rFonts w:hint="default" w:ascii="Times New Roman" w:hAnsi="Times New Roman" w:eastAsia="宋体" w:cs="Times New Roman"/>
                <w:snapToGrid w:val="0"/>
                <w:color w:val="auto"/>
                <w:highlight w:val="none"/>
              </w:rPr>
            </w:pPr>
          </w:p>
        </w:tc>
        <w:tc>
          <w:tcPr>
            <w:tcW w:w="1723" w:type="dxa"/>
            <w:vAlign w:val="center"/>
          </w:tcPr>
          <w:p w14:paraId="5156A3D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w:t>
            </w:r>
          </w:p>
        </w:tc>
      </w:tr>
      <w:tr w14:paraId="6EE36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379DC4BC">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2E4CA2E3">
            <w:pPr>
              <w:pStyle w:val="146"/>
              <w:rPr>
                <w:rFonts w:hint="default" w:ascii="Times New Roman" w:hAnsi="Times New Roman" w:eastAsia="宋体" w:cs="Times New Roman"/>
                <w:snapToGrid w:val="0"/>
                <w:color w:val="auto"/>
                <w:highlight w:val="none"/>
              </w:rPr>
            </w:pPr>
          </w:p>
        </w:tc>
        <w:tc>
          <w:tcPr>
            <w:tcW w:w="1842" w:type="dxa"/>
            <w:vAlign w:val="center"/>
          </w:tcPr>
          <w:p w14:paraId="047CFC0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溶解性总固体</w:t>
            </w:r>
          </w:p>
        </w:tc>
        <w:tc>
          <w:tcPr>
            <w:tcW w:w="1701" w:type="dxa"/>
            <w:vMerge w:val="continue"/>
            <w:vAlign w:val="center"/>
          </w:tcPr>
          <w:p w14:paraId="0FD8F746">
            <w:pPr>
              <w:pStyle w:val="146"/>
              <w:rPr>
                <w:rFonts w:hint="default" w:ascii="Times New Roman" w:hAnsi="Times New Roman" w:eastAsia="宋体" w:cs="Times New Roman"/>
                <w:snapToGrid w:val="0"/>
                <w:color w:val="auto"/>
                <w:highlight w:val="none"/>
              </w:rPr>
            </w:pPr>
          </w:p>
        </w:tc>
        <w:tc>
          <w:tcPr>
            <w:tcW w:w="1723" w:type="dxa"/>
            <w:vAlign w:val="center"/>
          </w:tcPr>
          <w:p w14:paraId="565994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r>
      <w:tr w14:paraId="56972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5E20232D">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134BBCCC">
            <w:pPr>
              <w:pStyle w:val="146"/>
              <w:rPr>
                <w:rFonts w:hint="default" w:ascii="Times New Roman" w:hAnsi="Times New Roman" w:eastAsia="宋体" w:cs="Times New Roman"/>
                <w:snapToGrid w:val="0"/>
                <w:color w:val="auto"/>
                <w:highlight w:val="none"/>
              </w:rPr>
            </w:pPr>
          </w:p>
        </w:tc>
        <w:tc>
          <w:tcPr>
            <w:tcW w:w="1842" w:type="dxa"/>
            <w:vAlign w:val="center"/>
          </w:tcPr>
          <w:p w14:paraId="0830785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硫酸盐</w:t>
            </w:r>
          </w:p>
        </w:tc>
        <w:tc>
          <w:tcPr>
            <w:tcW w:w="1701" w:type="dxa"/>
            <w:vMerge w:val="continue"/>
            <w:vAlign w:val="center"/>
          </w:tcPr>
          <w:p w14:paraId="2AE5CF94">
            <w:pPr>
              <w:pStyle w:val="146"/>
              <w:rPr>
                <w:rFonts w:hint="default" w:ascii="Times New Roman" w:hAnsi="Times New Roman" w:eastAsia="宋体" w:cs="Times New Roman"/>
                <w:snapToGrid w:val="0"/>
                <w:color w:val="auto"/>
                <w:highlight w:val="none"/>
              </w:rPr>
            </w:pPr>
          </w:p>
        </w:tc>
        <w:tc>
          <w:tcPr>
            <w:tcW w:w="1723" w:type="dxa"/>
            <w:vAlign w:val="center"/>
          </w:tcPr>
          <w:p w14:paraId="00D157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w:t>
            </w:r>
          </w:p>
        </w:tc>
      </w:tr>
      <w:tr w14:paraId="49F0E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0F3B24CE">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33DAF6DB">
            <w:pPr>
              <w:pStyle w:val="146"/>
              <w:rPr>
                <w:rFonts w:hint="default" w:ascii="Times New Roman" w:hAnsi="Times New Roman" w:eastAsia="宋体" w:cs="Times New Roman"/>
                <w:snapToGrid w:val="0"/>
                <w:color w:val="auto"/>
                <w:highlight w:val="none"/>
              </w:rPr>
            </w:pPr>
          </w:p>
        </w:tc>
        <w:tc>
          <w:tcPr>
            <w:tcW w:w="1842" w:type="dxa"/>
            <w:vAlign w:val="center"/>
          </w:tcPr>
          <w:p w14:paraId="3179270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氯化物</w:t>
            </w:r>
          </w:p>
        </w:tc>
        <w:tc>
          <w:tcPr>
            <w:tcW w:w="1701" w:type="dxa"/>
            <w:vMerge w:val="continue"/>
            <w:vAlign w:val="center"/>
          </w:tcPr>
          <w:p w14:paraId="5E501020">
            <w:pPr>
              <w:pStyle w:val="146"/>
              <w:rPr>
                <w:rFonts w:hint="default" w:ascii="Times New Roman" w:hAnsi="Times New Roman" w:eastAsia="宋体" w:cs="Times New Roman"/>
                <w:snapToGrid w:val="0"/>
                <w:color w:val="auto"/>
                <w:highlight w:val="none"/>
              </w:rPr>
            </w:pPr>
          </w:p>
        </w:tc>
        <w:tc>
          <w:tcPr>
            <w:tcW w:w="1723" w:type="dxa"/>
            <w:vAlign w:val="center"/>
          </w:tcPr>
          <w:p w14:paraId="02F593D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w:t>
            </w:r>
          </w:p>
        </w:tc>
      </w:tr>
      <w:tr w14:paraId="7BA332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4B0F8A8E">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1A614585">
            <w:pPr>
              <w:pStyle w:val="146"/>
              <w:rPr>
                <w:rFonts w:hint="default" w:ascii="Times New Roman" w:hAnsi="Times New Roman" w:eastAsia="宋体" w:cs="Times New Roman"/>
                <w:snapToGrid w:val="0"/>
                <w:color w:val="auto"/>
                <w:highlight w:val="none"/>
              </w:rPr>
            </w:pPr>
          </w:p>
        </w:tc>
        <w:tc>
          <w:tcPr>
            <w:tcW w:w="1842" w:type="dxa"/>
            <w:vAlign w:val="center"/>
          </w:tcPr>
          <w:p w14:paraId="7599CCF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Na</w:t>
            </w:r>
            <w:r>
              <w:rPr>
                <w:rFonts w:hint="default" w:ascii="Times New Roman" w:hAnsi="Times New Roman" w:eastAsia="宋体" w:cs="Times New Roman"/>
                <w:color w:val="auto"/>
                <w:highlight w:val="none"/>
                <w:vertAlign w:val="superscript"/>
              </w:rPr>
              <w:t>+</w:t>
            </w:r>
          </w:p>
        </w:tc>
        <w:tc>
          <w:tcPr>
            <w:tcW w:w="1701" w:type="dxa"/>
            <w:vMerge w:val="continue"/>
            <w:vAlign w:val="center"/>
          </w:tcPr>
          <w:p w14:paraId="33520735">
            <w:pPr>
              <w:pStyle w:val="146"/>
              <w:rPr>
                <w:rFonts w:hint="default" w:ascii="Times New Roman" w:hAnsi="Times New Roman" w:eastAsia="宋体" w:cs="Times New Roman"/>
                <w:snapToGrid w:val="0"/>
                <w:color w:val="auto"/>
                <w:highlight w:val="none"/>
              </w:rPr>
            </w:pPr>
          </w:p>
        </w:tc>
        <w:tc>
          <w:tcPr>
            <w:tcW w:w="1723" w:type="dxa"/>
            <w:vAlign w:val="center"/>
          </w:tcPr>
          <w:p w14:paraId="5A4236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r>
      <w:tr w14:paraId="0D753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51" w:type="dxa"/>
            <w:vMerge w:val="continue"/>
            <w:vAlign w:val="center"/>
          </w:tcPr>
          <w:p w14:paraId="4E47AF58">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7FDF01B9">
            <w:pPr>
              <w:pStyle w:val="146"/>
              <w:rPr>
                <w:rFonts w:hint="default" w:ascii="Times New Roman" w:hAnsi="Times New Roman" w:eastAsia="宋体" w:cs="Times New Roman"/>
                <w:snapToGrid w:val="0"/>
                <w:color w:val="auto"/>
                <w:highlight w:val="none"/>
              </w:rPr>
            </w:pPr>
          </w:p>
        </w:tc>
        <w:tc>
          <w:tcPr>
            <w:tcW w:w="1842" w:type="dxa"/>
            <w:vAlign w:val="center"/>
          </w:tcPr>
          <w:p w14:paraId="2687D6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总大肠菌群</w:t>
            </w:r>
          </w:p>
        </w:tc>
        <w:tc>
          <w:tcPr>
            <w:tcW w:w="1701" w:type="dxa"/>
            <w:vMerge w:val="restart"/>
            <w:vAlign w:val="center"/>
          </w:tcPr>
          <w:p w14:paraId="44BA4F4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个/L</w:t>
            </w:r>
          </w:p>
        </w:tc>
        <w:tc>
          <w:tcPr>
            <w:tcW w:w="1723" w:type="dxa"/>
            <w:vAlign w:val="center"/>
          </w:tcPr>
          <w:p w14:paraId="2F256C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r>
      <w:tr w14:paraId="04262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851" w:type="dxa"/>
            <w:vMerge w:val="continue"/>
            <w:vAlign w:val="center"/>
          </w:tcPr>
          <w:p w14:paraId="2114C3E6">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21169F43">
            <w:pPr>
              <w:pStyle w:val="146"/>
              <w:rPr>
                <w:rFonts w:hint="default" w:ascii="Times New Roman" w:hAnsi="Times New Roman" w:eastAsia="宋体" w:cs="Times New Roman"/>
                <w:snapToGrid w:val="0"/>
                <w:color w:val="auto"/>
                <w:highlight w:val="none"/>
              </w:rPr>
            </w:pPr>
          </w:p>
        </w:tc>
        <w:tc>
          <w:tcPr>
            <w:tcW w:w="1842" w:type="dxa"/>
            <w:vAlign w:val="center"/>
          </w:tcPr>
          <w:p w14:paraId="14789EE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菌落总数</w:t>
            </w:r>
          </w:p>
        </w:tc>
        <w:tc>
          <w:tcPr>
            <w:tcW w:w="1701" w:type="dxa"/>
            <w:vMerge w:val="continue"/>
            <w:vAlign w:val="center"/>
          </w:tcPr>
          <w:p w14:paraId="02CE8A2E">
            <w:pPr>
              <w:pStyle w:val="146"/>
              <w:rPr>
                <w:rFonts w:hint="default" w:ascii="Times New Roman" w:hAnsi="Times New Roman" w:eastAsia="宋体" w:cs="Times New Roman"/>
                <w:snapToGrid w:val="0"/>
                <w:color w:val="auto"/>
                <w:highlight w:val="none"/>
              </w:rPr>
            </w:pPr>
          </w:p>
        </w:tc>
        <w:tc>
          <w:tcPr>
            <w:tcW w:w="1723" w:type="dxa"/>
            <w:vAlign w:val="center"/>
          </w:tcPr>
          <w:p w14:paraId="337DD71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r>
      <w:tr w14:paraId="5DA48A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851" w:type="dxa"/>
            <w:vMerge w:val="continue"/>
            <w:vAlign w:val="center"/>
          </w:tcPr>
          <w:p w14:paraId="52967A79">
            <w:pPr>
              <w:pStyle w:val="146"/>
              <w:rPr>
                <w:rFonts w:hint="default" w:ascii="Times New Roman" w:hAnsi="Times New Roman" w:eastAsia="宋体" w:cs="Times New Roman"/>
                <w:snapToGrid w:val="0"/>
                <w:color w:val="auto"/>
                <w:highlight w:val="none"/>
              </w:rPr>
            </w:pPr>
          </w:p>
        </w:tc>
        <w:tc>
          <w:tcPr>
            <w:tcW w:w="2410" w:type="dxa"/>
            <w:vMerge w:val="restart"/>
            <w:vAlign w:val="center"/>
          </w:tcPr>
          <w:p w14:paraId="4DA38A0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Cs w:val="24"/>
                <w:highlight w:val="none"/>
              </w:rPr>
              <w:t>《地表水环境质量标准》（GB3838-2002）Ш类标准</w:t>
            </w:r>
          </w:p>
        </w:tc>
        <w:tc>
          <w:tcPr>
            <w:tcW w:w="1842" w:type="dxa"/>
            <w:vAlign w:val="center"/>
          </w:tcPr>
          <w:p w14:paraId="69DA704F">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化学需氧量</w:t>
            </w:r>
          </w:p>
        </w:tc>
        <w:tc>
          <w:tcPr>
            <w:tcW w:w="1701" w:type="dxa"/>
            <w:vAlign w:val="center"/>
          </w:tcPr>
          <w:p w14:paraId="179E5C7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mg/L</w:t>
            </w:r>
          </w:p>
        </w:tc>
        <w:tc>
          <w:tcPr>
            <w:tcW w:w="1723" w:type="dxa"/>
            <w:vAlign w:val="center"/>
          </w:tcPr>
          <w:p w14:paraId="4341BEC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20</w:t>
            </w:r>
          </w:p>
        </w:tc>
      </w:tr>
      <w:tr w14:paraId="13B9C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851" w:type="dxa"/>
            <w:vMerge w:val="continue"/>
            <w:vAlign w:val="center"/>
          </w:tcPr>
          <w:p w14:paraId="72BED24A">
            <w:pPr>
              <w:pStyle w:val="146"/>
              <w:rPr>
                <w:rFonts w:hint="default" w:ascii="Times New Roman" w:hAnsi="Times New Roman" w:eastAsia="宋体" w:cs="Times New Roman"/>
                <w:snapToGrid w:val="0"/>
                <w:color w:val="auto"/>
                <w:highlight w:val="none"/>
              </w:rPr>
            </w:pPr>
          </w:p>
        </w:tc>
        <w:tc>
          <w:tcPr>
            <w:tcW w:w="2410" w:type="dxa"/>
            <w:vMerge w:val="continue"/>
            <w:vAlign w:val="center"/>
          </w:tcPr>
          <w:p w14:paraId="5C2286B4">
            <w:pPr>
              <w:pStyle w:val="146"/>
              <w:rPr>
                <w:rFonts w:hint="default" w:ascii="Times New Roman" w:hAnsi="Times New Roman" w:eastAsia="宋体" w:cs="Times New Roman"/>
                <w:color w:val="auto"/>
                <w:szCs w:val="24"/>
                <w:highlight w:val="none"/>
              </w:rPr>
            </w:pPr>
          </w:p>
        </w:tc>
        <w:tc>
          <w:tcPr>
            <w:tcW w:w="1842" w:type="dxa"/>
            <w:vAlign w:val="center"/>
          </w:tcPr>
          <w:p w14:paraId="18C6C3F7">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石油类</w:t>
            </w:r>
          </w:p>
        </w:tc>
        <w:tc>
          <w:tcPr>
            <w:tcW w:w="1701" w:type="dxa"/>
            <w:vAlign w:val="center"/>
          </w:tcPr>
          <w:p w14:paraId="49409C5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mg/L</w:t>
            </w:r>
          </w:p>
        </w:tc>
        <w:tc>
          <w:tcPr>
            <w:tcW w:w="1723" w:type="dxa"/>
            <w:vAlign w:val="center"/>
          </w:tcPr>
          <w:p w14:paraId="6AD66904">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0.05</w:t>
            </w:r>
          </w:p>
        </w:tc>
      </w:tr>
    </w:tbl>
    <w:p w14:paraId="46DCC3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（3）地表水</w:t>
      </w:r>
    </w:p>
    <w:p w14:paraId="1B80E2B9">
      <w:pPr>
        <w:pStyle w:val="67"/>
        <w:ind w:firstLine="480"/>
        <w:rPr>
          <w:rFonts w:hint="default" w:ascii="Times New Roman" w:hAnsi="Times New Roman" w:eastAsia="宋体" w:cs="Times New Roman"/>
          <w:color w:val="auto"/>
          <w:highlight w:val="none"/>
        </w:rPr>
      </w:pPr>
      <w:bookmarkStart w:id="149" w:name="_Hlk529882897"/>
      <w:r>
        <w:rPr>
          <w:rFonts w:hint="default" w:ascii="Times New Roman" w:hAnsi="Times New Roman" w:eastAsia="宋体" w:cs="Times New Roman"/>
          <w:color w:val="auto"/>
          <w:highlight w:val="none"/>
        </w:rPr>
        <w:t>本项目所在流域河流</w:t>
      </w:r>
      <w:r>
        <w:rPr>
          <w:rFonts w:hint="default" w:ascii="Times New Roman" w:hAnsi="Times New Roman" w:eastAsia="宋体" w:cs="Times New Roman"/>
          <w:color w:val="auto"/>
          <w:highlight w:val="none"/>
        </w:rPr>
        <w:t>为</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，根据《全国重要江河湖泊水功能区划 （2011-2030 年）》，项目所在区域</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所在一级水功能区名称为逊别拉河逊克县、孙吴县开发利用区，起始断面为平山林场，</w:t>
      </w:r>
      <w:r>
        <w:rPr>
          <w:rFonts w:hint="default" w:ascii="Times New Roman" w:hAnsi="Times New Roman" w:eastAsia="宋体" w:cs="Times New Roman"/>
          <w:color w:val="auto"/>
          <w:highlight w:val="none"/>
        </w:rPr>
        <w:t>终止断面为逊河镇，水质标准为Ⅳ类，执行《地表水环境质量标准》（GB3838-2002）Ⅳ类标准。</w:t>
      </w:r>
    </w:p>
    <w:p w14:paraId="0D14EC1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表2-8-3地表水环境质量标准</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3"/>
        <w:gridCol w:w="1760"/>
        <w:gridCol w:w="1664"/>
        <w:gridCol w:w="995"/>
        <w:gridCol w:w="2914"/>
      </w:tblGrid>
      <w:tr w14:paraId="2E8AAA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restart"/>
            <w:vAlign w:val="center"/>
          </w:tcPr>
          <w:p w14:paraId="24D572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1806" w:type="dxa"/>
            <w:vMerge w:val="restart"/>
            <w:vAlign w:val="center"/>
          </w:tcPr>
          <w:p w14:paraId="2C799B8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标准名称及级（类）别</w:t>
            </w:r>
          </w:p>
        </w:tc>
        <w:tc>
          <w:tcPr>
            <w:tcW w:w="1707" w:type="dxa"/>
            <w:vMerge w:val="restart"/>
            <w:vAlign w:val="center"/>
          </w:tcPr>
          <w:p w14:paraId="42CF3A4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污染因子</w:t>
            </w:r>
          </w:p>
        </w:tc>
        <w:tc>
          <w:tcPr>
            <w:tcW w:w="4013" w:type="dxa"/>
            <w:gridSpan w:val="2"/>
            <w:vAlign w:val="center"/>
          </w:tcPr>
          <w:p w14:paraId="7A2E47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w:t>
            </w:r>
          </w:p>
        </w:tc>
      </w:tr>
      <w:tr w14:paraId="15EF17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5EDCB439">
            <w:pPr>
              <w:pStyle w:val="146"/>
              <w:rPr>
                <w:rFonts w:hint="default" w:ascii="Times New Roman" w:hAnsi="Times New Roman" w:eastAsia="宋体" w:cs="Times New Roman"/>
                <w:color w:val="auto"/>
                <w:highlight w:val="none"/>
              </w:rPr>
            </w:pPr>
          </w:p>
        </w:tc>
        <w:tc>
          <w:tcPr>
            <w:tcW w:w="1806" w:type="dxa"/>
            <w:vMerge w:val="continue"/>
            <w:vAlign w:val="center"/>
          </w:tcPr>
          <w:p w14:paraId="226B4658">
            <w:pPr>
              <w:pStyle w:val="146"/>
              <w:rPr>
                <w:rFonts w:hint="default" w:ascii="Times New Roman" w:hAnsi="Times New Roman" w:eastAsia="宋体" w:cs="Times New Roman"/>
                <w:color w:val="auto"/>
                <w:highlight w:val="none"/>
              </w:rPr>
            </w:pPr>
          </w:p>
        </w:tc>
        <w:tc>
          <w:tcPr>
            <w:tcW w:w="1707" w:type="dxa"/>
            <w:vMerge w:val="continue"/>
            <w:vAlign w:val="center"/>
          </w:tcPr>
          <w:p w14:paraId="318C360B">
            <w:pPr>
              <w:pStyle w:val="146"/>
              <w:rPr>
                <w:rFonts w:hint="default" w:ascii="Times New Roman" w:hAnsi="Times New Roman" w:eastAsia="宋体" w:cs="Times New Roman"/>
                <w:color w:val="auto"/>
                <w:highlight w:val="none"/>
              </w:rPr>
            </w:pPr>
          </w:p>
        </w:tc>
        <w:tc>
          <w:tcPr>
            <w:tcW w:w="1018" w:type="dxa"/>
            <w:vAlign w:val="center"/>
          </w:tcPr>
          <w:p w14:paraId="55486D0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2995" w:type="dxa"/>
            <w:vAlign w:val="center"/>
          </w:tcPr>
          <w:p w14:paraId="130E16F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数值</w:t>
            </w:r>
          </w:p>
        </w:tc>
      </w:tr>
      <w:tr w14:paraId="790EF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restart"/>
            <w:vAlign w:val="center"/>
          </w:tcPr>
          <w:p w14:paraId="4926715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w:t>
            </w:r>
          </w:p>
        </w:tc>
        <w:tc>
          <w:tcPr>
            <w:tcW w:w="1806" w:type="dxa"/>
            <w:vMerge w:val="restart"/>
            <w:vAlign w:val="center"/>
          </w:tcPr>
          <w:p w14:paraId="1ED5E92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《地表水环境质量标准》（GB3838-2002）中Ⅳ类标准</w:t>
            </w:r>
          </w:p>
        </w:tc>
        <w:tc>
          <w:tcPr>
            <w:tcW w:w="1707" w:type="dxa"/>
            <w:vAlign w:val="center"/>
          </w:tcPr>
          <w:p w14:paraId="135E101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水温</w:t>
            </w:r>
          </w:p>
        </w:tc>
        <w:tc>
          <w:tcPr>
            <w:tcW w:w="1018" w:type="dxa"/>
            <w:vAlign w:val="center"/>
          </w:tcPr>
          <w:p w14:paraId="4A5732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w:t>
            </w:r>
          </w:p>
        </w:tc>
        <w:tc>
          <w:tcPr>
            <w:tcW w:w="2995" w:type="dxa"/>
            <w:vAlign w:val="center"/>
          </w:tcPr>
          <w:p w14:paraId="6C1A1EE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人为造成的环境水温变化应限制在：周平均最大温升≤1℃周平均最大温降≤2℃</w:t>
            </w:r>
          </w:p>
        </w:tc>
      </w:tr>
      <w:tr w14:paraId="4233A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 w:hRule="atLeast"/>
          <w:jc w:val="center"/>
        </w:trPr>
        <w:tc>
          <w:tcPr>
            <w:tcW w:w="996" w:type="dxa"/>
            <w:vMerge w:val="continue"/>
            <w:vAlign w:val="center"/>
          </w:tcPr>
          <w:p w14:paraId="7D49907C">
            <w:pPr>
              <w:pStyle w:val="146"/>
              <w:rPr>
                <w:rFonts w:hint="default" w:ascii="Times New Roman" w:hAnsi="Times New Roman" w:eastAsia="宋体" w:cs="Times New Roman"/>
                <w:color w:val="auto"/>
                <w:highlight w:val="none"/>
              </w:rPr>
            </w:pPr>
          </w:p>
        </w:tc>
        <w:tc>
          <w:tcPr>
            <w:tcW w:w="1806" w:type="dxa"/>
            <w:vMerge w:val="continue"/>
            <w:vAlign w:val="center"/>
          </w:tcPr>
          <w:p w14:paraId="4A71F050">
            <w:pPr>
              <w:pStyle w:val="146"/>
              <w:rPr>
                <w:rFonts w:hint="default" w:ascii="Times New Roman" w:hAnsi="Times New Roman" w:eastAsia="宋体" w:cs="Times New Roman"/>
                <w:color w:val="auto"/>
                <w:highlight w:val="none"/>
              </w:rPr>
            </w:pPr>
          </w:p>
        </w:tc>
        <w:tc>
          <w:tcPr>
            <w:tcW w:w="1707" w:type="dxa"/>
            <w:vAlign w:val="center"/>
          </w:tcPr>
          <w:p w14:paraId="1F6DDB7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w:t>
            </w:r>
          </w:p>
        </w:tc>
        <w:tc>
          <w:tcPr>
            <w:tcW w:w="1018" w:type="dxa"/>
            <w:vAlign w:val="center"/>
          </w:tcPr>
          <w:p w14:paraId="57B1DD7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无量纲</w:t>
            </w:r>
          </w:p>
        </w:tc>
        <w:tc>
          <w:tcPr>
            <w:tcW w:w="2995" w:type="dxa"/>
            <w:vAlign w:val="center"/>
          </w:tcPr>
          <w:p w14:paraId="71E97DB8">
            <w:pPr>
              <w:spacing w:line="240" w:lineRule="auto"/>
              <w:ind w:firstLine="0" w:firstLineChars="0"/>
              <w:jc w:val="center"/>
              <w:rPr>
                <w:rFonts w:hint="default" w:ascii="Times New Roman" w:hAnsi="Times New Roman" w:eastAsia="宋体" w:cs="Times New Roman"/>
                <w:snapToGrid w:val="0"/>
                <w:color w:val="auto"/>
                <w:sz w:val="21"/>
                <w:highlight w:val="none"/>
                <w:lang w:val="zh-CN"/>
              </w:rPr>
            </w:pPr>
            <w:r>
              <w:rPr>
                <w:rFonts w:hint="default" w:ascii="Times New Roman" w:hAnsi="Times New Roman" w:eastAsia="宋体" w:cs="Times New Roman"/>
                <w:snapToGrid w:val="0"/>
                <w:color w:val="auto"/>
                <w:sz w:val="21"/>
                <w:szCs w:val="21"/>
                <w:highlight w:val="none"/>
              </w:rPr>
              <w:t>6~9</w:t>
            </w:r>
          </w:p>
        </w:tc>
      </w:tr>
      <w:tr w14:paraId="7AA29A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0" w:hRule="atLeast"/>
          <w:jc w:val="center"/>
        </w:trPr>
        <w:tc>
          <w:tcPr>
            <w:tcW w:w="996" w:type="dxa"/>
            <w:vMerge w:val="continue"/>
            <w:vAlign w:val="center"/>
          </w:tcPr>
          <w:p w14:paraId="4069C367">
            <w:pPr>
              <w:pStyle w:val="146"/>
              <w:rPr>
                <w:rFonts w:hint="default" w:ascii="Times New Roman" w:hAnsi="Times New Roman" w:eastAsia="宋体" w:cs="Times New Roman"/>
                <w:color w:val="auto"/>
                <w:highlight w:val="none"/>
              </w:rPr>
            </w:pPr>
          </w:p>
        </w:tc>
        <w:tc>
          <w:tcPr>
            <w:tcW w:w="1806" w:type="dxa"/>
            <w:vMerge w:val="continue"/>
            <w:vAlign w:val="center"/>
          </w:tcPr>
          <w:p w14:paraId="7CCC20C4">
            <w:pPr>
              <w:pStyle w:val="146"/>
              <w:rPr>
                <w:rFonts w:hint="default" w:ascii="Times New Roman" w:hAnsi="Times New Roman" w:eastAsia="宋体" w:cs="Times New Roman"/>
                <w:color w:val="auto"/>
                <w:highlight w:val="none"/>
              </w:rPr>
            </w:pPr>
          </w:p>
        </w:tc>
        <w:tc>
          <w:tcPr>
            <w:tcW w:w="1707" w:type="dxa"/>
            <w:vAlign w:val="center"/>
          </w:tcPr>
          <w:p w14:paraId="368099E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溶解氧</w:t>
            </w:r>
          </w:p>
        </w:tc>
        <w:tc>
          <w:tcPr>
            <w:tcW w:w="1018" w:type="dxa"/>
            <w:vMerge w:val="restart"/>
            <w:vAlign w:val="center"/>
          </w:tcPr>
          <w:p w14:paraId="192651E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mg/L</w:t>
            </w:r>
          </w:p>
        </w:tc>
        <w:tc>
          <w:tcPr>
            <w:tcW w:w="2995" w:type="dxa"/>
            <w:vAlign w:val="center"/>
          </w:tcPr>
          <w:p w14:paraId="26CC3DD6">
            <w:pPr>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lang w:val="en-US" w:eastAsia="zh-CN"/>
              </w:rPr>
              <w:t>3</w:t>
            </w:r>
          </w:p>
        </w:tc>
      </w:tr>
      <w:tr w14:paraId="3EE41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08E13CF5">
            <w:pPr>
              <w:pStyle w:val="146"/>
              <w:rPr>
                <w:rFonts w:hint="default" w:ascii="Times New Roman" w:hAnsi="Times New Roman" w:eastAsia="宋体" w:cs="Times New Roman"/>
                <w:color w:val="auto"/>
                <w:highlight w:val="none"/>
              </w:rPr>
            </w:pPr>
          </w:p>
        </w:tc>
        <w:tc>
          <w:tcPr>
            <w:tcW w:w="1806" w:type="dxa"/>
            <w:vMerge w:val="continue"/>
            <w:vAlign w:val="center"/>
          </w:tcPr>
          <w:p w14:paraId="03101022">
            <w:pPr>
              <w:pStyle w:val="146"/>
              <w:rPr>
                <w:rFonts w:hint="default" w:ascii="Times New Roman" w:hAnsi="Times New Roman" w:eastAsia="宋体" w:cs="Times New Roman"/>
                <w:color w:val="auto"/>
                <w:highlight w:val="none"/>
              </w:rPr>
            </w:pPr>
          </w:p>
        </w:tc>
        <w:tc>
          <w:tcPr>
            <w:tcW w:w="1707" w:type="dxa"/>
            <w:vAlign w:val="center"/>
          </w:tcPr>
          <w:p w14:paraId="5916D0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高锰酸盐指数</w:t>
            </w:r>
          </w:p>
        </w:tc>
        <w:tc>
          <w:tcPr>
            <w:tcW w:w="1018" w:type="dxa"/>
            <w:vMerge w:val="continue"/>
            <w:vAlign w:val="center"/>
          </w:tcPr>
          <w:p w14:paraId="10D9C743">
            <w:pPr>
              <w:pStyle w:val="146"/>
              <w:rPr>
                <w:rFonts w:hint="default" w:ascii="Times New Roman" w:hAnsi="Times New Roman" w:eastAsia="宋体" w:cs="Times New Roman"/>
                <w:color w:val="auto"/>
                <w:highlight w:val="none"/>
              </w:rPr>
            </w:pPr>
          </w:p>
        </w:tc>
        <w:tc>
          <w:tcPr>
            <w:tcW w:w="2995" w:type="dxa"/>
            <w:vAlign w:val="center"/>
          </w:tcPr>
          <w:p w14:paraId="794D01CE">
            <w:pPr>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lang w:val="en-US" w:eastAsia="zh-CN"/>
              </w:rPr>
              <w:t>10</w:t>
            </w:r>
          </w:p>
        </w:tc>
      </w:tr>
      <w:tr w14:paraId="1E00E7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7A27C814">
            <w:pPr>
              <w:pStyle w:val="146"/>
              <w:rPr>
                <w:rFonts w:hint="default" w:ascii="Times New Roman" w:hAnsi="Times New Roman" w:eastAsia="宋体" w:cs="Times New Roman"/>
                <w:color w:val="auto"/>
                <w:highlight w:val="none"/>
              </w:rPr>
            </w:pPr>
          </w:p>
        </w:tc>
        <w:tc>
          <w:tcPr>
            <w:tcW w:w="1806" w:type="dxa"/>
            <w:vMerge w:val="continue"/>
            <w:vAlign w:val="center"/>
          </w:tcPr>
          <w:p w14:paraId="79E19E29">
            <w:pPr>
              <w:pStyle w:val="146"/>
              <w:rPr>
                <w:rFonts w:hint="default" w:ascii="Times New Roman" w:hAnsi="Times New Roman" w:eastAsia="宋体" w:cs="Times New Roman"/>
                <w:color w:val="auto"/>
                <w:highlight w:val="none"/>
              </w:rPr>
            </w:pPr>
          </w:p>
        </w:tc>
        <w:tc>
          <w:tcPr>
            <w:tcW w:w="1707" w:type="dxa"/>
            <w:vAlign w:val="center"/>
          </w:tcPr>
          <w:p w14:paraId="555685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化学需氧量</w:t>
            </w:r>
          </w:p>
        </w:tc>
        <w:tc>
          <w:tcPr>
            <w:tcW w:w="1018" w:type="dxa"/>
            <w:vMerge w:val="continue"/>
            <w:vAlign w:val="center"/>
          </w:tcPr>
          <w:p w14:paraId="6F5BEA9C">
            <w:pPr>
              <w:pStyle w:val="146"/>
              <w:rPr>
                <w:rFonts w:hint="default" w:ascii="Times New Roman" w:hAnsi="Times New Roman" w:eastAsia="宋体" w:cs="Times New Roman"/>
                <w:color w:val="auto"/>
                <w:highlight w:val="none"/>
              </w:rPr>
            </w:pPr>
          </w:p>
        </w:tc>
        <w:tc>
          <w:tcPr>
            <w:tcW w:w="2995" w:type="dxa"/>
            <w:vAlign w:val="center"/>
          </w:tcPr>
          <w:p w14:paraId="0A9C3BDF">
            <w:pPr>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lang w:val="en-US" w:eastAsia="zh-CN"/>
              </w:rPr>
              <w:t>30</w:t>
            </w:r>
          </w:p>
        </w:tc>
      </w:tr>
      <w:tr w14:paraId="21AB3F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6EEB93C1">
            <w:pPr>
              <w:pStyle w:val="146"/>
              <w:rPr>
                <w:rFonts w:hint="default" w:ascii="Times New Roman" w:hAnsi="Times New Roman" w:eastAsia="宋体" w:cs="Times New Roman"/>
                <w:color w:val="auto"/>
                <w:highlight w:val="none"/>
              </w:rPr>
            </w:pPr>
          </w:p>
        </w:tc>
        <w:tc>
          <w:tcPr>
            <w:tcW w:w="1806" w:type="dxa"/>
            <w:vMerge w:val="continue"/>
            <w:vAlign w:val="center"/>
          </w:tcPr>
          <w:p w14:paraId="2977A610">
            <w:pPr>
              <w:pStyle w:val="146"/>
              <w:rPr>
                <w:rFonts w:hint="default" w:ascii="Times New Roman" w:hAnsi="Times New Roman" w:eastAsia="宋体" w:cs="Times New Roman"/>
                <w:color w:val="auto"/>
                <w:highlight w:val="none"/>
              </w:rPr>
            </w:pPr>
          </w:p>
        </w:tc>
        <w:tc>
          <w:tcPr>
            <w:tcW w:w="1707" w:type="dxa"/>
            <w:vAlign w:val="center"/>
          </w:tcPr>
          <w:p w14:paraId="6C4200D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五日生化需氧量</w:t>
            </w:r>
          </w:p>
        </w:tc>
        <w:tc>
          <w:tcPr>
            <w:tcW w:w="1018" w:type="dxa"/>
            <w:vMerge w:val="continue"/>
            <w:vAlign w:val="center"/>
          </w:tcPr>
          <w:p w14:paraId="1A640F50">
            <w:pPr>
              <w:pStyle w:val="146"/>
              <w:rPr>
                <w:rFonts w:hint="default" w:ascii="Times New Roman" w:hAnsi="Times New Roman" w:eastAsia="宋体" w:cs="Times New Roman"/>
                <w:color w:val="auto"/>
                <w:highlight w:val="none"/>
              </w:rPr>
            </w:pPr>
          </w:p>
        </w:tc>
        <w:tc>
          <w:tcPr>
            <w:tcW w:w="2995" w:type="dxa"/>
            <w:vAlign w:val="center"/>
          </w:tcPr>
          <w:p w14:paraId="473D826C">
            <w:pPr>
              <w:spacing w:line="240" w:lineRule="auto"/>
              <w:ind w:firstLine="0" w:firstLineChars="0"/>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lang w:val="en-US" w:eastAsia="zh-CN"/>
              </w:rPr>
              <w:t>6</w:t>
            </w:r>
          </w:p>
        </w:tc>
      </w:tr>
      <w:tr w14:paraId="71687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7811B095">
            <w:pPr>
              <w:pStyle w:val="146"/>
              <w:rPr>
                <w:rFonts w:hint="default" w:ascii="Times New Roman" w:hAnsi="Times New Roman" w:eastAsia="宋体" w:cs="Times New Roman"/>
                <w:color w:val="auto"/>
                <w:highlight w:val="none"/>
              </w:rPr>
            </w:pPr>
          </w:p>
        </w:tc>
        <w:tc>
          <w:tcPr>
            <w:tcW w:w="1806" w:type="dxa"/>
            <w:vMerge w:val="continue"/>
            <w:vAlign w:val="center"/>
          </w:tcPr>
          <w:p w14:paraId="6E4650A7">
            <w:pPr>
              <w:pStyle w:val="146"/>
              <w:rPr>
                <w:rFonts w:hint="default" w:ascii="Times New Roman" w:hAnsi="Times New Roman" w:eastAsia="宋体" w:cs="Times New Roman"/>
                <w:color w:val="auto"/>
                <w:highlight w:val="none"/>
              </w:rPr>
            </w:pPr>
          </w:p>
        </w:tc>
        <w:tc>
          <w:tcPr>
            <w:tcW w:w="1707" w:type="dxa"/>
            <w:vAlign w:val="center"/>
          </w:tcPr>
          <w:p w14:paraId="367456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018" w:type="dxa"/>
            <w:vMerge w:val="continue"/>
            <w:vAlign w:val="center"/>
          </w:tcPr>
          <w:p w14:paraId="7777DF3E">
            <w:pPr>
              <w:pStyle w:val="146"/>
              <w:rPr>
                <w:rFonts w:hint="default" w:ascii="Times New Roman" w:hAnsi="Times New Roman" w:eastAsia="宋体" w:cs="Times New Roman"/>
                <w:color w:val="auto"/>
                <w:highlight w:val="none"/>
              </w:rPr>
            </w:pPr>
          </w:p>
        </w:tc>
        <w:tc>
          <w:tcPr>
            <w:tcW w:w="2995" w:type="dxa"/>
            <w:vAlign w:val="center"/>
          </w:tcPr>
          <w:p w14:paraId="0A44123A">
            <w:pPr>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≤1.</w:t>
            </w:r>
            <w:r>
              <w:rPr>
                <w:rFonts w:hint="default" w:ascii="Times New Roman" w:hAnsi="Times New Roman" w:cs="Times New Roman"/>
                <w:snapToGrid w:val="0"/>
                <w:color w:val="auto"/>
                <w:sz w:val="21"/>
                <w:szCs w:val="21"/>
                <w:highlight w:val="none"/>
                <w:lang w:val="en-US" w:eastAsia="zh-CN"/>
              </w:rPr>
              <w:t>5</w:t>
            </w:r>
          </w:p>
        </w:tc>
      </w:tr>
      <w:tr w14:paraId="3E701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78EB50DC">
            <w:pPr>
              <w:pStyle w:val="146"/>
              <w:rPr>
                <w:rFonts w:hint="default" w:ascii="Times New Roman" w:hAnsi="Times New Roman" w:eastAsia="宋体" w:cs="Times New Roman"/>
                <w:color w:val="auto"/>
                <w:highlight w:val="none"/>
              </w:rPr>
            </w:pPr>
          </w:p>
        </w:tc>
        <w:tc>
          <w:tcPr>
            <w:tcW w:w="1806" w:type="dxa"/>
            <w:vMerge w:val="continue"/>
            <w:vAlign w:val="center"/>
          </w:tcPr>
          <w:p w14:paraId="45BC0A81">
            <w:pPr>
              <w:pStyle w:val="146"/>
              <w:rPr>
                <w:rFonts w:hint="default" w:ascii="Times New Roman" w:hAnsi="Times New Roman" w:eastAsia="宋体" w:cs="Times New Roman"/>
                <w:color w:val="auto"/>
                <w:highlight w:val="none"/>
              </w:rPr>
            </w:pPr>
          </w:p>
        </w:tc>
        <w:tc>
          <w:tcPr>
            <w:tcW w:w="1707" w:type="dxa"/>
            <w:vAlign w:val="center"/>
          </w:tcPr>
          <w:p w14:paraId="3AD7B25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总磷</w:t>
            </w:r>
          </w:p>
        </w:tc>
        <w:tc>
          <w:tcPr>
            <w:tcW w:w="1018" w:type="dxa"/>
            <w:vMerge w:val="continue"/>
            <w:vAlign w:val="center"/>
          </w:tcPr>
          <w:p w14:paraId="5392A8D9">
            <w:pPr>
              <w:pStyle w:val="146"/>
              <w:rPr>
                <w:rFonts w:hint="default" w:ascii="Times New Roman" w:hAnsi="Times New Roman" w:eastAsia="宋体" w:cs="Times New Roman"/>
                <w:color w:val="auto"/>
                <w:highlight w:val="none"/>
              </w:rPr>
            </w:pPr>
          </w:p>
        </w:tc>
        <w:tc>
          <w:tcPr>
            <w:tcW w:w="2995" w:type="dxa"/>
            <w:vAlign w:val="center"/>
          </w:tcPr>
          <w:p w14:paraId="2AEFB1DA">
            <w:pPr>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≤0.</w:t>
            </w:r>
            <w:r>
              <w:rPr>
                <w:rFonts w:hint="default" w:ascii="Times New Roman" w:hAnsi="Times New Roman" w:cs="Times New Roman"/>
                <w:snapToGrid w:val="0"/>
                <w:color w:val="auto"/>
                <w:sz w:val="21"/>
                <w:szCs w:val="21"/>
                <w:highlight w:val="none"/>
                <w:lang w:val="en-US" w:eastAsia="zh-CN"/>
              </w:rPr>
              <w:t>3</w:t>
            </w:r>
          </w:p>
        </w:tc>
      </w:tr>
      <w:tr w14:paraId="604E4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2DA76420">
            <w:pPr>
              <w:pStyle w:val="146"/>
              <w:rPr>
                <w:rFonts w:hint="default" w:ascii="Times New Roman" w:hAnsi="Times New Roman" w:eastAsia="宋体" w:cs="Times New Roman"/>
                <w:color w:val="auto"/>
                <w:highlight w:val="none"/>
              </w:rPr>
            </w:pPr>
          </w:p>
        </w:tc>
        <w:tc>
          <w:tcPr>
            <w:tcW w:w="1806" w:type="dxa"/>
            <w:vMerge w:val="continue"/>
            <w:vAlign w:val="center"/>
          </w:tcPr>
          <w:p w14:paraId="51FEF44B">
            <w:pPr>
              <w:pStyle w:val="146"/>
              <w:rPr>
                <w:rFonts w:hint="default" w:ascii="Times New Roman" w:hAnsi="Times New Roman" w:eastAsia="宋体" w:cs="Times New Roman"/>
                <w:color w:val="auto"/>
                <w:highlight w:val="none"/>
              </w:rPr>
            </w:pPr>
          </w:p>
        </w:tc>
        <w:tc>
          <w:tcPr>
            <w:tcW w:w="1707" w:type="dxa"/>
            <w:vAlign w:val="center"/>
          </w:tcPr>
          <w:p w14:paraId="7E1BC6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总氮</w:t>
            </w:r>
          </w:p>
        </w:tc>
        <w:tc>
          <w:tcPr>
            <w:tcW w:w="1018" w:type="dxa"/>
            <w:vMerge w:val="continue"/>
            <w:vAlign w:val="center"/>
          </w:tcPr>
          <w:p w14:paraId="3C008409">
            <w:pPr>
              <w:pStyle w:val="146"/>
              <w:rPr>
                <w:rFonts w:hint="default" w:ascii="Times New Roman" w:hAnsi="Times New Roman" w:eastAsia="宋体" w:cs="Times New Roman"/>
                <w:color w:val="auto"/>
                <w:highlight w:val="none"/>
              </w:rPr>
            </w:pPr>
          </w:p>
        </w:tc>
        <w:tc>
          <w:tcPr>
            <w:tcW w:w="2995" w:type="dxa"/>
            <w:vAlign w:val="center"/>
          </w:tcPr>
          <w:p w14:paraId="258650F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highlight w:val="none"/>
              </w:rPr>
              <w:t>≤1.</w:t>
            </w:r>
            <w:r>
              <w:rPr>
                <w:rFonts w:hint="default" w:ascii="Times New Roman" w:hAnsi="Times New Roman" w:eastAsia="宋体" w:cs="Times New Roman"/>
                <w:snapToGrid w:val="0"/>
                <w:color w:val="auto"/>
                <w:highlight w:val="none"/>
                <w:lang w:val="en-US" w:eastAsia="zh-CN"/>
              </w:rPr>
              <w:t>5</w:t>
            </w:r>
          </w:p>
        </w:tc>
      </w:tr>
      <w:tr w14:paraId="7F0517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96" w:type="dxa"/>
            <w:vMerge w:val="continue"/>
            <w:vAlign w:val="center"/>
          </w:tcPr>
          <w:p w14:paraId="06F946A5">
            <w:pPr>
              <w:pStyle w:val="146"/>
              <w:rPr>
                <w:rFonts w:hint="default" w:ascii="Times New Roman" w:hAnsi="Times New Roman" w:eastAsia="宋体" w:cs="Times New Roman"/>
                <w:color w:val="auto"/>
                <w:highlight w:val="none"/>
              </w:rPr>
            </w:pPr>
          </w:p>
        </w:tc>
        <w:tc>
          <w:tcPr>
            <w:tcW w:w="1806" w:type="dxa"/>
            <w:vMerge w:val="continue"/>
            <w:vAlign w:val="center"/>
          </w:tcPr>
          <w:p w14:paraId="560227A3">
            <w:pPr>
              <w:pStyle w:val="146"/>
              <w:rPr>
                <w:rFonts w:hint="default" w:ascii="Times New Roman" w:hAnsi="Times New Roman" w:eastAsia="宋体" w:cs="Times New Roman"/>
                <w:color w:val="auto"/>
                <w:highlight w:val="none"/>
              </w:rPr>
            </w:pPr>
          </w:p>
        </w:tc>
        <w:tc>
          <w:tcPr>
            <w:tcW w:w="1707" w:type="dxa"/>
            <w:vAlign w:val="center"/>
          </w:tcPr>
          <w:p w14:paraId="260DCD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粪大肠菌群</w:t>
            </w:r>
          </w:p>
        </w:tc>
        <w:tc>
          <w:tcPr>
            <w:tcW w:w="1018" w:type="dxa"/>
            <w:vAlign w:val="center"/>
          </w:tcPr>
          <w:p w14:paraId="5EA93C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个/L</w:t>
            </w:r>
          </w:p>
        </w:tc>
        <w:tc>
          <w:tcPr>
            <w:tcW w:w="2995" w:type="dxa"/>
            <w:vAlign w:val="center"/>
          </w:tcPr>
          <w:p w14:paraId="1942E58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0000</w:t>
            </w:r>
          </w:p>
        </w:tc>
      </w:tr>
      <w:bookmarkEnd w:id="149"/>
    </w:tbl>
    <w:p w14:paraId="43DA5F7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（3）声环境</w:t>
      </w:r>
    </w:p>
    <w:p w14:paraId="5F215A45">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根据《声环境功能区划分技术规范》（GB/T15190-2014），项目所在周边区域噪声主要污染源为农村生活噪声，因此本项目</w:t>
      </w:r>
      <w:r>
        <w:rPr>
          <w:rFonts w:hint="default" w:ascii="Times New Roman" w:hAnsi="Times New Roman" w:eastAsia="宋体" w:cs="Times New Roman"/>
          <w:color w:val="auto"/>
          <w:highlight w:val="none"/>
        </w:rPr>
        <w:t>所在区域声环境执行《声环境质量标准》（GB3096-2008）中的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类标准。</w:t>
      </w:r>
    </w:p>
    <w:p w14:paraId="1891F08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表2-8-4声环境质量标准</w:t>
      </w:r>
    </w:p>
    <w:tbl>
      <w:tblPr>
        <w:tblStyle w:val="47"/>
        <w:tblW w:w="52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71"/>
        <w:gridCol w:w="2826"/>
        <w:gridCol w:w="3950"/>
      </w:tblGrid>
      <w:tr w14:paraId="74C9E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vMerge w:val="restart"/>
            <w:vAlign w:val="center"/>
          </w:tcPr>
          <w:p w14:paraId="7091433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3918" w:type="pct"/>
            <w:gridSpan w:val="2"/>
            <w:vAlign w:val="center"/>
          </w:tcPr>
          <w:p w14:paraId="0F8DAB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标准限值dB（A）</w:t>
            </w:r>
          </w:p>
        </w:tc>
      </w:tr>
      <w:tr w14:paraId="38AD7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vMerge w:val="continue"/>
            <w:vAlign w:val="center"/>
          </w:tcPr>
          <w:p w14:paraId="2EB437E7">
            <w:pPr>
              <w:pStyle w:val="146"/>
              <w:rPr>
                <w:rFonts w:hint="default" w:ascii="Times New Roman" w:hAnsi="Times New Roman" w:eastAsia="宋体" w:cs="Times New Roman"/>
                <w:color w:val="auto"/>
                <w:highlight w:val="none"/>
              </w:rPr>
            </w:pPr>
          </w:p>
        </w:tc>
        <w:tc>
          <w:tcPr>
            <w:tcW w:w="1634" w:type="pct"/>
            <w:vAlign w:val="center"/>
          </w:tcPr>
          <w:p w14:paraId="7646371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2284" w:type="pct"/>
            <w:vAlign w:val="center"/>
          </w:tcPr>
          <w:p w14:paraId="54EF3C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14:paraId="54891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82" w:type="pct"/>
            <w:vAlign w:val="center"/>
          </w:tcPr>
          <w:p w14:paraId="02BA8C5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w:t>
            </w:r>
          </w:p>
        </w:tc>
        <w:tc>
          <w:tcPr>
            <w:tcW w:w="1634" w:type="pct"/>
            <w:vAlign w:val="center"/>
          </w:tcPr>
          <w:p w14:paraId="6515038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284" w:type="pct"/>
            <w:vAlign w:val="center"/>
          </w:tcPr>
          <w:p w14:paraId="0D0FE0F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r>
    </w:tbl>
    <w:p w14:paraId="4F34EC6B">
      <w:pPr>
        <w:pStyle w:val="67"/>
        <w:ind w:firstLine="480"/>
        <w:rPr>
          <w:rFonts w:hint="default" w:ascii="Times New Roman" w:hAnsi="Times New Roman" w:eastAsia="宋体" w:cs="Times New Roman"/>
          <w:color w:val="auto"/>
          <w:highlight w:val="none"/>
        </w:rPr>
      </w:pPr>
      <w:bookmarkStart w:id="150" w:name="_Toc524431298"/>
      <w:r>
        <w:rPr>
          <w:rFonts w:hint="default" w:ascii="Times New Roman" w:hAnsi="Times New Roman" w:eastAsia="宋体" w:cs="Times New Roman"/>
          <w:color w:val="auto"/>
          <w:highlight w:val="none"/>
        </w:rPr>
        <w:t>（4）土壤环境</w:t>
      </w:r>
    </w:p>
    <w:p w14:paraId="464B9DFB">
      <w:pPr>
        <w:pStyle w:val="67"/>
        <w:ind w:firstLine="480"/>
        <w:rPr>
          <w:rFonts w:hint="default" w:ascii="Times New Roman" w:hAnsi="Times New Roman" w:cs="Times New Roman"/>
          <w:color w:val="auto"/>
          <w:highlight w:val="none"/>
          <w:lang w:val="en-US"/>
        </w:rPr>
      </w:pPr>
      <w:r>
        <w:rPr>
          <w:rFonts w:hint="default" w:ascii="Times New Roman" w:hAnsi="Times New Roman" w:eastAsia="宋体" w:cs="Times New Roman"/>
          <w:color w:val="auto"/>
          <w:highlight w:val="none"/>
        </w:rPr>
        <w:t>本项目</w:t>
      </w:r>
      <w:bookmarkStart w:id="151" w:name="_Hlk44596289"/>
      <w:r>
        <w:rPr>
          <w:rFonts w:hint="default" w:ascii="Times New Roman" w:hAnsi="Times New Roman" w:eastAsia="宋体" w:cs="Times New Roman"/>
          <w:color w:val="auto"/>
          <w:highlight w:val="none"/>
        </w:rPr>
        <w:t>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，西侧为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北侧</w:t>
      </w:r>
      <w:r>
        <w:rPr>
          <w:rFonts w:hint="default" w:ascii="Times New Roman" w:hAnsi="Times New Roman" w:eastAsia="宋体" w:cs="Times New Roman"/>
          <w:color w:val="auto"/>
          <w:highlight w:val="none"/>
        </w:rPr>
        <w:t>隔路为</w:t>
      </w:r>
      <w:r>
        <w:rPr>
          <w:rFonts w:hint="default" w:ascii="Times New Roman" w:hAnsi="Times New Roman" w:eastAsia="宋体" w:cs="Times New Roman"/>
          <w:color w:val="auto"/>
          <w:highlight w:val="none"/>
          <w:lang w:val="en-US" w:eastAsia="zh-CN"/>
        </w:rPr>
        <w:t>沙棘地，</w:t>
      </w:r>
      <w:r>
        <w:rPr>
          <w:rFonts w:hint="default" w:ascii="Times New Roman" w:hAnsi="Times New Roman" w:eastAsia="宋体" w:cs="Times New Roman"/>
          <w:color w:val="auto"/>
          <w:highlight w:val="none"/>
        </w:rPr>
        <w:t>东侧为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，南侧为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。项目</w:t>
      </w:r>
      <w:r>
        <w:rPr>
          <w:rFonts w:hint="eastAsia" w:ascii="Times New Roman" w:hAnsi="Times New Roman" w:eastAsia="宋体" w:cs="Times New Roman"/>
          <w:color w:val="auto"/>
          <w:highlight w:val="none"/>
          <w:lang w:val="en-US" w:eastAsia="zh-CN"/>
        </w:rPr>
        <w:t>占地范围内</w:t>
      </w:r>
      <w:r>
        <w:rPr>
          <w:rFonts w:hint="default" w:ascii="Times New Roman" w:hAnsi="Times New Roman" w:eastAsia="宋体" w:cs="Times New Roman"/>
          <w:color w:val="auto"/>
          <w:highlight w:val="none"/>
        </w:rPr>
        <w:t>土壤环境执行《土壤环境质量 建设用地土壤污染风险管控标准（试行）》（GB36680-2018）第二类用地风险筛选值。</w:t>
      </w:r>
      <w:r>
        <w:rPr>
          <w:rFonts w:hint="eastAsia" w:ascii="Times New Roman" w:hAnsi="Times New Roman" w:eastAsia="宋体" w:cs="Times New Roman"/>
          <w:color w:val="auto"/>
          <w:highlight w:val="none"/>
          <w:lang w:val="en-US" w:eastAsia="zh-CN"/>
        </w:rPr>
        <w:t>占地范围外</w:t>
      </w:r>
      <w:r>
        <w:rPr>
          <w:rFonts w:hint="default" w:ascii="Times New Roman" w:hAnsi="Times New Roman" w:eastAsia="宋体" w:cs="Times New Roman"/>
          <w:color w:val="auto"/>
          <w:highlight w:val="none"/>
        </w:rPr>
        <w:t>土壤环境执行《土壤环境质量 农用地土壤污染风险管控标准（试行）》（GB15618-2018）表1其他农用地风险筛选值。</w:t>
      </w:r>
      <w:r>
        <w:rPr>
          <w:rFonts w:hint="default" w:ascii="Times New Roman" w:hAnsi="Times New Roman" w:eastAsia="宋体" w:cs="Times New Roman"/>
          <w:color w:val="auto"/>
          <w:highlight w:val="none"/>
          <w:lang w:val="en-US" w:eastAsia="zh-CN"/>
        </w:rPr>
        <w:t>参照执行</w:t>
      </w:r>
      <w:r>
        <w:rPr>
          <w:rFonts w:hint="default" w:ascii="Times New Roman" w:hAnsi="Times New Roman" w:eastAsia="宋体" w:cs="Times New Roman"/>
          <w:color w:val="auto"/>
          <w:highlight w:val="none"/>
        </w:rPr>
        <w:t>《畜禽养殖产地环境评价规范》（HJ568-2010）表4中</w:t>
      </w:r>
      <w:r>
        <w:rPr>
          <w:rFonts w:hint="default" w:ascii="Times New Roman" w:hAnsi="Times New Roman" w:eastAsia="宋体" w:cs="Times New Roman"/>
          <w:color w:val="auto"/>
          <w:highlight w:val="none"/>
          <w:lang w:val="en-US" w:eastAsia="zh-CN"/>
        </w:rPr>
        <w:t>养殖场、养殖小区评价指标限值</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详见下表。</w:t>
      </w:r>
    </w:p>
    <w:bookmarkEnd w:id="151"/>
    <w:p w14:paraId="4AE57E2C">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表2-8-5土壤环境质量标准</w:t>
      </w:r>
    </w:p>
    <w:bookmarkEnd w:id="148"/>
    <w:tbl>
      <w:tblPr>
        <w:tblStyle w:val="4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905"/>
        <w:gridCol w:w="1405"/>
        <w:gridCol w:w="1363"/>
        <w:gridCol w:w="1376"/>
        <w:gridCol w:w="1235"/>
        <w:gridCol w:w="1201"/>
      </w:tblGrid>
      <w:tr w14:paraId="1415BF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7"/>
            <w:noWrap w:val="0"/>
            <w:vAlign w:val="center"/>
          </w:tcPr>
          <w:p w14:paraId="64A33868">
            <w:pPr>
              <w:pStyle w:val="146"/>
              <w:bidi w:val="0"/>
              <w:rPr>
                <w:rFonts w:hint="default" w:ascii="Times New Roman" w:hAnsi="Times New Roman" w:eastAsia="宋体" w:cs="Times New Roman"/>
                <w:color w:val="auto"/>
                <w:highlight w:val="none"/>
              </w:rPr>
            </w:pPr>
            <w:bookmarkStart w:id="152" w:name="_Toc57713629"/>
            <w:r>
              <w:rPr>
                <w:rFonts w:hint="default" w:ascii="Times New Roman" w:hAnsi="Times New Roman" w:eastAsia="宋体" w:cs="Times New Roman"/>
                <w:color w:val="auto"/>
                <w:highlight w:val="none"/>
              </w:rPr>
              <w:t>《土壤环境质量 建设用地土壤污染风险管控标准（试行）》（GB36600-2018）</w:t>
            </w:r>
          </w:p>
        </w:tc>
      </w:tr>
      <w:tr w14:paraId="575FB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vMerge w:val="restart"/>
            <w:noWrap w:val="0"/>
            <w:vAlign w:val="center"/>
          </w:tcPr>
          <w:p w14:paraId="472B2DF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667" w:type="pct"/>
            <w:gridSpan w:val="2"/>
            <w:vMerge w:val="restart"/>
            <w:noWrap w:val="0"/>
            <w:vAlign w:val="center"/>
          </w:tcPr>
          <w:p w14:paraId="4FDE324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污染物项目</w:t>
            </w:r>
          </w:p>
        </w:tc>
        <w:tc>
          <w:tcPr>
            <w:tcW w:w="1572" w:type="pct"/>
            <w:gridSpan w:val="2"/>
            <w:noWrap w:val="0"/>
            <w:vAlign w:val="center"/>
          </w:tcPr>
          <w:p w14:paraId="646396E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第二类用地</w:t>
            </w:r>
          </w:p>
        </w:tc>
        <w:tc>
          <w:tcPr>
            <w:tcW w:w="723" w:type="pct"/>
            <w:vMerge w:val="restart"/>
            <w:noWrap w:val="0"/>
            <w:vAlign w:val="center"/>
          </w:tcPr>
          <w:p w14:paraId="33B43431">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单位</w:t>
            </w:r>
          </w:p>
        </w:tc>
      </w:tr>
      <w:tr w14:paraId="445D7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vMerge w:val="continue"/>
            <w:noWrap w:val="0"/>
            <w:vAlign w:val="center"/>
          </w:tcPr>
          <w:p w14:paraId="40574373">
            <w:pPr>
              <w:pStyle w:val="146"/>
              <w:bidi w:val="0"/>
              <w:rPr>
                <w:rFonts w:hint="default" w:ascii="Times New Roman" w:hAnsi="Times New Roman" w:eastAsia="宋体" w:cs="Times New Roman"/>
                <w:color w:val="auto"/>
                <w:highlight w:val="none"/>
              </w:rPr>
            </w:pPr>
          </w:p>
        </w:tc>
        <w:tc>
          <w:tcPr>
            <w:tcW w:w="1667" w:type="pct"/>
            <w:gridSpan w:val="2"/>
            <w:vMerge w:val="continue"/>
            <w:noWrap w:val="0"/>
            <w:vAlign w:val="center"/>
          </w:tcPr>
          <w:p w14:paraId="73FF15B9">
            <w:pPr>
              <w:pStyle w:val="146"/>
              <w:bidi w:val="0"/>
              <w:rPr>
                <w:rFonts w:hint="default" w:ascii="Times New Roman" w:hAnsi="Times New Roman" w:eastAsia="宋体" w:cs="Times New Roman"/>
                <w:color w:val="auto"/>
                <w:highlight w:val="none"/>
              </w:rPr>
            </w:pPr>
          </w:p>
        </w:tc>
        <w:tc>
          <w:tcPr>
            <w:tcW w:w="1572" w:type="pct"/>
            <w:gridSpan w:val="2"/>
            <w:noWrap w:val="0"/>
            <w:vAlign w:val="center"/>
          </w:tcPr>
          <w:p w14:paraId="5400358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筛选值</w:t>
            </w:r>
          </w:p>
        </w:tc>
        <w:tc>
          <w:tcPr>
            <w:tcW w:w="723" w:type="pct"/>
            <w:vMerge w:val="continue"/>
            <w:noWrap w:val="0"/>
            <w:vAlign w:val="center"/>
          </w:tcPr>
          <w:p w14:paraId="7D5C1E72">
            <w:pPr>
              <w:pStyle w:val="146"/>
              <w:bidi w:val="0"/>
              <w:rPr>
                <w:rFonts w:hint="default" w:ascii="Times New Roman" w:hAnsi="Times New Roman" w:eastAsia="宋体" w:cs="Times New Roman"/>
                <w:color w:val="auto"/>
                <w:highlight w:val="none"/>
              </w:rPr>
            </w:pPr>
          </w:p>
        </w:tc>
      </w:tr>
      <w:tr w14:paraId="7366F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4276" w:type="pct"/>
            <w:gridSpan w:val="6"/>
            <w:noWrap w:val="0"/>
            <w:vAlign w:val="center"/>
          </w:tcPr>
          <w:p w14:paraId="4154C6F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重金属和无机物</w:t>
            </w:r>
          </w:p>
        </w:tc>
        <w:tc>
          <w:tcPr>
            <w:tcW w:w="723" w:type="pct"/>
            <w:noWrap w:val="0"/>
            <w:vAlign w:val="center"/>
          </w:tcPr>
          <w:p w14:paraId="0ACB71F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38A75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2B2C89F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667" w:type="pct"/>
            <w:gridSpan w:val="2"/>
            <w:noWrap w:val="0"/>
            <w:vAlign w:val="center"/>
          </w:tcPr>
          <w:p w14:paraId="2C8D986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1572" w:type="pct"/>
            <w:gridSpan w:val="2"/>
            <w:noWrap w:val="0"/>
            <w:vAlign w:val="center"/>
          </w:tcPr>
          <w:p w14:paraId="699B799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723" w:type="pct"/>
            <w:noWrap w:val="0"/>
            <w:vAlign w:val="center"/>
          </w:tcPr>
          <w:p w14:paraId="3218CAD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ACB6C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574030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667" w:type="pct"/>
            <w:gridSpan w:val="2"/>
            <w:noWrap w:val="0"/>
            <w:vAlign w:val="center"/>
          </w:tcPr>
          <w:p w14:paraId="1503556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1572" w:type="pct"/>
            <w:gridSpan w:val="2"/>
            <w:noWrap w:val="0"/>
            <w:vAlign w:val="center"/>
          </w:tcPr>
          <w:p w14:paraId="25E96F2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w:t>
            </w:r>
          </w:p>
        </w:tc>
        <w:tc>
          <w:tcPr>
            <w:tcW w:w="723" w:type="pct"/>
            <w:noWrap w:val="0"/>
            <w:vAlign w:val="center"/>
          </w:tcPr>
          <w:p w14:paraId="6C38E80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6E65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B92254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667" w:type="pct"/>
            <w:gridSpan w:val="2"/>
            <w:noWrap w:val="0"/>
            <w:vAlign w:val="center"/>
          </w:tcPr>
          <w:p w14:paraId="120F2DE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铬（六价）</w:t>
            </w:r>
          </w:p>
        </w:tc>
        <w:tc>
          <w:tcPr>
            <w:tcW w:w="1572" w:type="pct"/>
            <w:gridSpan w:val="2"/>
            <w:noWrap w:val="0"/>
            <w:vAlign w:val="center"/>
          </w:tcPr>
          <w:p w14:paraId="3D3BD57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5.7</w:t>
            </w:r>
          </w:p>
        </w:tc>
        <w:tc>
          <w:tcPr>
            <w:tcW w:w="723" w:type="pct"/>
            <w:noWrap w:val="0"/>
            <w:vAlign w:val="center"/>
          </w:tcPr>
          <w:p w14:paraId="2E2A37F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9DFB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7405DA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667" w:type="pct"/>
            <w:gridSpan w:val="2"/>
            <w:noWrap w:val="0"/>
            <w:vAlign w:val="center"/>
          </w:tcPr>
          <w:p w14:paraId="682C09D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铜</w:t>
            </w:r>
          </w:p>
        </w:tc>
        <w:tc>
          <w:tcPr>
            <w:tcW w:w="1572" w:type="pct"/>
            <w:gridSpan w:val="2"/>
            <w:noWrap w:val="0"/>
            <w:vAlign w:val="center"/>
          </w:tcPr>
          <w:p w14:paraId="74B3342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18000</w:t>
            </w:r>
          </w:p>
        </w:tc>
        <w:tc>
          <w:tcPr>
            <w:tcW w:w="723" w:type="pct"/>
            <w:noWrap w:val="0"/>
            <w:vAlign w:val="center"/>
          </w:tcPr>
          <w:p w14:paraId="11E042C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5BB61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671D11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667" w:type="pct"/>
            <w:gridSpan w:val="2"/>
            <w:noWrap w:val="0"/>
            <w:vAlign w:val="center"/>
          </w:tcPr>
          <w:p w14:paraId="729460E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1572" w:type="pct"/>
            <w:gridSpan w:val="2"/>
            <w:noWrap w:val="0"/>
            <w:vAlign w:val="center"/>
          </w:tcPr>
          <w:p w14:paraId="3C12C77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800</w:t>
            </w:r>
          </w:p>
        </w:tc>
        <w:tc>
          <w:tcPr>
            <w:tcW w:w="723" w:type="pct"/>
            <w:noWrap w:val="0"/>
            <w:vAlign w:val="center"/>
          </w:tcPr>
          <w:p w14:paraId="5436C6A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FA50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492E9C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667" w:type="pct"/>
            <w:gridSpan w:val="2"/>
            <w:noWrap w:val="0"/>
            <w:vAlign w:val="center"/>
          </w:tcPr>
          <w:p w14:paraId="5C71AFA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1572" w:type="pct"/>
            <w:gridSpan w:val="2"/>
            <w:noWrap w:val="0"/>
            <w:vAlign w:val="center"/>
          </w:tcPr>
          <w:p w14:paraId="62F9BF3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38</w:t>
            </w:r>
          </w:p>
        </w:tc>
        <w:tc>
          <w:tcPr>
            <w:tcW w:w="723" w:type="pct"/>
            <w:noWrap w:val="0"/>
            <w:vAlign w:val="center"/>
          </w:tcPr>
          <w:p w14:paraId="20D2109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63D7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CC6E8B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1667" w:type="pct"/>
            <w:gridSpan w:val="2"/>
            <w:noWrap w:val="0"/>
            <w:vAlign w:val="center"/>
          </w:tcPr>
          <w:p w14:paraId="59FACC5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镍</w:t>
            </w:r>
          </w:p>
        </w:tc>
        <w:tc>
          <w:tcPr>
            <w:tcW w:w="1572" w:type="pct"/>
            <w:gridSpan w:val="2"/>
            <w:noWrap w:val="0"/>
            <w:vAlign w:val="center"/>
          </w:tcPr>
          <w:p w14:paraId="6366DDF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w:t>
            </w:r>
          </w:p>
        </w:tc>
        <w:tc>
          <w:tcPr>
            <w:tcW w:w="723" w:type="pct"/>
            <w:noWrap w:val="0"/>
            <w:vAlign w:val="center"/>
          </w:tcPr>
          <w:p w14:paraId="0A9F374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AA4E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6" w:type="pct"/>
            <w:gridSpan w:val="6"/>
            <w:noWrap w:val="0"/>
            <w:vAlign w:val="center"/>
          </w:tcPr>
          <w:p w14:paraId="3239351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挥发性有机物</w:t>
            </w:r>
          </w:p>
        </w:tc>
        <w:tc>
          <w:tcPr>
            <w:tcW w:w="723" w:type="pct"/>
            <w:noWrap w:val="0"/>
            <w:vAlign w:val="center"/>
          </w:tcPr>
          <w:p w14:paraId="453C9F0F">
            <w:pPr>
              <w:pStyle w:val="146"/>
              <w:bidi w:val="0"/>
              <w:rPr>
                <w:rFonts w:hint="default" w:ascii="Times New Roman" w:hAnsi="Times New Roman" w:eastAsia="宋体" w:cs="Times New Roman"/>
                <w:color w:val="auto"/>
                <w:highlight w:val="none"/>
              </w:rPr>
            </w:pPr>
          </w:p>
        </w:tc>
      </w:tr>
      <w:tr w14:paraId="2D116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3296590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1667" w:type="pct"/>
            <w:gridSpan w:val="2"/>
            <w:noWrap w:val="0"/>
            <w:vAlign w:val="center"/>
          </w:tcPr>
          <w:p w14:paraId="1894D47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四氯化碳</w:t>
            </w:r>
          </w:p>
        </w:tc>
        <w:tc>
          <w:tcPr>
            <w:tcW w:w="1572" w:type="pct"/>
            <w:gridSpan w:val="2"/>
            <w:noWrap w:val="0"/>
            <w:vAlign w:val="center"/>
          </w:tcPr>
          <w:p w14:paraId="3F6F0B0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723" w:type="pct"/>
            <w:noWrap w:val="0"/>
            <w:vAlign w:val="center"/>
          </w:tcPr>
          <w:p w14:paraId="3DC9A49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5C42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925383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1667" w:type="pct"/>
            <w:gridSpan w:val="2"/>
            <w:noWrap w:val="0"/>
            <w:vAlign w:val="center"/>
          </w:tcPr>
          <w:p w14:paraId="44ABA80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氯仿</w:t>
            </w:r>
          </w:p>
        </w:tc>
        <w:tc>
          <w:tcPr>
            <w:tcW w:w="1572" w:type="pct"/>
            <w:gridSpan w:val="2"/>
            <w:noWrap w:val="0"/>
            <w:vAlign w:val="center"/>
          </w:tcPr>
          <w:p w14:paraId="5DB35A1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w:t>
            </w:r>
          </w:p>
        </w:tc>
        <w:tc>
          <w:tcPr>
            <w:tcW w:w="723" w:type="pct"/>
            <w:noWrap w:val="0"/>
            <w:vAlign w:val="center"/>
          </w:tcPr>
          <w:p w14:paraId="6E35E63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47ACB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EF98DB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667" w:type="pct"/>
            <w:gridSpan w:val="2"/>
            <w:noWrap w:val="0"/>
            <w:vAlign w:val="center"/>
          </w:tcPr>
          <w:p w14:paraId="5EC2E6F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氯甲烷</w:t>
            </w:r>
          </w:p>
        </w:tc>
        <w:tc>
          <w:tcPr>
            <w:tcW w:w="1572" w:type="pct"/>
            <w:gridSpan w:val="2"/>
            <w:noWrap w:val="0"/>
            <w:vAlign w:val="center"/>
          </w:tcPr>
          <w:p w14:paraId="6AD1834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37</w:t>
            </w:r>
          </w:p>
        </w:tc>
        <w:tc>
          <w:tcPr>
            <w:tcW w:w="723" w:type="pct"/>
            <w:noWrap w:val="0"/>
            <w:vAlign w:val="center"/>
          </w:tcPr>
          <w:p w14:paraId="0B12DC9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2AA1E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BDEDA8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w:t>
            </w:r>
          </w:p>
        </w:tc>
        <w:tc>
          <w:tcPr>
            <w:tcW w:w="1667" w:type="pct"/>
            <w:gridSpan w:val="2"/>
            <w:noWrap w:val="0"/>
            <w:vAlign w:val="center"/>
          </w:tcPr>
          <w:p w14:paraId="5F89CF2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1,1-二氯乙烷</w:t>
            </w:r>
          </w:p>
        </w:tc>
        <w:tc>
          <w:tcPr>
            <w:tcW w:w="1572" w:type="pct"/>
            <w:gridSpan w:val="2"/>
            <w:noWrap w:val="0"/>
            <w:vAlign w:val="center"/>
          </w:tcPr>
          <w:p w14:paraId="66B1732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723" w:type="pct"/>
            <w:noWrap w:val="0"/>
            <w:vAlign w:val="center"/>
          </w:tcPr>
          <w:p w14:paraId="6A15F80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35071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2E3ECEB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p>
        </w:tc>
        <w:tc>
          <w:tcPr>
            <w:tcW w:w="1667" w:type="pct"/>
            <w:gridSpan w:val="2"/>
            <w:noWrap w:val="0"/>
            <w:vAlign w:val="center"/>
          </w:tcPr>
          <w:p w14:paraId="0C1E7E2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1,2-二氯乙烷</w:t>
            </w:r>
          </w:p>
        </w:tc>
        <w:tc>
          <w:tcPr>
            <w:tcW w:w="1572" w:type="pct"/>
            <w:gridSpan w:val="2"/>
            <w:noWrap w:val="0"/>
            <w:vAlign w:val="center"/>
          </w:tcPr>
          <w:p w14:paraId="3E7C27B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723" w:type="pct"/>
            <w:noWrap w:val="0"/>
            <w:vAlign w:val="center"/>
          </w:tcPr>
          <w:p w14:paraId="7A31F5C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3BBA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CEA211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w:t>
            </w:r>
          </w:p>
        </w:tc>
        <w:tc>
          <w:tcPr>
            <w:tcW w:w="1667" w:type="pct"/>
            <w:gridSpan w:val="2"/>
            <w:noWrap w:val="0"/>
            <w:vAlign w:val="center"/>
          </w:tcPr>
          <w:p w14:paraId="5995FA5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1,1,-二氯乙烯</w:t>
            </w:r>
          </w:p>
        </w:tc>
        <w:tc>
          <w:tcPr>
            <w:tcW w:w="1572" w:type="pct"/>
            <w:gridSpan w:val="2"/>
            <w:noWrap w:val="0"/>
            <w:vAlign w:val="center"/>
          </w:tcPr>
          <w:p w14:paraId="60007AB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66</w:t>
            </w:r>
          </w:p>
        </w:tc>
        <w:tc>
          <w:tcPr>
            <w:tcW w:w="723" w:type="pct"/>
            <w:noWrap w:val="0"/>
            <w:vAlign w:val="center"/>
          </w:tcPr>
          <w:p w14:paraId="13F0867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3D789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4842CEE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w:t>
            </w:r>
          </w:p>
        </w:tc>
        <w:tc>
          <w:tcPr>
            <w:tcW w:w="1667" w:type="pct"/>
            <w:gridSpan w:val="2"/>
            <w:noWrap w:val="0"/>
            <w:vAlign w:val="center"/>
          </w:tcPr>
          <w:p w14:paraId="230AA4D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顺-1,2-二氯乙烯</w:t>
            </w:r>
          </w:p>
        </w:tc>
        <w:tc>
          <w:tcPr>
            <w:tcW w:w="1572" w:type="pct"/>
            <w:gridSpan w:val="2"/>
            <w:noWrap w:val="0"/>
            <w:vAlign w:val="center"/>
          </w:tcPr>
          <w:p w14:paraId="6FF3A5F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596</w:t>
            </w:r>
          </w:p>
        </w:tc>
        <w:tc>
          <w:tcPr>
            <w:tcW w:w="723" w:type="pct"/>
            <w:noWrap w:val="0"/>
            <w:vAlign w:val="center"/>
          </w:tcPr>
          <w:p w14:paraId="67B4083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65E6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5024A09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1667" w:type="pct"/>
            <w:gridSpan w:val="2"/>
            <w:noWrap w:val="0"/>
            <w:vAlign w:val="center"/>
          </w:tcPr>
          <w:p w14:paraId="5D554BB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反-1,2-二氯乙烯</w:t>
            </w:r>
          </w:p>
        </w:tc>
        <w:tc>
          <w:tcPr>
            <w:tcW w:w="1572" w:type="pct"/>
            <w:gridSpan w:val="2"/>
            <w:noWrap w:val="0"/>
            <w:vAlign w:val="center"/>
          </w:tcPr>
          <w:p w14:paraId="0D9DF0B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w:t>
            </w:r>
          </w:p>
        </w:tc>
        <w:tc>
          <w:tcPr>
            <w:tcW w:w="723" w:type="pct"/>
            <w:noWrap w:val="0"/>
            <w:vAlign w:val="center"/>
          </w:tcPr>
          <w:p w14:paraId="272384C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2F1EB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E430A6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w:t>
            </w:r>
          </w:p>
        </w:tc>
        <w:tc>
          <w:tcPr>
            <w:tcW w:w="1667" w:type="pct"/>
            <w:gridSpan w:val="2"/>
            <w:noWrap w:val="0"/>
            <w:vAlign w:val="center"/>
          </w:tcPr>
          <w:p w14:paraId="40CD387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二氯甲烷</w:t>
            </w:r>
          </w:p>
        </w:tc>
        <w:tc>
          <w:tcPr>
            <w:tcW w:w="1572" w:type="pct"/>
            <w:gridSpan w:val="2"/>
            <w:noWrap w:val="0"/>
            <w:vAlign w:val="center"/>
          </w:tcPr>
          <w:p w14:paraId="08406D2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616</w:t>
            </w:r>
          </w:p>
        </w:tc>
        <w:tc>
          <w:tcPr>
            <w:tcW w:w="723" w:type="pct"/>
            <w:noWrap w:val="0"/>
            <w:vAlign w:val="center"/>
          </w:tcPr>
          <w:p w14:paraId="33FA774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9EAEA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6CFBBD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w:t>
            </w:r>
          </w:p>
        </w:tc>
        <w:tc>
          <w:tcPr>
            <w:tcW w:w="1667" w:type="pct"/>
            <w:gridSpan w:val="2"/>
            <w:noWrap w:val="0"/>
            <w:vAlign w:val="center"/>
          </w:tcPr>
          <w:p w14:paraId="1B78267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1,2-二氯丙烷</w:t>
            </w:r>
          </w:p>
        </w:tc>
        <w:tc>
          <w:tcPr>
            <w:tcW w:w="1572" w:type="pct"/>
            <w:gridSpan w:val="2"/>
            <w:noWrap w:val="0"/>
            <w:vAlign w:val="center"/>
          </w:tcPr>
          <w:p w14:paraId="777503D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723" w:type="pct"/>
            <w:noWrap w:val="0"/>
            <w:vAlign w:val="center"/>
          </w:tcPr>
          <w:p w14:paraId="19D2867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4AA9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EC74B1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w:t>
            </w:r>
          </w:p>
        </w:tc>
        <w:tc>
          <w:tcPr>
            <w:tcW w:w="1667" w:type="pct"/>
            <w:gridSpan w:val="2"/>
            <w:noWrap w:val="0"/>
            <w:vAlign w:val="center"/>
          </w:tcPr>
          <w:p w14:paraId="439C6A6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1,1,1,2-四氯乙烷</w:t>
            </w:r>
          </w:p>
        </w:tc>
        <w:tc>
          <w:tcPr>
            <w:tcW w:w="1572" w:type="pct"/>
            <w:gridSpan w:val="2"/>
            <w:noWrap w:val="0"/>
            <w:vAlign w:val="center"/>
          </w:tcPr>
          <w:p w14:paraId="6C44279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723" w:type="pct"/>
            <w:noWrap w:val="0"/>
            <w:vAlign w:val="center"/>
          </w:tcPr>
          <w:p w14:paraId="58E4DA7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2954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342AA7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w:t>
            </w:r>
          </w:p>
        </w:tc>
        <w:tc>
          <w:tcPr>
            <w:tcW w:w="1667" w:type="pct"/>
            <w:gridSpan w:val="2"/>
            <w:noWrap w:val="0"/>
            <w:vAlign w:val="center"/>
          </w:tcPr>
          <w:p w14:paraId="6D886DF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1,1,2,2-四氯乙烷</w:t>
            </w:r>
          </w:p>
        </w:tc>
        <w:tc>
          <w:tcPr>
            <w:tcW w:w="1572" w:type="pct"/>
            <w:gridSpan w:val="2"/>
            <w:noWrap w:val="0"/>
            <w:vAlign w:val="center"/>
          </w:tcPr>
          <w:p w14:paraId="4F0B411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6.8</w:t>
            </w:r>
          </w:p>
        </w:tc>
        <w:tc>
          <w:tcPr>
            <w:tcW w:w="723" w:type="pct"/>
            <w:noWrap w:val="0"/>
            <w:vAlign w:val="center"/>
          </w:tcPr>
          <w:p w14:paraId="66608B8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5E8F0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0D6F68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1667" w:type="pct"/>
            <w:gridSpan w:val="2"/>
            <w:noWrap w:val="0"/>
            <w:vAlign w:val="center"/>
          </w:tcPr>
          <w:p w14:paraId="5F1B6DE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四氯乙烯</w:t>
            </w:r>
          </w:p>
        </w:tc>
        <w:tc>
          <w:tcPr>
            <w:tcW w:w="1572" w:type="pct"/>
            <w:gridSpan w:val="2"/>
            <w:noWrap w:val="0"/>
            <w:vAlign w:val="center"/>
          </w:tcPr>
          <w:p w14:paraId="5871BC9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w:t>
            </w:r>
          </w:p>
        </w:tc>
        <w:tc>
          <w:tcPr>
            <w:tcW w:w="723" w:type="pct"/>
            <w:noWrap w:val="0"/>
            <w:vAlign w:val="center"/>
          </w:tcPr>
          <w:p w14:paraId="6D6D535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335D9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13F4A9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w:t>
            </w:r>
          </w:p>
        </w:tc>
        <w:tc>
          <w:tcPr>
            <w:tcW w:w="1667" w:type="pct"/>
            <w:gridSpan w:val="2"/>
            <w:noWrap w:val="0"/>
            <w:vAlign w:val="center"/>
          </w:tcPr>
          <w:p w14:paraId="3B31F72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1,1,1-三氯乙烷</w:t>
            </w:r>
          </w:p>
        </w:tc>
        <w:tc>
          <w:tcPr>
            <w:tcW w:w="1572" w:type="pct"/>
            <w:gridSpan w:val="2"/>
            <w:noWrap w:val="0"/>
            <w:vAlign w:val="center"/>
          </w:tcPr>
          <w:p w14:paraId="4D03AB2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840</w:t>
            </w:r>
          </w:p>
        </w:tc>
        <w:tc>
          <w:tcPr>
            <w:tcW w:w="723" w:type="pct"/>
            <w:noWrap w:val="0"/>
            <w:vAlign w:val="center"/>
          </w:tcPr>
          <w:p w14:paraId="1921A5B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7AFD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38E5481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w:t>
            </w:r>
          </w:p>
        </w:tc>
        <w:tc>
          <w:tcPr>
            <w:tcW w:w="1667" w:type="pct"/>
            <w:gridSpan w:val="2"/>
            <w:noWrap w:val="0"/>
            <w:vAlign w:val="center"/>
          </w:tcPr>
          <w:p w14:paraId="6A2BA2F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1,1,2-三氯乙烷</w:t>
            </w:r>
          </w:p>
        </w:tc>
        <w:tc>
          <w:tcPr>
            <w:tcW w:w="1572" w:type="pct"/>
            <w:gridSpan w:val="2"/>
            <w:noWrap w:val="0"/>
            <w:vAlign w:val="center"/>
          </w:tcPr>
          <w:p w14:paraId="7B96538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723" w:type="pct"/>
            <w:noWrap w:val="0"/>
            <w:vAlign w:val="center"/>
          </w:tcPr>
          <w:p w14:paraId="599756C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CF1F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42BC97B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w:t>
            </w:r>
          </w:p>
        </w:tc>
        <w:tc>
          <w:tcPr>
            <w:tcW w:w="1667" w:type="pct"/>
            <w:gridSpan w:val="2"/>
            <w:noWrap w:val="0"/>
            <w:vAlign w:val="center"/>
          </w:tcPr>
          <w:p w14:paraId="4993712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三氯乙烯</w:t>
            </w:r>
          </w:p>
        </w:tc>
        <w:tc>
          <w:tcPr>
            <w:tcW w:w="1572" w:type="pct"/>
            <w:gridSpan w:val="2"/>
            <w:noWrap w:val="0"/>
            <w:vAlign w:val="center"/>
          </w:tcPr>
          <w:p w14:paraId="7C2AA87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723" w:type="pct"/>
            <w:noWrap w:val="0"/>
            <w:vAlign w:val="center"/>
          </w:tcPr>
          <w:p w14:paraId="7EF7068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3B7F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9AF74D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w:t>
            </w:r>
          </w:p>
        </w:tc>
        <w:tc>
          <w:tcPr>
            <w:tcW w:w="1667" w:type="pct"/>
            <w:gridSpan w:val="2"/>
            <w:noWrap w:val="0"/>
            <w:vAlign w:val="center"/>
          </w:tcPr>
          <w:p w14:paraId="06926AB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1,2,3-三氯丙烷</w:t>
            </w:r>
          </w:p>
        </w:tc>
        <w:tc>
          <w:tcPr>
            <w:tcW w:w="1572" w:type="pct"/>
            <w:gridSpan w:val="2"/>
            <w:noWrap w:val="0"/>
            <w:vAlign w:val="center"/>
          </w:tcPr>
          <w:p w14:paraId="2A55669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w:t>
            </w:r>
          </w:p>
        </w:tc>
        <w:tc>
          <w:tcPr>
            <w:tcW w:w="723" w:type="pct"/>
            <w:noWrap w:val="0"/>
            <w:vAlign w:val="center"/>
          </w:tcPr>
          <w:p w14:paraId="48E369E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4FE8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9487B4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w:t>
            </w:r>
          </w:p>
        </w:tc>
        <w:tc>
          <w:tcPr>
            <w:tcW w:w="1667" w:type="pct"/>
            <w:gridSpan w:val="2"/>
            <w:noWrap w:val="0"/>
            <w:vAlign w:val="center"/>
          </w:tcPr>
          <w:p w14:paraId="5F9F51C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氯乙烯</w:t>
            </w:r>
          </w:p>
        </w:tc>
        <w:tc>
          <w:tcPr>
            <w:tcW w:w="1572" w:type="pct"/>
            <w:gridSpan w:val="2"/>
            <w:noWrap w:val="0"/>
            <w:vAlign w:val="center"/>
          </w:tcPr>
          <w:p w14:paraId="22E8360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0.43</w:t>
            </w:r>
          </w:p>
        </w:tc>
        <w:tc>
          <w:tcPr>
            <w:tcW w:w="723" w:type="pct"/>
            <w:noWrap w:val="0"/>
            <w:vAlign w:val="center"/>
          </w:tcPr>
          <w:p w14:paraId="70AF04B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33B10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51D99B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w:t>
            </w:r>
          </w:p>
        </w:tc>
        <w:tc>
          <w:tcPr>
            <w:tcW w:w="1667" w:type="pct"/>
            <w:gridSpan w:val="2"/>
            <w:noWrap w:val="0"/>
            <w:vAlign w:val="center"/>
          </w:tcPr>
          <w:p w14:paraId="7D90B35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w:t>
            </w:r>
          </w:p>
        </w:tc>
        <w:tc>
          <w:tcPr>
            <w:tcW w:w="1572" w:type="pct"/>
            <w:gridSpan w:val="2"/>
            <w:noWrap w:val="0"/>
            <w:vAlign w:val="center"/>
          </w:tcPr>
          <w:p w14:paraId="10E66F1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723" w:type="pct"/>
            <w:noWrap w:val="0"/>
            <w:vAlign w:val="center"/>
          </w:tcPr>
          <w:p w14:paraId="1445BEC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1433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AFFF1E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w:t>
            </w:r>
          </w:p>
        </w:tc>
        <w:tc>
          <w:tcPr>
            <w:tcW w:w="1667" w:type="pct"/>
            <w:gridSpan w:val="2"/>
            <w:noWrap w:val="0"/>
            <w:vAlign w:val="center"/>
          </w:tcPr>
          <w:p w14:paraId="3EF0C31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氯苯</w:t>
            </w:r>
          </w:p>
        </w:tc>
        <w:tc>
          <w:tcPr>
            <w:tcW w:w="1572" w:type="pct"/>
            <w:gridSpan w:val="2"/>
            <w:noWrap w:val="0"/>
            <w:vAlign w:val="center"/>
          </w:tcPr>
          <w:p w14:paraId="0AC9213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270</w:t>
            </w:r>
          </w:p>
        </w:tc>
        <w:tc>
          <w:tcPr>
            <w:tcW w:w="723" w:type="pct"/>
            <w:noWrap w:val="0"/>
            <w:vAlign w:val="center"/>
          </w:tcPr>
          <w:p w14:paraId="2A07086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39338A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23301FB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1667" w:type="pct"/>
            <w:gridSpan w:val="2"/>
            <w:noWrap w:val="0"/>
            <w:vAlign w:val="center"/>
          </w:tcPr>
          <w:p w14:paraId="1C21534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1,2-二氯苯</w:t>
            </w:r>
          </w:p>
        </w:tc>
        <w:tc>
          <w:tcPr>
            <w:tcW w:w="1572" w:type="pct"/>
            <w:gridSpan w:val="2"/>
            <w:noWrap w:val="0"/>
            <w:vAlign w:val="center"/>
          </w:tcPr>
          <w:p w14:paraId="1EB83F4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560</w:t>
            </w:r>
          </w:p>
        </w:tc>
        <w:tc>
          <w:tcPr>
            <w:tcW w:w="723" w:type="pct"/>
            <w:noWrap w:val="0"/>
            <w:vAlign w:val="center"/>
          </w:tcPr>
          <w:p w14:paraId="7D2230F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24F7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C602FE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29</w:t>
            </w:r>
          </w:p>
        </w:tc>
        <w:tc>
          <w:tcPr>
            <w:tcW w:w="1667" w:type="pct"/>
            <w:gridSpan w:val="2"/>
            <w:noWrap w:val="0"/>
            <w:vAlign w:val="center"/>
          </w:tcPr>
          <w:p w14:paraId="4DD4B9E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1,4-二氯苯</w:t>
            </w:r>
          </w:p>
        </w:tc>
        <w:tc>
          <w:tcPr>
            <w:tcW w:w="1572" w:type="pct"/>
            <w:gridSpan w:val="2"/>
            <w:noWrap w:val="0"/>
            <w:vAlign w:val="center"/>
          </w:tcPr>
          <w:p w14:paraId="06D096E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723" w:type="pct"/>
            <w:noWrap w:val="0"/>
            <w:vAlign w:val="center"/>
          </w:tcPr>
          <w:p w14:paraId="1565B13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50FCD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39C7F3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1667" w:type="pct"/>
            <w:gridSpan w:val="2"/>
            <w:noWrap w:val="0"/>
            <w:vAlign w:val="center"/>
          </w:tcPr>
          <w:p w14:paraId="19F299A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乙苯</w:t>
            </w:r>
          </w:p>
        </w:tc>
        <w:tc>
          <w:tcPr>
            <w:tcW w:w="1572" w:type="pct"/>
            <w:gridSpan w:val="2"/>
            <w:noWrap w:val="0"/>
            <w:vAlign w:val="center"/>
          </w:tcPr>
          <w:p w14:paraId="25F52A1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723" w:type="pct"/>
            <w:noWrap w:val="0"/>
            <w:vAlign w:val="center"/>
          </w:tcPr>
          <w:p w14:paraId="23F7303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2CFACA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4C8133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w:t>
            </w:r>
          </w:p>
        </w:tc>
        <w:tc>
          <w:tcPr>
            <w:tcW w:w="1667" w:type="pct"/>
            <w:gridSpan w:val="2"/>
            <w:noWrap w:val="0"/>
            <w:vAlign w:val="center"/>
          </w:tcPr>
          <w:p w14:paraId="506803D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苯乙烯</w:t>
            </w:r>
          </w:p>
        </w:tc>
        <w:tc>
          <w:tcPr>
            <w:tcW w:w="1572" w:type="pct"/>
            <w:gridSpan w:val="2"/>
            <w:noWrap w:val="0"/>
            <w:vAlign w:val="center"/>
          </w:tcPr>
          <w:p w14:paraId="52406F5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1290</w:t>
            </w:r>
          </w:p>
        </w:tc>
        <w:tc>
          <w:tcPr>
            <w:tcW w:w="723" w:type="pct"/>
            <w:noWrap w:val="0"/>
            <w:vAlign w:val="center"/>
          </w:tcPr>
          <w:p w14:paraId="4DE9C88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DC7C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4CAC47E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w:t>
            </w:r>
          </w:p>
        </w:tc>
        <w:tc>
          <w:tcPr>
            <w:tcW w:w="1667" w:type="pct"/>
            <w:gridSpan w:val="2"/>
            <w:noWrap w:val="0"/>
            <w:vAlign w:val="center"/>
          </w:tcPr>
          <w:p w14:paraId="1A3CA72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甲苯</w:t>
            </w:r>
          </w:p>
        </w:tc>
        <w:tc>
          <w:tcPr>
            <w:tcW w:w="1572" w:type="pct"/>
            <w:gridSpan w:val="2"/>
            <w:noWrap w:val="0"/>
            <w:vAlign w:val="center"/>
          </w:tcPr>
          <w:p w14:paraId="3D89815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1200</w:t>
            </w:r>
          </w:p>
        </w:tc>
        <w:tc>
          <w:tcPr>
            <w:tcW w:w="723" w:type="pct"/>
            <w:noWrap w:val="0"/>
            <w:vAlign w:val="center"/>
          </w:tcPr>
          <w:p w14:paraId="0FE50B6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43C130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7E4D6F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w:t>
            </w:r>
          </w:p>
        </w:tc>
        <w:tc>
          <w:tcPr>
            <w:tcW w:w="1667" w:type="pct"/>
            <w:gridSpan w:val="2"/>
            <w:noWrap w:val="0"/>
            <w:vAlign w:val="center"/>
          </w:tcPr>
          <w:p w14:paraId="46075A2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间二甲苯+对二甲苯</w:t>
            </w:r>
          </w:p>
        </w:tc>
        <w:tc>
          <w:tcPr>
            <w:tcW w:w="1572" w:type="pct"/>
            <w:gridSpan w:val="2"/>
            <w:noWrap w:val="0"/>
            <w:vAlign w:val="center"/>
          </w:tcPr>
          <w:p w14:paraId="6FE0852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570</w:t>
            </w:r>
          </w:p>
        </w:tc>
        <w:tc>
          <w:tcPr>
            <w:tcW w:w="723" w:type="pct"/>
            <w:noWrap w:val="0"/>
            <w:vAlign w:val="center"/>
          </w:tcPr>
          <w:p w14:paraId="6F221C4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38FE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D57F4D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w:t>
            </w:r>
          </w:p>
        </w:tc>
        <w:tc>
          <w:tcPr>
            <w:tcW w:w="1667" w:type="pct"/>
            <w:gridSpan w:val="2"/>
            <w:noWrap w:val="0"/>
            <w:vAlign w:val="center"/>
          </w:tcPr>
          <w:p w14:paraId="4D94A43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邻甲苯</w:t>
            </w:r>
          </w:p>
        </w:tc>
        <w:tc>
          <w:tcPr>
            <w:tcW w:w="1572" w:type="pct"/>
            <w:gridSpan w:val="2"/>
            <w:noWrap w:val="0"/>
            <w:vAlign w:val="center"/>
          </w:tcPr>
          <w:p w14:paraId="0016428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640</w:t>
            </w:r>
          </w:p>
        </w:tc>
        <w:tc>
          <w:tcPr>
            <w:tcW w:w="723" w:type="pct"/>
            <w:noWrap w:val="0"/>
            <w:vAlign w:val="center"/>
          </w:tcPr>
          <w:p w14:paraId="1DDC1F5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B5AB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6" w:type="pct"/>
            <w:gridSpan w:val="6"/>
            <w:noWrap w:val="0"/>
            <w:vAlign w:val="center"/>
          </w:tcPr>
          <w:p w14:paraId="17FE123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半挥发有机物</w:t>
            </w:r>
          </w:p>
        </w:tc>
        <w:tc>
          <w:tcPr>
            <w:tcW w:w="723" w:type="pct"/>
            <w:noWrap w:val="0"/>
            <w:vAlign w:val="center"/>
          </w:tcPr>
          <w:p w14:paraId="20A111B0">
            <w:pPr>
              <w:pStyle w:val="146"/>
              <w:bidi w:val="0"/>
              <w:rPr>
                <w:rFonts w:hint="default" w:ascii="Times New Roman" w:hAnsi="Times New Roman" w:eastAsia="宋体" w:cs="Times New Roman"/>
                <w:color w:val="auto"/>
                <w:highlight w:val="none"/>
              </w:rPr>
            </w:pPr>
          </w:p>
        </w:tc>
      </w:tr>
      <w:tr w14:paraId="0D6D0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36C0BD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w:t>
            </w:r>
          </w:p>
        </w:tc>
        <w:tc>
          <w:tcPr>
            <w:tcW w:w="1667" w:type="pct"/>
            <w:gridSpan w:val="2"/>
            <w:noWrap w:val="0"/>
            <w:vAlign w:val="center"/>
          </w:tcPr>
          <w:p w14:paraId="2C21351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硝基苯</w:t>
            </w:r>
          </w:p>
        </w:tc>
        <w:tc>
          <w:tcPr>
            <w:tcW w:w="1572" w:type="pct"/>
            <w:gridSpan w:val="2"/>
            <w:noWrap w:val="0"/>
            <w:vAlign w:val="center"/>
          </w:tcPr>
          <w:p w14:paraId="0CFF16E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76</w:t>
            </w:r>
          </w:p>
        </w:tc>
        <w:tc>
          <w:tcPr>
            <w:tcW w:w="723" w:type="pct"/>
            <w:noWrap w:val="0"/>
            <w:vAlign w:val="center"/>
          </w:tcPr>
          <w:p w14:paraId="3534093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4A451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63893C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36</w:t>
            </w:r>
          </w:p>
        </w:tc>
        <w:tc>
          <w:tcPr>
            <w:tcW w:w="1667" w:type="pct"/>
            <w:gridSpan w:val="2"/>
            <w:noWrap w:val="0"/>
            <w:vAlign w:val="center"/>
          </w:tcPr>
          <w:p w14:paraId="3B767AC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苯胺</w:t>
            </w:r>
          </w:p>
        </w:tc>
        <w:tc>
          <w:tcPr>
            <w:tcW w:w="1572" w:type="pct"/>
            <w:gridSpan w:val="2"/>
            <w:noWrap w:val="0"/>
            <w:vAlign w:val="center"/>
          </w:tcPr>
          <w:p w14:paraId="64DE051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260</w:t>
            </w:r>
          </w:p>
        </w:tc>
        <w:tc>
          <w:tcPr>
            <w:tcW w:w="723" w:type="pct"/>
            <w:noWrap w:val="0"/>
            <w:vAlign w:val="center"/>
          </w:tcPr>
          <w:p w14:paraId="52B5388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5197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59107FA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37</w:t>
            </w:r>
          </w:p>
        </w:tc>
        <w:tc>
          <w:tcPr>
            <w:tcW w:w="1667" w:type="pct"/>
            <w:gridSpan w:val="2"/>
            <w:noWrap w:val="0"/>
            <w:vAlign w:val="center"/>
          </w:tcPr>
          <w:p w14:paraId="3433FF7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2-氯酚</w:t>
            </w:r>
          </w:p>
        </w:tc>
        <w:tc>
          <w:tcPr>
            <w:tcW w:w="1572" w:type="pct"/>
            <w:gridSpan w:val="2"/>
            <w:noWrap w:val="0"/>
            <w:vAlign w:val="center"/>
          </w:tcPr>
          <w:p w14:paraId="3274017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2256</w:t>
            </w:r>
          </w:p>
        </w:tc>
        <w:tc>
          <w:tcPr>
            <w:tcW w:w="723" w:type="pct"/>
            <w:noWrap w:val="0"/>
            <w:vAlign w:val="center"/>
          </w:tcPr>
          <w:p w14:paraId="55380F8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6F51B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2F98320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38</w:t>
            </w:r>
          </w:p>
        </w:tc>
        <w:tc>
          <w:tcPr>
            <w:tcW w:w="1667" w:type="pct"/>
            <w:gridSpan w:val="2"/>
            <w:noWrap w:val="0"/>
            <w:vAlign w:val="center"/>
          </w:tcPr>
          <w:p w14:paraId="581340D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苯并[a]蒽</w:t>
            </w:r>
          </w:p>
        </w:tc>
        <w:tc>
          <w:tcPr>
            <w:tcW w:w="1572" w:type="pct"/>
            <w:gridSpan w:val="2"/>
            <w:noWrap w:val="0"/>
            <w:vAlign w:val="center"/>
          </w:tcPr>
          <w:p w14:paraId="47A7122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723" w:type="pct"/>
            <w:noWrap w:val="0"/>
            <w:vAlign w:val="center"/>
          </w:tcPr>
          <w:p w14:paraId="6D5D05D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EA4B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2E12477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w:t>
            </w:r>
          </w:p>
        </w:tc>
        <w:tc>
          <w:tcPr>
            <w:tcW w:w="1667" w:type="pct"/>
            <w:gridSpan w:val="2"/>
            <w:noWrap w:val="0"/>
            <w:vAlign w:val="center"/>
          </w:tcPr>
          <w:p w14:paraId="42BE65E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苯并[a]芘</w:t>
            </w:r>
          </w:p>
        </w:tc>
        <w:tc>
          <w:tcPr>
            <w:tcW w:w="1572" w:type="pct"/>
            <w:gridSpan w:val="2"/>
            <w:noWrap w:val="0"/>
            <w:vAlign w:val="center"/>
          </w:tcPr>
          <w:p w14:paraId="7774A87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723" w:type="pct"/>
            <w:noWrap w:val="0"/>
            <w:vAlign w:val="center"/>
          </w:tcPr>
          <w:p w14:paraId="5B64AC0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2F8B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59468E3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667" w:type="pct"/>
            <w:gridSpan w:val="2"/>
            <w:noWrap w:val="0"/>
            <w:vAlign w:val="center"/>
          </w:tcPr>
          <w:p w14:paraId="2BA18D5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苯并[b]荧蒽</w:t>
            </w:r>
          </w:p>
        </w:tc>
        <w:tc>
          <w:tcPr>
            <w:tcW w:w="1572" w:type="pct"/>
            <w:gridSpan w:val="2"/>
            <w:noWrap w:val="0"/>
            <w:vAlign w:val="center"/>
          </w:tcPr>
          <w:p w14:paraId="4E931BE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723" w:type="pct"/>
            <w:noWrap w:val="0"/>
            <w:vAlign w:val="center"/>
          </w:tcPr>
          <w:p w14:paraId="3F3694D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6E63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40D12D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41</w:t>
            </w:r>
          </w:p>
        </w:tc>
        <w:tc>
          <w:tcPr>
            <w:tcW w:w="1667" w:type="pct"/>
            <w:gridSpan w:val="2"/>
            <w:noWrap w:val="0"/>
            <w:vAlign w:val="center"/>
          </w:tcPr>
          <w:p w14:paraId="46C564C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苯并[k]荧蒽</w:t>
            </w:r>
          </w:p>
        </w:tc>
        <w:tc>
          <w:tcPr>
            <w:tcW w:w="1572" w:type="pct"/>
            <w:gridSpan w:val="2"/>
            <w:noWrap w:val="0"/>
            <w:vAlign w:val="center"/>
          </w:tcPr>
          <w:p w14:paraId="623A9E3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151</w:t>
            </w:r>
          </w:p>
        </w:tc>
        <w:tc>
          <w:tcPr>
            <w:tcW w:w="723" w:type="pct"/>
            <w:noWrap w:val="0"/>
            <w:vAlign w:val="center"/>
          </w:tcPr>
          <w:p w14:paraId="37AD699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C7207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B42E1E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w:t>
            </w:r>
          </w:p>
        </w:tc>
        <w:tc>
          <w:tcPr>
            <w:tcW w:w="1667" w:type="pct"/>
            <w:gridSpan w:val="2"/>
            <w:noWrap w:val="0"/>
            <w:vAlign w:val="center"/>
          </w:tcPr>
          <w:p w14:paraId="77D405F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䓛</w:t>
            </w:r>
          </w:p>
        </w:tc>
        <w:tc>
          <w:tcPr>
            <w:tcW w:w="1572" w:type="pct"/>
            <w:gridSpan w:val="2"/>
            <w:noWrap w:val="0"/>
            <w:vAlign w:val="center"/>
          </w:tcPr>
          <w:p w14:paraId="5991D7A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1293</w:t>
            </w:r>
          </w:p>
        </w:tc>
        <w:tc>
          <w:tcPr>
            <w:tcW w:w="723" w:type="pct"/>
            <w:noWrap w:val="0"/>
            <w:vAlign w:val="center"/>
          </w:tcPr>
          <w:p w14:paraId="2404927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2818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2B5531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43</w:t>
            </w:r>
          </w:p>
        </w:tc>
        <w:tc>
          <w:tcPr>
            <w:tcW w:w="1667" w:type="pct"/>
            <w:gridSpan w:val="2"/>
            <w:noWrap w:val="0"/>
            <w:vAlign w:val="center"/>
          </w:tcPr>
          <w:p w14:paraId="6A8BBC4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二苯并[a,h]蒽</w:t>
            </w:r>
          </w:p>
        </w:tc>
        <w:tc>
          <w:tcPr>
            <w:tcW w:w="1572" w:type="pct"/>
            <w:gridSpan w:val="2"/>
            <w:noWrap w:val="0"/>
            <w:vAlign w:val="center"/>
          </w:tcPr>
          <w:p w14:paraId="3BC599A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723" w:type="pct"/>
            <w:noWrap w:val="0"/>
            <w:vAlign w:val="center"/>
          </w:tcPr>
          <w:p w14:paraId="7EDAA08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2592B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156BC77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44</w:t>
            </w:r>
          </w:p>
        </w:tc>
        <w:tc>
          <w:tcPr>
            <w:tcW w:w="1667" w:type="pct"/>
            <w:gridSpan w:val="2"/>
            <w:noWrap w:val="0"/>
            <w:vAlign w:val="center"/>
          </w:tcPr>
          <w:p w14:paraId="6828CCF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茚并[1,2,3-cd]芘</w:t>
            </w:r>
          </w:p>
        </w:tc>
        <w:tc>
          <w:tcPr>
            <w:tcW w:w="1572" w:type="pct"/>
            <w:gridSpan w:val="2"/>
            <w:noWrap w:val="0"/>
            <w:vAlign w:val="center"/>
          </w:tcPr>
          <w:p w14:paraId="5FA4C54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723" w:type="pct"/>
            <w:noWrap w:val="0"/>
            <w:vAlign w:val="center"/>
          </w:tcPr>
          <w:p w14:paraId="4A15B74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AE22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5C671B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w:t>
            </w:r>
          </w:p>
        </w:tc>
        <w:tc>
          <w:tcPr>
            <w:tcW w:w="1667" w:type="pct"/>
            <w:gridSpan w:val="2"/>
            <w:noWrap w:val="0"/>
            <w:vAlign w:val="center"/>
          </w:tcPr>
          <w:p w14:paraId="386A17D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萘</w:t>
            </w:r>
          </w:p>
        </w:tc>
        <w:tc>
          <w:tcPr>
            <w:tcW w:w="1572" w:type="pct"/>
            <w:gridSpan w:val="2"/>
            <w:noWrap w:val="0"/>
            <w:vAlign w:val="center"/>
          </w:tcPr>
          <w:p w14:paraId="06C1330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723" w:type="pct"/>
            <w:noWrap w:val="0"/>
            <w:vAlign w:val="center"/>
          </w:tcPr>
          <w:p w14:paraId="5D30D67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3FF9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45D98EDE">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46</w:t>
            </w:r>
          </w:p>
        </w:tc>
        <w:tc>
          <w:tcPr>
            <w:tcW w:w="1667" w:type="pct"/>
            <w:gridSpan w:val="2"/>
            <w:noWrap w:val="0"/>
            <w:vAlign w:val="center"/>
          </w:tcPr>
          <w:p w14:paraId="064362E7">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pH</w:t>
            </w:r>
          </w:p>
        </w:tc>
        <w:tc>
          <w:tcPr>
            <w:tcW w:w="1572" w:type="pct"/>
            <w:gridSpan w:val="2"/>
            <w:noWrap w:val="0"/>
            <w:vAlign w:val="center"/>
          </w:tcPr>
          <w:p w14:paraId="21A7FAB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23" w:type="pct"/>
            <w:noWrap w:val="0"/>
            <w:vAlign w:val="center"/>
          </w:tcPr>
          <w:p w14:paraId="428DD59F">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22E0D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0067B5C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w:t>
            </w:r>
          </w:p>
        </w:tc>
        <w:tc>
          <w:tcPr>
            <w:tcW w:w="1667" w:type="pct"/>
            <w:gridSpan w:val="2"/>
            <w:noWrap w:val="0"/>
            <w:vAlign w:val="center"/>
          </w:tcPr>
          <w:p w14:paraId="3835CC4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锌</w:t>
            </w:r>
          </w:p>
        </w:tc>
        <w:tc>
          <w:tcPr>
            <w:tcW w:w="1572" w:type="pct"/>
            <w:gridSpan w:val="2"/>
            <w:noWrap w:val="0"/>
            <w:vAlign w:val="center"/>
          </w:tcPr>
          <w:p w14:paraId="703A29E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23" w:type="pct"/>
            <w:noWrap w:val="0"/>
            <w:vAlign w:val="center"/>
          </w:tcPr>
          <w:p w14:paraId="4B27B18C">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619CC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AF1C325">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w:t>
            </w:r>
          </w:p>
        </w:tc>
        <w:tc>
          <w:tcPr>
            <w:tcW w:w="1667" w:type="pct"/>
            <w:gridSpan w:val="2"/>
            <w:noWrap w:val="0"/>
            <w:vAlign w:val="center"/>
          </w:tcPr>
          <w:p w14:paraId="7BD77574">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硒</w:t>
            </w:r>
          </w:p>
        </w:tc>
        <w:tc>
          <w:tcPr>
            <w:tcW w:w="1572" w:type="pct"/>
            <w:gridSpan w:val="2"/>
            <w:noWrap w:val="0"/>
            <w:vAlign w:val="center"/>
          </w:tcPr>
          <w:p w14:paraId="164E80ED">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23" w:type="pct"/>
            <w:noWrap w:val="0"/>
            <w:vAlign w:val="center"/>
          </w:tcPr>
          <w:p w14:paraId="5E09DB3F">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491B8D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7C49F929">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49</w:t>
            </w:r>
          </w:p>
        </w:tc>
        <w:tc>
          <w:tcPr>
            <w:tcW w:w="1667" w:type="pct"/>
            <w:gridSpan w:val="2"/>
            <w:noWrap w:val="0"/>
            <w:vAlign w:val="center"/>
          </w:tcPr>
          <w:p w14:paraId="42B56B51">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钡</w:t>
            </w:r>
          </w:p>
        </w:tc>
        <w:tc>
          <w:tcPr>
            <w:tcW w:w="1572" w:type="pct"/>
            <w:gridSpan w:val="2"/>
            <w:noWrap w:val="0"/>
            <w:vAlign w:val="center"/>
          </w:tcPr>
          <w:p w14:paraId="3DEEB945">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23" w:type="pct"/>
            <w:noWrap w:val="0"/>
            <w:vAlign w:val="center"/>
          </w:tcPr>
          <w:p w14:paraId="6D114B6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1D2FFC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67B6D6C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p>
        </w:tc>
        <w:tc>
          <w:tcPr>
            <w:tcW w:w="1667" w:type="pct"/>
            <w:gridSpan w:val="2"/>
            <w:noWrap w:val="0"/>
            <w:vAlign w:val="center"/>
          </w:tcPr>
          <w:p w14:paraId="035B377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氟化物</w:t>
            </w:r>
          </w:p>
        </w:tc>
        <w:tc>
          <w:tcPr>
            <w:tcW w:w="1572" w:type="pct"/>
            <w:gridSpan w:val="2"/>
            <w:noWrap w:val="0"/>
            <w:vAlign w:val="center"/>
          </w:tcPr>
          <w:p w14:paraId="2CA58731">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23" w:type="pct"/>
            <w:noWrap w:val="0"/>
            <w:vAlign w:val="center"/>
          </w:tcPr>
          <w:p w14:paraId="07D80404">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3E967E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gridSpan w:val="2"/>
            <w:noWrap w:val="0"/>
            <w:vAlign w:val="center"/>
          </w:tcPr>
          <w:p w14:paraId="35855A6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1667" w:type="pct"/>
            <w:gridSpan w:val="2"/>
            <w:noWrap w:val="0"/>
            <w:vAlign w:val="center"/>
          </w:tcPr>
          <w:p w14:paraId="7C2FB1B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石油烃</w:t>
            </w:r>
          </w:p>
        </w:tc>
        <w:tc>
          <w:tcPr>
            <w:tcW w:w="1572" w:type="pct"/>
            <w:gridSpan w:val="2"/>
            <w:noWrap w:val="0"/>
            <w:vAlign w:val="center"/>
          </w:tcPr>
          <w:p w14:paraId="06D343A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4500</w:t>
            </w:r>
          </w:p>
        </w:tc>
        <w:tc>
          <w:tcPr>
            <w:tcW w:w="723" w:type="pct"/>
            <w:noWrap w:val="0"/>
            <w:vAlign w:val="center"/>
          </w:tcPr>
          <w:p w14:paraId="283DFF47">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103040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7"/>
            <w:tcBorders>
              <w:top w:val="single" w:color="000000" w:sz="12" w:space="0"/>
              <w:left w:val="nil"/>
              <w:right w:val="nil"/>
            </w:tcBorders>
            <w:noWrap w:val="0"/>
            <w:vAlign w:val="center"/>
          </w:tcPr>
          <w:p w14:paraId="7A419CA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《土壤环境质量 农用地土壤污染风险管控标准（试行）》</w:t>
            </w:r>
            <w:r>
              <w:rPr>
                <w:rFonts w:hint="default" w:ascii="Times New Roman" w:hAnsi="Times New Roman" w:eastAsia="宋体" w:cs="Times New Roman"/>
                <w:color w:val="auto"/>
                <w:highlight w:val="none"/>
                <w:lang w:eastAsia="zh-CN"/>
              </w:rPr>
              <w:t>（GB 15618-2018）</w:t>
            </w:r>
          </w:p>
        </w:tc>
      </w:tr>
      <w:tr w14:paraId="62C0A3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vMerge w:val="restart"/>
            <w:tcBorders>
              <w:top w:val="single" w:color="000000" w:sz="12" w:space="0"/>
              <w:left w:val="nil"/>
            </w:tcBorders>
            <w:noWrap w:val="0"/>
            <w:vAlign w:val="center"/>
          </w:tcPr>
          <w:p w14:paraId="5DA5255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污染项目</w:t>
            </w:r>
          </w:p>
        </w:tc>
        <w:tc>
          <w:tcPr>
            <w:tcW w:w="3240" w:type="pct"/>
            <w:gridSpan w:val="4"/>
            <w:tcBorders>
              <w:top w:val="single" w:color="000000" w:sz="12" w:space="0"/>
              <w:right w:val="nil"/>
            </w:tcBorders>
            <w:noWrap w:val="0"/>
            <w:vAlign w:val="center"/>
          </w:tcPr>
          <w:p w14:paraId="5C8D399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风险筛选值</w:t>
            </w:r>
          </w:p>
        </w:tc>
        <w:tc>
          <w:tcPr>
            <w:tcW w:w="723" w:type="pct"/>
            <w:vMerge w:val="restart"/>
            <w:tcBorders>
              <w:top w:val="single" w:color="000000" w:sz="12" w:space="0"/>
              <w:right w:val="nil"/>
            </w:tcBorders>
            <w:noWrap w:val="0"/>
            <w:vAlign w:val="center"/>
          </w:tcPr>
          <w:p w14:paraId="71AC9E75">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单位</w:t>
            </w:r>
          </w:p>
        </w:tc>
      </w:tr>
      <w:tr w14:paraId="70D2A0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vMerge w:val="continue"/>
            <w:tcBorders>
              <w:left w:val="nil"/>
            </w:tcBorders>
            <w:noWrap w:val="0"/>
            <w:vAlign w:val="top"/>
          </w:tcPr>
          <w:p w14:paraId="2804022C">
            <w:pPr>
              <w:pStyle w:val="146"/>
              <w:bidi w:val="0"/>
              <w:rPr>
                <w:rFonts w:hint="default" w:ascii="Times New Roman" w:hAnsi="Times New Roman" w:eastAsia="宋体" w:cs="Times New Roman"/>
                <w:color w:val="auto"/>
                <w:highlight w:val="none"/>
              </w:rPr>
            </w:pPr>
          </w:p>
        </w:tc>
        <w:tc>
          <w:tcPr>
            <w:tcW w:w="846" w:type="pct"/>
            <w:tcBorders>
              <w:right w:val="single" w:color="auto" w:sz="4" w:space="0"/>
            </w:tcBorders>
            <w:noWrap w:val="0"/>
            <w:vAlign w:val="center"/>
          </w:tcPr>
          <w:p w14:paraId="0DC1584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pH≤5.5</w:t>
            </w:r>
          </w:p>
        </w:tc>
        <w:tc>
          <w:tcPr>
            <w:tcW w:w="821" w:type="pct"/>
            <w:tcBorders>
              <w:left w:val="single" w:color="auto" w:sz="4" w:space="0"/>
              <w:right w:val="single" w:color="auto" w:sz="4" w:space="0"/>
            </w:tcBorders>
            <w:noWrap w:val="0"/>
            <w:vAlign w:val="center"/>
          </w:tcPr>
          <w:p w14:paraId="1A6BD54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5.5&lt;pH≤6.5</w:t>
            </w:r>
          </w:p>
        </w:tc>
        <w:tc>
          <w:tcPr>
            <w:tcW w:w="828" w:type="pct"/>
            <w:tcBorders>
              <w:right w:val="single" w:color="auto" w:sz="4" w:space="0"/>
            </w:tcBorders>
            <w:noWrap w:val="0"/>
            <w:vAlign w:val="center"/>
          </w:tcPr>
          <w:p w14:paraId="7C3CB76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6.5&lt;pH≤7.5</w:t>
            </w:r>
          </w:p>
        </w:tc>
        <w:tc>
          <w:tcPr>
            <w:tcW w:w="743" w:type="pct"/>
            <w:tcBorders>
              <w:left w:val="single" w:color="auto" w:sz="4" w:space="0"/>
              <w:right w:val="nil"/>
            </w:tcBorders>
            <w:noWrap w:val="0"/>
            <w:vAlign w:val="center"/>
          </w:tcPr>
          <w:p w14:paraId="416032B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7.5&gt;</w:t>
            </w:r>
          </w:p>
        </w:tc>
        <w:tc>
          <w:tcPr>
            <w:tcW w:w="723" w:type="pct"/>
            <w:vMerge w:val="continue"/>
            <w:tcBorders>
              <w:right w:val="nil"/>
            </w:tcBorders>
            <w:noWrap w:val="0"/>
            <w:vAlign w:val="center"/>
          </w:tcPr>
          <w:p w14:paraId="2B19D628">
            <w:pPr>
              <w:pStyle w:val="146"/>
              <w:bidi w:val="0"/>
              <w:rPr>
                <w:rFonts w:hint="default" w:ascii="Times New Roman" w:hAnsi="Times New Roman" w:eastAsia="宋体" w:cs="Times New Roman"/>
                <w:color w:val="auto"/>
                <w:highlight w:val="none"/>
                <w:lang w:val="en-US" w:eastAsia="zh-CN"/>
              </w:rPr>
            </w:pPr>
          </w:p>
        </w:tc>
      </w:tr>
      <w:tr w14:paraId="016F06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right w:val="single" w:color="auto" w:sz="4" w:space="0"/>
            </w:tcBorders>
            <w:noWrap w:val="0"/>
            <w:vAlign w:val="top"/>
          </w:tcPr>
          <w:p w14:paraId="0C4170F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545" w:type="pct"/>
            <w:tcBorders>
              <w:left w:val="single" w:color="auto" w:sz="4" w:space="0"/>
            </w:tcBorders>
            <w:noWrap w:val="0"/>
            <w:vAlign w:val="top"/>
          </w:tcPr>
          <w:p w14:paraId="0541995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539F539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w:t>
            </w:r>
          </w:p>
        </w:tc>
        <w:tc>
          <w:tcPr>
            <w:tcW w:w="821" w:type="pct"/>
            <w:tcBorders>
              <w:left w:val="single" w:color="auto" w:sz="4" w:space="0"/>
              <w:right w:val="single" w:color="auto" w:sz="4" w:space="0"/>
            </w:tcBorders>
            <w:noWrap w:val="0"/>
            <w:vAlign w:val="center"/>
          </w:tcPr>
          <w:p w14:paraId="53DB898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w:t>
            </w:r>
          </w:p>
        </w:tc>
        <w:tc>
          <w:tcPr>
            <w:tcW w:w="828" w:type="pct"/>
            <w:tcBorders>
              <w:right w:val="single" w:color="auto" w:sz="4" w:space="0"/>
            </w:tcBorders>
            <w:noWrap w:val="0"/>
            <w:vAlign w:val="center"/>
          </w:tcPr>
          <w:p w14:paraId="75C5AF2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w:t>
            </w:r>
          </w:p>
        </w:tc>
        <w:tc>
          <w:tcPr>
            <w:tcW w:w="743" w:type="pct"/>
            <w:tcBorders>
              <w:left w:val="single" w:color="auto" w:sz="4" w:space="0"/>
              <w:right w:val="nil"/>
            </w:tcBorders>
            <w:noWrap w:val="0"/>
            <w:vAlign w:val="center"/>
          </w:tcPr>
          <w:p w14:paraId="3C46B94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0.60</w:t>
            </w:r>
          </w:p>
        </w:tc>
        <w:tc>
          <w:tcPr>
            <w:tcW w:w="723" w:type="pct"/>
            <w:tcBorders>
              <w:left w:val="single" w:color="auto" w:sz="4" w:space="0"/>
              <w:right w:val="nil"/>
            </w:tcBorders>
            <w:noWrap w:val="0"/>
            <w:vAlign w:val="center"/>
          </w:tcPr>
          <w:p w14:paraId="7D504B4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F861A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right w:val="single" w:color="auto" w:sz="4" w:space="0"/>
            </w:tcBorders>
            <w:noWrap w:val="0"/>
            <w:vAlign w:val="top"/>
          </w:tcPr>
          <w:p w14:paraId="0F8FBEA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545" w:type="pct"/>
            <w:tcBorders>
              <w:left w:val="single" w:color="auto" w:sz="4" w:space="0"/>
            </w:tcBorders>
            <w:noWrap w:val="0"/>
            <w:vAlign w:val="top"/>
          </w:tcPr>
          <w:p w14:paraId="0CC19C3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48FF47D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w:t>
            </w:r>
          </w:p>
        </w:tc>
        <w:tc>
          <w:tcPr>
            <w:tcW w:w="821" w:type="pct"/>
            <w:tcBorders>
              <w:left w:val="single" w:color="auto" w:sz="4" w:space="0"/>
              <w:right w:val="single" w:color="auto" w:sz="4" w:space="0"/>
            </w:tcBorders>
            <w:noWrap w:val="0"/>
            <w:vAlign w:val="center"/>
          </w:tcPr>
          <w:p w14:paraId="34B74B3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w:t>
            </w:r>
          </w:p>
        </w:tc>
        <w:tc>
          <w:tcPr>
            <w:tcW w:w="828" w:type="pct"/>
            <w:tcBorders>
              <w:right w:val="single" w:color="auto" w:sz="4" w:space="0"/>
            </w:tcBorders>
            <w:noWrap w:val="0"/>
            <w:vAlign w:val="center"/>
          </w:tcPr>
          <w:p w14:paraId="386CA82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w:t>
            </w:r>
          </w:p>
        </w:tc>
        <w:tc>
          <w:tcPr>
            <w:tcW w:w="743" w:type="pct"/>
            <w:tcBorders>
              <w:left w:val="single" w:color="auto" w:sz="4" w:space="0"/>
              <w:right w:val="nil"/>
            </w:tcBorders>
            <w:noWrap w:val="0"/>
            <w:vAlign w:val="center"/>
          </w:tcPr>
          <w:p w14:paraId="2D10826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w:t>
            </w:r>
          </w:p>
        </w:tc>
        <w:tc>
          <w:tcPr>
            <w:tcW w:w="723" w:type="pct"/>
            <w:tcBorders>
              <w:left w:val="single" w:color="auto" w:sz="4" w:space="0"/>
              <w:right w:val="nil"/>
            </w:tcBorders>
            <w:noWrap w:val="0"/>
            <w:vAlign w:val="center"/>
          </w:tcPr>
          <w:p w14:paraId="3E82018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534E43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tcBorders>
            <w:noWrap w:val="0"/>
            <w:vAlign w:val="top"/>
          </w:tcPr>
          <w:p w14:paraId="10586BB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545" w:type="pct"/>
            <w:noWrap w:val="0"/>
            <w:vAlign w:val="top"/>
          </w:tcPr>
          <w:p w14:paraId="20B5F13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03B23608">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821" w:type="pct"/>
            <w:tcBorders>
              <w:left w:val="single" w:color="auto" w:sz="4" w:space="0"/>
              <w:right w:val="single" w:color="auto" w:sz="4" w:space="0"/>
            </w:tcBorders>
            <w:noWrap w:val="0"/>
            <w:vAlign w:val="center"/>
          </w:tcPr>
          <w:p w14:paraId="056890E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828" w:type="pct"/>
            <w:tcBorders>
              <w:right w:val="single" w:color="auto" w:sz="4" w:space="0"/>
            </w:tcBorders>
            <w:noWrap w:val="0"/>
            <w:vAlign w:val="center"/>
          </w:tcPr>
          <w:p w14:paraId="13DC2F2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743" w:type="pct"/>
            <w:tcBorders>
              <w:left w:val="single" w:color="auto" w:sz="4" w:space="0"/>
              <w:right w:val="nil"/>
            </w:tcBorders>
            <w:noWrap w:val="0"/>
            <w:vAlign w:val="center"/>
          </w:tcPr>
          <w:p w14:paraId="0A6084B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w:t>
            </w:r>
          </w:p>
        </w:tc>
        <w:tc>
          <w:tcPr>
            <w:tcW w:w="723" w:type="pct"/>
            <w:tcBorders>
              <w:left w:val="single" w:color="auto" w:sz="4" w:space="0"/>
              <w:right w:val="nil"/>
            </w:tcBorders>
            <w:noWrap w:val="0"/>
            <w:vAlign w:val="center"/>
          </w:tcPr>
          <w:p w14:paraId="480D4DC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7DA720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tcBorders>
            <w:noWrap w:val="0"/>
            <w:vAlign w:val="top"/>
          </w:tcPr>
          <w:p w14:paraId="23D75C7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545" w:type="pct"/>
            <w:noWrap w:val="0"/>
            <w:vAlign w:val="top"/>
          </w:tcPr>
          <w:p w14:paraId="53C3EE4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2CC6A031">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821" w:type="pct"/>
            <w:tcBorders>
              <w:left w:val="single" w:color="auto" w:sz="4" w:space="0"/>
              <w:right w:val="single" w:color="auto" w:sz="4" w:space="0"/>
            </w:tcBorders>
            <w:noWrap w:val="0"/>
            <w:vAlign w:val="center"/>
          </w:tcPr>
          <w:p w14:paraId="5458968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w:t>
            </w:r>
          </w:p>
        </w:tc>
        <w:tc>
          <w:tcPr>
            <w:tcW w:w="828" w:type="pct"/>
            <w:tcBorders>
              <w:right w:val="single" w:color="auto" w:sz="4" w:space="0"/>
            </w:tcBorders>
            <w:noWrap w:val="0"/>
            <w:vAlign w:val="center"/>
          </w:tcPr>
          <w:p w14:paraId="2D635D2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w:t>
            </w:r>
          </w:p>
        </w:tc>
        <w:tc>
          <w:tcPr>
            <w:tcW w:w="743" w:type="pct"/>
            <w:tcBorders>
              <w:left w:val="single" w:color="auto" w:sz="4" w:space="0"/>
              <w:right w:val="nil"/>
            </w:tcBorders>
            <w:noWrap w:val="0"/>
            <w:vAlign w:val="center"/>
          </w:tcPr>
          <w:p w14:paraId="35451FB4">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170</w:t>
            </w:r>
          </w:p>
        </w:tc>
        <w:tc>
          <w:tcPr>
            <w:tcW w:w="723" w:type="pct"/>
            <w:tcBorders>
              <w:left w:val="single" w:color="auto" w:sz="4" w:space="0"/>
              <w:right w:val="nil"/>
            </w:tcBorders>
            <w:noWrap w:val="0"/>
            <w:vAlign w:val="center"/>
          </w:tcPr>
          <w:p w14:paraId="43596A1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A9EAB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right w:val="single" w:color="auto" w:sz="4" w:space="0"/>
            </w:tcBorders>
            <w:noWrap w:val="0"/>
            <w:vAlign w:val="top"/>
          </w:tcPr>
          <w:p w14:paraId="42191B2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铬</w:t>
            </w:r>
          </w:p>
        </w:tc>
        <w:tc>
          <w:tcPr>
            <w:tcW w:w="545" w:type="pct"/>
            <w:tcBorders>
              <w:left w:val="single" w:color="auto" w:sz="4" w:space="0"/>
            </w:tcBorders>
            <w:noWrap w:val="0"/>
            <w:vAlign w:val="top"/>
          </w:tcPr>
          <w:p w14:paraId="757685C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19BB9CC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821" w:type="pct"/>
            <w:tcBorders>
              <w:left w:val="single" w:color="auto" w:sz="4" w:space="0"/>
              <w:right w:val="single" w:color="auto" w:sz="4" w:space="0"/>
            </w:tcBorders>
            <w:noWrap w:val="0"/>
            <w:vAlign w:val="center"/>
          </w:tcPr>
          <w:p w14:paraId="63D6BF3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828" w:type="pct"/>
            <w:tcBorders>
              <w:right w:val="single" w:color="auto" w:sz="4" w:space="0"/>
            </w:tcBorders>
            <w:noWrap w:val="0"/>
            <w:vAlign w:val="center"/>
          </w:tcPr>
          <w:p w14:paraId="16124E1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743" w:type="pct"/>
            <w:tcBorders>
              <w:left w:val="single" w:color="auto" w:sz="4" w:space="0"/>
              <w:right w:val="nil"/>
            </w:tcBorders>
            <w:noWrap w:val="0"/>
            <w:vAlign w:val="center"/>
          </w:tcPr>
          <w:p w14:paraId="25F4787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w:t>
            </w:r>
          </w:p>
        </w:tc>
        <w:tc>
          <w:tcPr>
            <w:tcW w:w="723" w:type="pct"/>
            <w:tcBorders>
              <w:left w:val="single" w:color="auto" w:sz="4" w:space="0"/>
              <w:right w:val="nil"/>
            </w:tcBorders>
            <w:noWrap w:val="0"/>
            <w:vAlign w:val="center"/>
          </w:tcPr>
          <w:p w14:paraId="7CA4F74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5B100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tcBorders>
            <w:noWrap w:val="0"/>
            <w:vAlign w:val="top"/>
          </w:tcPr>
          <w:p w14:paraId="0667E71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铜</w:t>
            </w:r>
          </w:p>
        </w:tc>
        <w:tc>
          <w:tcPr>
            <w:tcW w:w="545" w:type="pct"/>
            <w:noWrap w:val="0"/>
            <w:vAlign w:val="top"/>
          </w:tcPr>
          <w:p w14:paraId="4D6DFD1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w:t>
            </w:r>
          </w:p>
        </w:tc>
        <w:tc>
          <w:tcPr>
            <w:tcW w:w="846" w:type="pct"/>
            <w:tcBorders>
              <w:right w:val="single" w:color="auto" w:sz="4" w:space="0"/>
            </w:tcBorders>
            <w:noWrap w:val="0"/>
            <w:vAlign w:val="center"/>
          </w:tcPr>
          <w:p w14:paraId="54962B5F">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821" w:type="pct"/>
            <w:tcBorders>
              <w:left w:val="single" w:color="auto" w:sz="4" w:space="0"/>
              <w:right w:val="single" w:color="auto" w:sz="4" w:space="0"/>
            </w:tcBorders>
            <w:noWrap w:val="0"/>
            <w:vAlign w:val="center"/>
          </w:tcPr>
          <w:p w14:paraId="6B8C074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c>
          <w:tcPr>
            <w:tcW w:w="828" w:type="pct"/>
            <w:tcBorders>
              <w:right w:val="single" w:color="auto" w:sz="4" w:space="0"/>
            </w:tcBorders>
            <w:noWrap w:val="0"/>
            <w:vAlign w:val="center"/>
          </w:tcPr>
          <w:p w14:paraId="480DC7F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743" w:type="pct"/>
            <w:tcBorders>
              <w:left w:val="single" w:color="auto" w:sz="4" w:space="0"/>
              <w:right w:val="nil"/>
            </w:tcBorders>
            <w:noWrap w:val="0"/>
            <w:vAlign w:val="center"/>
          </w:tcPr>
          <w:p w14:paraId="04BF226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723" w:type="pct"/>
            <w:tcBorders>
              <w:left w:val="single" w:color="auto" w:sz="4" w:space="0"/>
              <w:right w:val="nil"/>
            </w:tcBorders>
            <w:noWrap w:val="0"/>
            <w:vAlign w:val="center"/>
          </w:tcPr>
          <w:p w14:paraId="74F36832">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6C3D65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right w:val="single" w:color="auto" w:sz="4" w:space="0"/>
            </w:tcBorders>
            <w:noWrap w:val="0"/>
            <w:vAlign w:val="top"/>
          </w:tcPr>
          <w:p w14:paraId="25682417">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镍</w:t>
            </w:r>
          </w:p>
        </w:tc>
        <w:tc>
          <w:tcPr>
            <w:tcW w:w="545" w:type="pct"/>
            <w:tcBorders>
              <w:left w:val="single" w:color="auto" w:sz="4" w:space="0"/>
            </w:tcBorders>
            <w:noWrap w:val="0"/>
            <w:vAlign w:val="top"/>
          </w:tcPr>
          <w:p w14:paraId="597F183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846" w:type="pct"/>
            <w:tcBorders>
              <w:right w:val="single" w:color="auto" w:sz="4" w:space="0"/>
            </w:tcBorders>
            <w:noWrap w:val="0"/>
            <w:vAlign w:val="center"/>
          </w:tcPr>
          <w:p w14:paraId="69947E69">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821" w:type="pct"/>
            <w:tcBorders>
              <w:left w:val="single" w:color="auto" w:sz="4" w:space="0"/>
              <w:right w:val="single" w:color="auto" w:sz="4" w:space="0"/>
            </w:tcBorders>
            <w:noWrap w:val="0"/>
            <w:vAlign w:val="center"/>
          </w:tcPr>
          <w:p w14:paraId="2E6D1ED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828" w:type="pct"/>
            <w:tcBorders>
              <w:right w:val="single" w:color="auto" w:sz="4" w:space="0"/>
            </w:tcBorders>
            <w:noWrap w:val="0"/>
            <w:vAlign w:val="center"/>
          </w:tcPr>
          <w:p w14:paraId="7E87FB8B">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743" w:type="pct"/>
            <w:tcBorders>
              <w:left w:val="single" w:color="auto" w:sz="4" w:space="0"/>
              <w:right w:val="nil"/>
            </w:tcBorders>
            <w:noWrap w:val="0"/>
            <w:vAlign w:val="center"/>
          </w:tcPr>
          <w:p w14:paraId="1E1DB3B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190</w:t>
            </w:r>
          </w:p>
        </w:tc>
        <w:tc>
          <w:tcPr>
            <w:tcW w:w="723" w:type="pct"/>
            <w:tcBorders>
              <w:left w:val="single" w:color="auto" w:sz="4" w:space="0"/>
              <w:right w:val="nil"/>
            </w:tcBorders>
            <w:noWrap w:val="0"/>
            <w:vAlign w:val="center"/>
          </w:tcPr>
          <w:p w14:paraId="7FC4D87D">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1293F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91" w:type="pct"/>
            <w:tcBorders>
              <w:left w:val="nil"/>
              <w:bottom w:val="single" w:color="auto" w:sz="12" w:space="0"/>
              <w:right w:val="single" w:color="auto" w:sz="4" w:space="0"/>
            </w:tcBorders>
            <w:noWrap w:val="0"/>
            <w:vAlign w:val="top"/>
          </w:tcPr>
          <w:p w14:paraId="70C17DDA">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锌</w:t>
            </w:r>
          </w:p>
        </w:tc>
        <w:tc>
          <w:tcPr>
            <w:tcW w:w="545" w:type="pct"/>
            <w:tcBorders>
              <w:left w:val="single" w:color="auto" w:sz="4" w:space="0"/>
              <w:bottom w:val="single" w:color="auto" w:sz="12" w:space="0"/>
            </w:tcBorders>
            <w:noWrap w:val="0"/>
            <w:vAlign w:val="top"/>
          </w:tcPr>
          <w:p w14:paraId="0FE4BF7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846" w:type="pct"/>
            <w:tcBorders>
              <w:bottom w:val="single" w:color="auto" w:sz="12" w:space="0"/>
              <w:right w:val="single" w:color="auto" w:sz="4" w:space="0"/>
            </w:tcBorders>
            <w:noWrap w:val="0"/>
            <w:vAlign w:val="center"/>
          </w:tcPr>
          <w:p w14:paraId="1DF6FA5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821" w:type="pct"/>
            <w:tcBorders>
              <w:left w:val="single" w:color="auto" w:sz="4" w:space="0"/>
              <w:bottom w:val="single" w:color="auto" w:sz="12" w:space="0"/>
              <w:right w:val="single" w:color="auto" w:sz="4" w:space="0"/>
            </w:tcBorders>
            <w:noWrap w:val="0"/>
            <w:vAlign w:val="center"/>
          </w:tcPr>
          <w:p w14:paraId="36B22A3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828" w:type="pct"/>
            <w:tcBorders>
              <w:bottom w:val="single" w:color="auto" w:sz="12" w:space="0"/>
              <w:right w:val="single" w:color="auto" w:sz="4" w:space="0"/>
            </w:tcBorders>
            <w:noWrap w:val="0"/>
            <w:vAlign w:val="center"/>
          </w:tcPr>
          <w:p w14:paraId="36C069C5">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250</w:t>
            </w:r>
          </w:p>
        </w:tc>
        <w:tc>
          <w:tcPr>
            <w:tcW w:w="743" w:type="pct"/>
            <w:tcBorders>
              <w:left w:val="single" w:color="auto" w:sz="4" w:space="0"/>
              <w:bottom w:val="single" w:color="auto" w:sz="12" w:space="0"/>
              <w:right w:val="nil"/>
            </w:tcBorders>
            <w:noWrap w:val="0"/>
            <w:vAlign w:val="center"/>
          </w:tcPr>
          <w:p w14:paraId="0D5D8D43">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w:t>
            </w:r>
          </w:p>
        </w:tc>
        <w:tc>
          <w:tcPr>
            <w:tcW w:w="723" w:type="pct"/>
            <w:tcBorders>
              <w:left w:val="single" w:color="auto" w:sz="4" w:space="0"/>
              <w:bottom w:val="single" w:color="auto" w:sz="12" w:space="0"/>
              <w:right w:val="nil"/>
            </w:tcBorders>
            <w:noWrap w:val="0"/>
            <w:vAlign w:val="center"/>
          </w:tcPr>
          <w:p w14:paraId="2AAADE6C">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r w14:paraId="02A80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7"/>
            <w:tcBorders>
              <w:top w:val="single" w:color="auto" w:sz="12" w:space="0"/>
              <w:left w:val="nil"/>
              <w:bottom w:val="single" w:color="auto" w:sz="12" w:space="0"/>
              <w:right w:val="nil"/>
            </w:tcBorders>
            <w:noWrap w:val="0"/>
            <w:vAlign w:val="top"/>
          </w:tcPr>
          <w:p w14:paraId="2CB83080">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《畜禽养殖产地环境评价规范》（HJ568-2010）表4</w:t>
            </w:r>
          </w:p>
        </w:tc>
      </w:tr>
      <w:tr w14:paraId="70DE6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4" w:hRule="atLeast"/>
        </w:trPr>
        <w:tc>
          <w:tcPr>
            <w:tcW w:w="1036" w:type="pct"/>
            <w:gridSpan w:val="2"/>
            <w:tcBorders>
              <w:top w:val="single" w:color="auto" w:sz="12" w:space="0"/>
              <w:left w:val="nil"/>
              <w:bottom w:val="single" w:color="auto" w:sz="4" w:space="0"/>
              <w:right w:val="single" w:color="auto" w:sz="4" w:space="0"/>
            </w:tcBorders>
            <w:noWrap w:val="0"/>
            <w:vAlign w:val="center"/>
          </w:tcPr>
          <w:p w14:paraId="23A128A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序号</w:t>
            </w:r>
          </w:p>
        </w:tc>
        <w:tc>
          <w:tcPr>
            <w:tcW w:w="1667" w:type="pct"/>
            <w:gridSpan w:val="2"/>
            <w:tcBorders>
              <w:top w:val="single" w:color="auto" w:sz="12" w:space="0"/>
              <w:left w:val="single" w:color="auto" w:sz="4" w:space="0"/>
              <w:bottom w:val="single" w:color="auto" w:sz="4" w:space="0"/>
              <w:right w:val="single" w:color="auto" w:sz="4" w:space="0"/>
            </w:tcBorders>
            <w:noWrap w:val="0"/>
            <w:vAlign w:val="center"/>
          </w:tcPr>
          <w:p w14:paraId="69CB5EA6">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评价指标</w:t>
            </w:r>
          </w:p>
        </w:tc>
        <w:tc>
          <w:tcPr>
            <w:tcW w:w="1572" w:type="pct"/>
            <w:gridSpan w:val="2"/>
            <w:tcBorders>
              <w:top w:val="single" w:color="auto" w:sz="12" w:space="0"/>
              <w:left w:val="single" w:color="auto" w:sz="4" w:space="0"/>
              <w:bottom w:val="single" w:color="auto" w:sz="4" w:space="0"/>
              <w:right w:val="single" w:color="auto" w:sz="4" w:space="0"/>
            </w:tcBorders>
            <w:noWrap w:val="0"/>
            <w:vAlign w:val="center"/>
          </w:tcPr>
          <w:p w14:paraId="45EB6BD5">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养殖场、养殖小区</w:t>
            </w:r>
          </w:p>
        </w:tc>
        <w:tc>
          <w:tcPr>
            <w:tcW w:w="723" w:type="pct"/>
            <w:tcBorders>
              <w:top w:val="single" w:color="auto" w:sz="12" w:space="0"/>
              <w:left w:val="single" w:color="auto" w:sz="4" w:space="0"/>
              <w:bottom w:val="single" w:color="auto" w:sz="4" w:space="0"/>
              <w:right w:val="nil"/>
            </w:tcBorders>
            <w:noWrap w:val="0"/>
            <w:vAlign w:val="center"/>
          </w:tcPr>
          <w:p w14:paraId="7523195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单位</w:t>
            </w:r>
          </w:p>
        </w:tc>
      </w:tr>
      <w:tr w14:paraId="7745D2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tcBorders>
              <w:top w:val="single" w:color="auto" w:sz="4" w:space="0"/>
              <w:left w:val="nil"/>
              <w:bottom w:val="single" w:color="auto" w:sz="4" w:space="0"/>
              <w:right w:val="single" w:color="auto" w:sz="4" w:space="0"/>
            </w:tcBorders>
            <w:noWrap w:val="0"/>
            <w:vAlign w:val="center"/>
          </w:tcPr>
          <w:p w14:paraId="77730237">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667" w:type="pct"/>
            <w:gridSpan w:val="2"/>
            <w:tcBorders>
              <w:top w:val="single" w:color="auto" w:sz="4" w:space="0"/>
              <w:left w:val="single" w:color="auto" w:sz="4" w:space="0"/>
              <w:bottom w:val="single" w:color="auto" w:sz="4" w:space="0"/>
              <w:right w:val="single" w:color="auto" w:sz="4" w:space="0"/>
            </w:tcBorders>
            <w:noWrap w:val="0"/>
            <w:vAlign w:val="center"/>
          </w:tcPr>
          <w:p w14:paraId="7F63888F">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镉</w:t>
            </w:r>
          </w:p>
        </w:tc>
        <w:tc>
          <w:tcPr>
            <w:tcW w:w="1572" w:type="pct"/>
            <w:gridSpan w:val="2"/>
            <w:tcBorders>
              <w:top w:val="single" w:color="auto" w:sz="4" w:space="0"/>
              <w:left w:val="single" w:color="auto" w:sz="4" w:space="0"/>
              <w:bottom w:val="single" w:color="auto" w:sz="4" w:space="0"/>
              <w:right w:val="single" w:color="auto" w:sz="4" w:space="0"/>
            </w:tcBorders>
            <w:noWrap w:val="0"/>
            <w:vAlign w:val="center"/>
          </w:tcPr>
          <w:p w14:paraId="73449F33">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723" w:type="pct"/>
            <w:tcBorders>
              <w:top w:val="single" w:color="auto" w:sz="4" w:space="0"/>
              <w:left w:val="single" w:color="auto" w:sz="4" w:space="0"/>
              <w:bottom w:val="single" w:color="auto" w:sz="4" w:space="0"/>
              <w:right w:val="nil"/>
            </w:tcBorders>
            <w:noWrap w:val="0"/>
            <w:vAlign w:val="center"/>
          </w:tcPr>
          <w:p w14:paraId="2210E4D3">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77AF4A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tcBorders>
              <w:top w:val="single" w:color="auto" w:sz="4" w:space="0"/>
              <w:left w:val="nil"/>
              <w:bottom w:val="single" w:color="auto" w:sz="4" w:space="0"/>
              <w:right w:val="single" w:color="auto" w:sz="4" w:space="0"/>
            </w:tcBorders>
            <w:noWrap w:val="0"/>
            <w:vAlign w:val="center"/>
          </w:tcPr>
          <w:p w14:paraId="5185DE63">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667" w:type="pct"/>
            <w:gridSpan w:val="2"/>
            <w:tcBorders>
              <w:top w:val="single" w:color="auto" w:sz="4" w:space="0"/>
              <w:left w:val="single" w:color="auto" w:sz="4" w:space="0"/>
              <w:bottom w:val="single" w:color="auto" w:sz="4" w:space="0"/>
              <w:right w:val="single" w:color="auto" w:sz="4" w:space="0"/>
            </w:tcBorders>
            <w:noWrap w:val="0"/>
            <w:vAlign w:val="center"/>
          </w:tcPr>
          <w:p w14:paraId="29A56A2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汞</w:t>
            </w:r>
          </w:p>
        </w:tc>
        <w:tc>
          <w:tcPr>
            <w:tcW w:w="1572" w:type="pct"/>
            <w:gridSpan w:val="2"/>
            <w:tcBorders>
              <w:top w:val="single" w:color="auto" w:sz="4" w:space="0"/>
              <w:left w:val="single" w:color="auto" w:sz="4" w:space="0"/>
              <w:bottom w:val="single" w:color="auto" w:sz="4" w:space="0"/>
              <w:right w:val="single" w:color="auto" w:sz="4" w:space="0"/>
            </w:tcBorders>
            <w:noWrap w:val="0"/>
            <w:vAlign w:val="center"/>
          </w:tcPr>
          <w:p w14:paraId="3EFB627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w:t>
            </w:r>
          </w:p>
        </w:tc>
        <w:tc>
          <w:tcPr>
            <w:tcW w:w="723" w:type="pct"/>
            <w:tcBorders>
              <w:top w:val="single" w:color="auto" w:sz="4" w:space="0"/>
              <w:left w:val="single" w:color="auto" w:sz="4" w:space="0"/>
              <w:bottom w:val="single" w:color="auto" w:sz="4" w:space="0"/>
              <w:right w:val="nil"/>
            </w:tcBorders>
            <w:noWrap w:val="0"/>
            <w:vAlign w:val="center"/>
          </w:tcPr>
          <w:p w14:paraId="7109F3D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291A9B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tcBorders>
              <w:top w:val="single" w:color="auto" w:sz="4" w:space="0"/>
              <w:left w:val="nil"/>
              <w:bottom w:val="single" w:color="auto" w:sz="4" w:space="0"/>
              <w:right w:val="single" w:color="auto" w:sz="4" w:space="0"/>
            </w:tcBorders>
            <w:noWrap w:val="0"/>
            <w:vAlign w:val="center"/>
          </w:tcPr>
          <w:p w14:paraId="53D0D7C7">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667" w:type="pct"/>
            <w:gridSpan w:val="2"/>
            <w:tcBorders>
              <w:top w:val="single" w:color="auto" w:sz="4" w:space="0"/>
              <w:left w:val="single" w:color="auto" w:sz="4" w:space="0"/>
              <w:bottom w:val="single" w:color="auto" w:sz="4" w:space="0"/>
              <w:right w:val="single" w:color="auto" w:sz="4" w:space="0"/>
            </w:tcBorders>
            <w:noWrap w:val="0"/>
            <w:vAlign w:val="center"/>
          </w:tcPr>
          <w:p w14:paraId="35B5AAA3">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砷</w:t>
            </w:r>
          </w:p>
        </w:tc>
        <w:tc>
          <w:tcPr>
            <w:tcW w:w="1572" w:type="pct"/>
            <w:gridSpan w:val="2"/>
            <w:tcBorders>
              <w:top w:val="single" w:color="auto" w:sz="4" w:space="0"/>
              <w:left w:val="single" w:color="auto" w:sz="4" w:space="0"/>
              <w:bottom w:val="single" w:color="auto" w:sz="4" w:space="0"/>
              <w:right w:val="single" w:color="auto" w:sz="4" w:space="0"/>
            </w:tcBorders>
            <w:noWrap w:val="0"/>
            <w:vAlign w:val="center"/>
          </w:tcPr>
          <w:p w14:paraId="6C2DCB69">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723" w:type="pct"/>
            <w:tcBorders>
              <w:top w:val="single" w:color="auto" w:sz="4" w:space="0"/>
              <w:left w:val="single" w:color="auto" w:sz="4" w:space="0"/>
              <w:bottom w:val="single" w:color="auto" w:sz="4" w:space="0"/>
              <w:right w:val="nil"/>
            </w:tcBorders>
            <w:noWrap w:val="0"/>
            <w:vAlign w:val="center"/>
          </w:tcPr>
          <w:p w14:paraId="4AF49E39">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10BF7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36" w:type="pct"/>
            <w:gridSpan w:val="2"/>
            <w:tcBorders>
              <w:top w:val="single" w:color="auto" w:sz="4" w:space="0"/>
              <w:left w:val="nil"/>
              <w:bottom w:val="single" w:color="auto" w:sz="4" w:space="0"/>
              <w:right w:val="single" w:color="auto" w:sz="4" w:space="0"/>
            </w:tcBorders>
            <w:noWrap w:val="0"/>
            <w:vAlign w:val="center"/>
          </w:tcPr>
          <w:p w14:paraId="0E55DB8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667" w:type="pct"/>
            <w:gridSpan w:val="2"/>
            <w:tcBorders>
              <w:top w:val="single" w:color="auto" w:sz="4" w:space="0"/>
              <w:left w:val="single" w:color="auto" w:sz="4" w:space="0"/>
              <w:bottom w:val="single" w:color="auto" w:sz="4" w:space="0"/>
              <w:right w:val="single" w:color="auto" w:sz="4" w:space="0"/>
            </w:tcBorders>
            <w:noWrap w:val="0"/>
            <w:vAlign w:val="center"/>
          </w:tcPr>
          <w:p w14:paraId="4A73C46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铜</w:t>
            </w:r>
          </w:p>
        </w:tc>
        <w:tc>
          <w:tcPr>
            <w:tcW w:w="1572" w:type="pct"/>
            <w:gridSpan w:val="2"/>
            <w:tcBorders>
              <w:top w:val="single" w:color="auto" w:sz="4" w:space="0"/>
              <w:left w:val="single" w:color="auto" w:sz="4" w:space="0"/>
              <w:bottom w:val="single" w:color="auto" w:sz="4" w:space="0"/>
              <w:right w:val="single" w:color="auto" w:sz="4" w:space="0"/>
            </w:tcBorders>
            <w:noWrap w:val="0"/>
            <w:vAlign w:val="center"/>
          </w:tcPr>
          <w:p w14:paraId="463E304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00</w:t>
            </w:r>
          </w:p>
        </w:tc>
        <w:tc>
          <w:tcPr>
            <w:tcW w:w="723" w:type="pct"/>
            <w:tcBorders>
              <w:top w:val="single" w:color="auto" w:sz="4" w:space="0"/>
              <w:left w:val="single" w:color="auto" w:sz="4" w:space="0"/>
              <w:bottom w:val="single" w:color="auto" w:sz="4" w:space="0"/>
              <w:right w:val="nil"/>
            </w:tcBorders>
            <w:noWrap w:val="0"/>
            <w:vAlign w:val="center"/>
          </w:tcPr>
          <w:p w14:paraId="2049554E">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65FD1B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gridSpan w:val="2"/>
            <w:tcBorders>
              <w:top w:val="single" w:color="auto" w:sz="4" w:space="0"/>
              <w:left w:val="nil"/>
              <w:bottom w:val="single" w:color="auto" w:sz="4" w:space="0"/>
              <w:right w:val="single" w:color="auto" w:sz="4" w:space="0"/>
            </w:tcBorders>
            <w:noWrap w:val="0"/>
            <w:vAlign w:val="top"/>
          </w:tcPr>
          <w:p w14:paraId="2787440E">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219D8D07">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铅</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592E615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00</w:t>
            </w:r>
          </w:p>
        </w:tc>
        <w:tc>
          <w:tcPr>
            <w:tcW w:w="0" w:type="auto"/>
            <w:tcBorders>
              <w:top w:val="single" w:color="auto" w:sz="4" w:space="0"/>
              <w:left w:val="single" w:color="auto" w:sz="4" w:space="0"/>
              <w:bottom w:val="single" w:color="auto" w:sz="4" w:space="0"/>
              <w:right w:val="nil"/>
            </w:tcBorders>
            <w:noWrap w:val="0"/>
            <w:vAlign w:val="center"/>
          </w:tcPr>
          <w:p w14:paraId="2B2DF184">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79416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gridSpan w:val="2"/>
            <w:tcBorders>
              <w:top w:val="single" w:color="auto" w:sz="4" w:space="0"/>
              <w:left w:val="nil"/>
              <w:bottom w:val="single" w:color="auto" w:sz="4" w:space="0"/>
              <w:right w:val="single" w:color="auto" w:sz="4" w:space="0"/>
            </w:tcBorders>
            <w:noWrap w:val="0"/>
            <w:vAlign w:val="top"/>
          </w:tcPr>
          <w:p w14:paraId="1029D528">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702C470B">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铬</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3667AED1">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00</w:t>
            </w:r>
          </w:p>
        </w:tc>
        <w:tc>
          <w:tcPr>
            <w:tcW w:w="0" w:type="auto"/>
            <w:tcBorders>
              <w:top w:val="single" w:color="auto" w:sz="4" w:space="0"/>
              <w:left w:val="single" w:color="auto" w:sz="4" w:space="0"/>
              <w:bottom w:val="single" w:color="auto" w:sz="4" w:space="0"/>
              <w:right w:val="nil"/>
            </w:tcBorders>
            <w:noWrap w:val="0"/>
            <w:vAlign w:val="center"/>
          </w:tcPr>
          <w:p w14:paraId="64858EF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3F39F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gridSpan w:val="2"/>
            <w:tcBorders>
              <w:top w:val="single" w:color="auto" w:sz="4" w:space="0"/>
              <w:left w:val="nil"/>
              <w:bottom w:val="single" w:color="auto" w:sz="4" w:space="0"/>
              <w:right w:val="single" w:color="auto" w:sz="4" w:space="0"/>
            </w:tcBorders>
            <w:noWrap w:val="0"/>
            <w:vAlign w:val="top"/>
          </w:tcPr>
          <w:p w14:paraId="58580C53">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33F6F4F8">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锌</w:t>
            </w:r>
          </w:p>
        </w:tc>
        <w:tc>
          <w:tcPr>
            <w:tcW w:w="0" w:type="auto"/>
            <w:gridSpan w:val="2"/>
            <w:tcBorders>
              <w:top w:val="single" w:color="auto" w:sz="4" w:space="0"/>
              <w:left w:val="single" w:color="auto" w:sz="4" w:space="0"/>
              <w:bottom w:val="single" w:color="auto" w:sz="4" w:space="0"/>
              <w:right w:val="single" w:color="auto" w:sz="4" w:space="0"/>
            </w:tcBorders>
            <w:noWrap w:val="0"/>
            <w:vAlign w:val="center"/>
          </w:tcPr>
          <w:p w14:paraId="290B90D0">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500</w:t>
            </w:r>
          </w:p>
        </w:tc>
        <w:tc>
          <w:tcPr>
            <w:tcW w:w="0" w:type="auto"/>
            <w:tcBorders>
              <w:top w:val="single" w:color="auto" w:sz="4" w:space="0"/>
              <w:left w:val="single" w:color="auto" w:sz="4" w:space="0"/>
              <w:bottom w:val="single" w:color="auto" w:sz="4" w:space="0"/>
              <w:right w:val="nil"/>
            </w:tcBorders>
            <w:noWrap w:val="0"/>
            <w:vAlign w:val="center"/>
          </w:tcPr>
          <w:p w14:paraId="45B86A1D">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mg/kg</w:t>
            </w:r>
          </w:p>
        </w:tc>
      </w:tr>
      <w:tr w14:paraId="4206D5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0" w:type="auto"/>
            <w:gridSpan w:val="2"/>
            <w:tcBorders>
              <w:top w:val="single" w:color="auto" w:sz="4" w:space="0"/>
              <w:left w:val="nil"/>
              <w:bottom w:val="single" w:color="auto" w:sz="12" w:space="0"/>
              <w:right w:val="single" w:color="auto" w:sz="4" w:space="0"/>
            </w:tcBorders>
            <w:noWrap w:val="0"/>
            <w:vAlign w:val="top"/>
          </w:tcPr>
          <w:p w14:paraId="6D3980DC">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w:t>
            </w:r>
          </w:p>
        </w:tc>
        <w:tc>
          <w:tcPr>
            <w:tcW w:w="0" w:type="auto"/>
            <w:gridSpan w:val="2"/>
            <w:tcBorders>
              <w:top w:val="single" w:color="auto" w:sz="4" w:space="0"/>
              <w:left w:val="single" w:color="auto" w:sz="4" w:space="0"/>
              <w:bottom w:val="single" w:color="auto" w:sz="12" w:space="0"/>
              <w:right w:val="single" w:color="auto" w:sz="4" w:space="0"/>
            </w:tcBorders>
            <w:noWrap w:val="0"/>
            <w:vAlign w:val="center"/>
          </w:tcPr>
          <w:p w14:paraId="114905AE">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镍</w:t>
            </w:r>
          </w:p>
        </w:tc>
        <w:tc>
          <w:tcPr>
            <w:tcW w:w="0" w:type="auto"/>
            <w:gridSpan w:val="2"/>
            <w:tcBorders>
              <w:top w:val="single" w:color="auto" w:sz="4" w:space="0"/>
              <w:left w:val="single" w:color="auto" w:sz="4" w:space="0"/>
              <w:bottom w:val="single" w:color="auto" w:sz="12" w:space="0"/>
              <w:right w:val="single" w:color="auto" w:sz="4" w:space="0"/>
            </w:tcBorders>
            <w:noWrap w:val="0"/>
            <w:vAlign w:val="center"/>
          </w:tcPr>
          <w:p w14:paraId="7CA2256A">
            <w:pPr>
              <w:pStyle w:val="146"/>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200</w:t>
            </w:r>
          </w:p>
        </w:tc>
        <w:tc>
          <w:tcPr>
            <w:tcW w:w="0" w:type="auto"/>
            <w:tcBorders>
              <w:top w:val="single" w:color="auto" w:sz="4" w:space="0"/>
              <w:left w:val="single" w:color="auto" w:sz="4" w:space="0"/>
              <w:bottom w:val="single" w:color="auto" w:sz="12" w:space="0"/>
              <w:right w:val="nil"/>
            </w:tcBorders>
            <w:noWrap w:val="0"/>
            <w:vAlign w:val="center"/>
          </w:tcPr>
          <w:p w14:paraId="64A5F1C6">
            <w:pPr>
              <w:pStyle w:val="146"/>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mg/kg</w:t>
            </w:r>
          </w:p>
        </w:tc>
      </w:tr>
    </w:tbl>
    <w:p w14:paraId="48184BA8">
      <w:pPr>
        <w:pStyle w:val="5"/>
        <w:spacing w:line="500" w:lineRule="exact"/>
        <w:rPr>
          <w:rFonts w:hint="default" w:ascii="Times New Roman" w:hAnsi="Times New Roman" w:cs="Times New Roman"/>
          <w:color w:val="auto"/>
          <w:highlight w:val="none"/>
        </w:rPr>
      </w:pPr>
      <w:bookmarkStart w:id="153" w:name="_Toc21404"/>
      <w:r>
        <w:rPr>
          <w:rFonts w:hint="default" w:ascii="Times New Roman" w:hAnsi="Times New Roman" w:cs="Times New Roman"/>
          <w:color w:val="auto"/>
          <w:highlight w:val="none"/>
        </w:rPr>
        <w:t>2.8.2污染物排放标准</w:t>
      </w:r>
      <w:bookmarkEnd w:id="150"/>
      <w:bookmarkEnd w:id="152"/>
      <w:bookmarkEnd w:id="153"/>
    </w:p>
    <w:p w14:paraId="4A632EC7">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2.8.2.1大气污染物</w:t>
      </w:r>
    </w:p>
    <w:p w14:paraId="3CB516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（1）施工期</w:t>
      </w:r>
    </w:p>
    <w:p w14:paraId="67FA110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项目施工期施工场地扬尘排放执行《大气污染物综合排放标准》（GB16297-1996）表2中无组织排放监控浓度限值（周界外浓度最高点≤1.0mg/m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bookmarkStart w:id="154" w:name="_Hlk29215274"/>
    </w:p>
    <w:p w14:paraId="571C6974">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w:t>
      </w:r>
      <w:r>
        <w:rPr>
          <w:rFonts w:hint="eastAsia" w:cs="Times New Roman"/>
          <w:color w:val="auto"/>
          <w:highlight w:val="none"/>
          <w:lang w:val="en-US" w:eastAsia="zh-CN"/>
        </w:rPr>
        <w:t>6</w:t>
      </w:r>
      <w:r>
        <w:rPr>
          <w:rFonts w:hint="default" w:ascii="Times New Roman" w:hAnsi="Times New Roman" w:cs="Times New Roman"/>
          <w:color w:val="auto"/>
          <w:highlight w:val="none"/>
        </w:rPr>
        <w:t>《大气污染物综合排放标准》（GB16297-1996）</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5754"/>
      </w:tblGrid>
      <w:tr w14:paraId="71B20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536" w:type="pct"/>
            <w:shd w:val="clear" w:color="auto" w:fill="auto"/>
            <w:vAlign w:val="center"/>
          </w:tcPr>
          <w:p w14:paraId="232431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污染物名称</w:t>
            </w:r>
          </w:p>
        </w:tc>
        <w:tc>
          <w:tcPr>
            <w:tcW w:w="3464" w:type="pct"/>
            <w:shd w:val="clear" w:color="auto" w:fill="auto"/>
            <w:vAlign w:val="center"/>
          </w:tcPr>
          <w:p w14:paraId="69FC66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无组织排放监控浓度限值</w:t>
            </w:r>
          </w:p>
        </w:tc>
      </w:tr>
      <w:tr w14:paraId="687428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1536" w:type="pct"/>
            <w:shd w:val="clear" w:color="auto" w:fill="auto"/>
            <w:vAlign w:val="center"/>
          </w:tcPr>
          <w:p w14:paraId="470484C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3464" w:type="pct"/>
            <w:shd w:val="clear" w:color="auto" w:fill="auto"/>
            <w:vAlign w:val="center"/>
          </w:tcPr>
          <w:p w14:paraId="57FFED1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1.0mg/m</w:t>
            </w:r>
            <w:r>
              <w:rPr>
                <w:rFonts w:hint="default" w:ascii="Times New Roman" w:hAnsi="Times New Roman" w:eastAsia="宋体" w:cs="Times New Roman"/>
                <w:color w:val="auto"/>
                <w:highlight w:val="none"/>
                <w:vertAlign w:val="superscript"/>
              </w:rPr>
              <w:t>3</w:t>
            </w:r>
          </w:p>
        </w:tc>
      </w:tr>
      <w:bookmarkEnd w:id="154"/>
    </w:tbl>
    <w:p w14:paraId="58692F6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（2）运营期</w:t>
      </w:r>
    </w:p>
    <w:p w14:paraId="0E19078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营期有组织氨、硫化氢、臭气浓度执行《恶臭污染物排放标准》（GB14553-93）中表2标准值要求；无组织氨、硫化氢厂界浓度执行《恶臭污染物排放标准》（GB14554-93）表1中二级新扩改建标准，臭气浓度排放标准执行《畜禽养殖业污染物排放标准》（GB18596-2001）中表7标准。</w:t>
      </w:r>
    </w:p>
    <w:p w14:paraId="13CFA157">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highlight w:val="none"/>
        </w:rPr>
        <w:t>表2-8-</w:t>
      </w:r>
      <w:r>
        <w:rPr>
          <w:rFonts w:hint="eastAsia" w:cs="Times New Roman"/>
          <w:snapToGrid w:val="0"/>
          <w:color w:val="auto"/>
          <w:highlight w:val="none"/>
          <w:lang w:val="en-US" w:eastAsia="zh-CN"/>
        </w:rPr>
        <w:t>7</w:t>
      </w:r>
      <w:r>
        <w:rPr>
          <w:rFonts w:hint="default" w:ascii="Times New Roman" w:hAnsi="Times New Roman" w:cs="Times New Roman"/>
          <w:snapToGrid w:val="0"/>
          <w:color w:val="auto"/>
          <w:kern w:val="0"/>
          <w:highlight w:val="none"/>
        </w:rPr>
        <w:t>废气污染物排放标准一览表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2390"/>
        <w:gridCol w:w="4106"/>
      </w:tblGrid>
      <w:tr w14:paraId="423D8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10A0EE12">
            <w:pPr>
              <w:pStyle w:val="146"/>
              <w:rPr>
                <w:rFonts w:hint="default" w:ascii="Times New Roman" w:hAnsi="Times New Roman" w:eastAsia="宋体" w:cs="Times New Roman"/>
                <w:snapToGrid w:val="0"/>
                <w:color w:val="auto"/>
                <w:highlight w:val="none"/>
              </w:rPr>
            </w:pPr>
            <w:bookmarkStart w:id="155" w:name="_Hlk28278509"/>
            <w:r>
              <w:rPr>
                <w:rFonts w:hint="default" w:ascii="Times New Roman" w:hAnsi="Times New Roman" w:eastAsia="宋体" w:cs="Times New Roman"/>
                <w:snapToGrid w:val="0"/>
                <w:color w:val="auto"/>
                <w:highlight w:val="none"/>
              </w:rPr>
              <w:t>污染因子</w:t>
            </w:r>
          </w:p>
        </w:tc>
        <w:tc>
          <w:tcPr>
            <w:tcW w:w="1438" w:type="pct"/>
            <w:shd w:val="clear" w:color="auto" w:fill="auto"/>
            <w:vAlign w:val="center"/>
          </w:tcPr>
          <w:p w14:paraId="3165294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标准值</w:t>
            </w:r>
          </w:p>
        </w:tc>
        <w:tc>
          <w:tcPr>
            <w:tcW w:w="2471" w:type="pct"/>
            <w:shd w:val="clear" w:color="auto" w:fill="auto"/>
            <w:vAlign w:val="center"/>
          </w:tcPr>
          <w:p w14:paraId="2CC6CA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标准来源</w:t>
            </w:r>
          </w:p>
        </w:tc>
      </w:tr>
      <w:tr w14:paraId="48F1FA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61572DD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臭气浓度</w:t>
            </w:r>
          </w:p>
        </w:tc>
        <w:tc>
          <w:tcPr>
            <w:tcW w:w="1438" w:type="pct"/>
            <w:shd w:val="clear" w:color="auto" w:fill="auto"/>
            <w:vAlign w:val="center"/>
          </w:tcPr>
          <w:p w14:paraId="01C79F0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70（无量纲）</w:t>
            </w:r>
          </w:p>
        </w:tc>
        <w:tc>
          <w:tcPr>
            <w:tcW w:w="2471" w:type="pct"/>
            <w:shd w:val="clear" w:color="auto" w:fill="auto"/>
            <w:vAlign w:val="center"/>
          </w:tcPr>
          <w:p w14:paraId="43C5387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《畜禽养殖业污染物排放标准》（GB18596-2001）表7中的标准</w:t>
            </w:r>
          </w:p>
        </w:tc>
      </w:tr>
      <w:tr w14:paraId="04BCD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380838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w:t>
            </w:r>
          </w:p>
        </w:tc>
        <w:tc>
          <w:tcPr>
            <w:tcW w:w="1438" w:type="pct"/>
            <w:shd w:val="clear" w:color="auto" w:fill="auto"/>
            <w:vAlign w:val="center"/>
          </w:tcPr>
          <w:p w14:paraId="547E4E3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0.06mg/m</w:t>
            </w:r>
            <w:r>
              <w:rPr>
                <w:rFonts w:hint="default" w:ascii="Times New Roman" w:hAnsi="Times New Roman" w:eastAsia="宋体" w:cs="Times New Roman"/>
                <w:snapToGrid w:val="0"/>
                <w:color w:val="auto"/>
                <w:highlight w:val="none"/>
                <w:vertAlign w:val="superscript"/>
              </w:rPr>
              <w:t>3</w:t>
            </w:r>
          </w:p>
        </w:tc>
        <w:tc>
          <w:tcPr>
            <w:tcW w:w="2471" w:type="pct"/>
            <w:vMerge w:val="restart"/>
            <w:shd w:val="clear" w:color="auto" w:fill="auto"/>
            <w:vAlign w:val="center"/>
          </w:tcPr>
          <w:p w14:paraId="775245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场界浓度执行《恶臭污染物排放标准》（GB14554-93）表1中二级新扩改建标准</w:t>
            </w:r>
          </w:p>
        </w:tc>
      </w:tr>
      <w:tr w14:paraId="19374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242058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w:t>
            </w:r>
          </w:p>
        </w:tc>
        <w:tc>
          <w:tcPr>
            <w:tcW w:w="1438" w:type="pct"/>
            <w:shd w:val="clear" w:color="auto" w:fill="auto"/>
            <w:vAlign w:val="center"/>
          </w:tcPr>
          <w:p w14:paraId="660E923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1.5mg/m</w:t>
            </w:r>
            <w:r>
              <w:rPr>
                <w:rFonts w:hint="default" w:ascii="Times New Roman" w:hAnsi="Times New Roman" w:eastAsia="宋体" w:cs="Times New Roman"/>
                <w:snapToGrid w:val="0"/>
                <w:color w:val="auto"/>
                <w:highlight w:val="none"/>
                <w:vertAlign w:val="superscript"/>
              </w:rPr>
              <w:t>3</w:t>
            </w:r>
          </w:p>
        </w:tc>
        <w:tc>
          <w:tcPr>
            <w:tcW w:w="2471" w:type="pct"/>
            <w:vMerge w:val="continue"/>
            <w:shd w:val="clear" w:color="auto" w:fill="auto"/>
            <w:vAlign w:val="center"/>
          </w:tcPr>
          <w:p w14:paraId="53A22402">
            <w:pPr>
              <w:pStyle w:val="146"/>
              <w:rPr>
                <w:rFonts w:hint="default" w:ascii="Times New Roman" w:hAnsi="Times New Roman" w:eastAsia="宋体" w:cs="Times New Roman"/>
                <w:snapToGrid w:val="0"/>
                <w:color w:val="auto"/>
                <w:highlight w:val="none"/>
              </w:rPr>
            </w:pPr>
          </w:p>
        </w:tc>
      </w:tr>
      <w:tr w14:paraId="2E67D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04E5CDE7">
            <w:pPr>
              <w:pStyle w:val="146"/>
              <w:ind w:left="0" w:leftChars="0" w:firstLine="0" w:firstLine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w:t>
            </w:r>
          </w:p>
        </w:tc>
        <w:tc>
          <w:tcPr>
            <w:tcW w:w="1438" w:type="pct"/>
            <w:shd w:val="clear" w:color="auto" w:fill="auto"/>
            <w:vAlign w:val="center"/>
          </w:tcPr>
          <w:p w14:paraId="6FA5230C">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0.33kg/h</w:t>
            </w:r>
          </w:p>
        </w:tc>
        <w:tc>
          <w:tcPr>
            <w:tcW w:w="2471" w:type="pct"/>
            <w:vMerge w:val="restart"/>
            <w:shd w:val="clear" w:color="auto" w:fill="auto"/>
            <w:vAlign w:val="center"/>
          </w:tcPr>
          <w:p w14:paraId="777F7BCE">
            <w:pPr>
              <w:pStyle w:val="14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有组织废物</w:t>
            </w:r>
            <w:r>
              <w:rPr>
                <w:rFonts w:hint="default" w:ascii="Times New Roman" w:hAnsi="Times New Roman" w:eastAsia="宋体" w:cs="Times New Roman"/>
                <w:snapToGrid w:val="0"/>
                <w:color w:val="auto"/>
                <w:highlight w:val="none"/>
              </w:rPr>
              <w:t>执行《恶臭污染物排放标准》（GB14554-93）表</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中</w:t>
            </w:r>
            <w:r>
              <w:rPr>
                <w:rFonts w:hint="eastAsia" w:ascii="Times New Roman" w:hAnsi="Times New Roman" w:eastAsia="宋体" w:cs="Times New Roman"/>
                <w:snapToGrid w:val="0"/>
                <w:color w:val="auto"/>
                <w:highlight w:val="none"/>
                <w:lang w:val="en-US" w:eastAsia="zh-CN"/>
              </w:rPr>
              <w:t>15m高排气筒污染物排放标准</w:t>
            </w:r>
          </w:p>
        </w:tc>
      </w:tr>
      <w:tr w14:paraId="49822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89" w:type="pct"/>
            <w:shd w:val="clear" w:color="auto" w:fill="auto"/>
            <w:vAlign w:val="center"/>
          </w:tcPr>
          <w:p w14:paraId="2E3266BA">
            <w:pPr>
              <w:pStyle w:val="146"/>
              <w:ind w:left="0" w:leftChars="0" w:firstLine="0" w:firstLine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w:t>
            </w:r>
          </w:p>
        </w:tc>
        <w:tc>
          <w:tcPr>
            <w:tcW w:w="1438" w:type="pct"/>
            <w:shd w:val="clear" w:color="auto" w:fill="auto"/>
            <w:vAlign w:val="center"/>
          </w:tcPr>
          <w:p w14:paraId="6474220C">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4.9kg/h</w:t>
            </w:r>
          </w:p>
        </w:tc>
        <w:tc>
          <w:tcPr>
            <w:tcW w:w="2471" w:type="pct"/>
            <w:vMerge w:val="continue"/>
            <w:shd w:val="clear" w:color="auto" w:fill="auto"/>
            <w:vAlign w:val="center"/>
          </w:tcPr>
          <w:p w14:paraId="64E75373">
            <w:pPr>
              <w:pStyle w:val="146"/>
              <w:rPr>
                <w:rFonts w:hint="default" w:ascii="Times New Roman" w:hAnsi="Times New Roman" w:eastAsia="宋体" w:cs="Times New Roman"/>
                <w:snapToGrid w:val="0"/>
                <w:color w:val="auto"/>
                <w:highlight w:val="none"/>
              </w:rPr>
            </w:pPr>
          </w:p>
        </w:tc>
      </w:tr>
      <w:bookmarkEnd w:id="155"/>
    </w:tbl>
    <w:p w14:paraId="0BFC6C40">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2.8.2.2水污染物</w:t>
      </w:r>
    </w:p>
    <w:p w14:paraId="76A4D1F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施工期</w:t>
      </w:r>
    </w:p>
    <w:p w14:paraId="1A410AD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项目施工期生活污水排入防渗旱厕，定期清掏，外运积肥，不外排。施工废水经沉淀池沉淀后用于场地洒水抑尘，不外排。</w:t>
      </w:r>
    </w:p>
    <w:p w14:paraId="35C1F6D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运营期</w:t>
      </w:r>
    </w:p>
    <w:p w14:paraId="1276E71E">
      <w:pPr>
        <w:bidi w:val="0"/>
        <w:rPr>
          <w:rFonts w:hint="eastAsia" w:eastAsia="宋体" w:cs="Times New Roman"/>
          <w:color w:val="auto"/>
          <w:highlight w:val="none"/>
          <w:lang w:eastAsia="zh-CN"/>
        </w:rPr>
      </w:pPr>
      <w:r>
        <w:rPr>
          <w:rFonts w:hint="default" w:ascii="Times New Roman" w:hAnsi="Times New Roman" w:eastAsia="宋体" w:cs="Times New Roman"/>
          <w:color w:val="auto"/>
          <w:highlight w:val="none"/>
        </w:rPr>
        <w:t>项目运营期粪污处理根据《规模畜禽养殖场污染防治</w:t>
      </w:r>
      <w:r>
        <w:rPr>
          <w:rFonts w:hint="eastAsia" w:ascii="Times New Roman" w:hAnsi="Times New Roman" w:eastAsia="宋体" w:cs="Times New Roman"/>
          <w:color w:val="auto"/>
          <w:highlight w:val="none"/>
        </w:rPr>
        <w:t>最佳可行技术指南（试行）</w:t>
      </w:r>
      <w:r>
        <w:rPr>
          <w:rFonts w:hint="default" w:ascii="Times New Roman" w:hAnsi="Times New Roman" w:eastAsia="宋体" w:cs="Times New Roman"/>
          <w:color w:val="auto"/>
          <w:highlight w:val="none"/>
        </w:rPr>
        <w:t>》（HJ-BAT-10）要求</w:t>
      </w:r>
      <w:r>
        <w:rPr>
          <w:rFonts w:hint="default" w:ascii="Times New Roman" w:hAnsi="Times New Roman" w:eastAsia="宋体" w:cs="Times New Roman"/>
          <w:color w:val="auto"/>
          <w:highlight w:val="none"/>
          <w:lang w:val="en-US" w:eastAsia="zh-CN"/>
        </w:rPr>
        <w:t>使用</w:t>
      </w:r>
      <w:r>
        <w:rPr>
          <w:rFonts w:hint="eastAsia" w:ascii="Times New Roman" w:hAnsi="Times New Roman" w:eastAsia="宋体" w:cs="Times New Roman"/>
          <w:color w:val="auto"/>
          <w:highlight w:val="none"/>
          <w:lang w:val="en-US" w:eastAsia="zh-CN"/>
        </w:rPr>
        <w:t>畜禽养殖生物发酵床技术</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生物发</w:t>
      </w:r>
      <w:r>
        <w:rPr>
          <w:rFonts w:hint="eastAsia" w:ascii="Times New Roman" w:hAnsi="Times New Roman" w:eastAsia="宋体" w:cs="Times New Roman"/>
          <w:color w:val="auto"/>
          <w:highlight w:val="none"/>
        </w:rPr>
        <w:t>酵床技术是按一定比例将发酵菌种与秸秆、锯末、稻壳以及辅助材料等混合，通过发酵形成有机垫料，将有机垫</w:t>
      </w:r>
      <w:r>
        <w:rPr>
          <w:rFonts w:hint="eastAsia" w:ascii="Times New Roman" w:hAnsi="Times New Roman" w:eastAsia="宋体" w:cs="Times New Roman"/>
          <w:color w:val="auto"/>
          <w:highlight w:val="none"/>
          <w:lang w:val="en-US" w:eastAsia="zh-CN"/>
        </w:rPr>
        <w:t>料置于牛舍内，利用微生物对粪便进行降解、吸氨固氮而形成有机肥</w:t>
      </w:r>
      <w:r>
        <w:rPr>
          <w:rFonts w:hint="default" w:ascii="Times New Roman" w:hAnsi="Times New Roman" w:eastAsia="宋体" w:cs="Times New Roman"/>
          <w:color w:val="auto"/>
          <w:highlight w:val="none"/>
          <w:lang w:val="en-US" w:eastAsia="zh-CN"/>
        </w:rPr>
        <w:t>。牛饮水大部分被牛只吸收，其余以牛尿形式排出，牛舍采用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eastAsia="zh-CN"/>
        </w:rPr>
        <w:t>生活污水排入化粪池，定期外运，不外排。</w:t>
      </w:r>
      <w:r>
        <w:rPr>
          <w:rFonts w:hint="default" w:ascii="Times New Roman" w:hAnsi="Times New Roman" w:eastAsia="宋体" w:cs="Times New Roman"/>
          <w:color w:val="auto"/>
          <w:highlight w:val="none"/>
          <w:lang w:val="en-US" w:eastAsia="zh-CN"/>
        </w:rPr>
        <w:t>消毒用水全部损耗，不产生废水。采取将青贮窖渗滤液与精料按比例配合饲喂肉牛，其味道酸甜，可促进食欲，但须随配随用</w:t>
      </w:r>
      <w:r>
        <w:rPr>
          <w:rFonts w:hint="default" w:ascii="Times New Roman" w:hAnsi="Times New Roman" w:eastAsia="宋体" w:cs="Times New Roman"/>
          <w:color w:val="auto"/>
          <w:highlight w:val="none"/>
        </w:rPr>
        <w:t>，以免发霉。冬季不进行玉米秸秆青贮发酵生产，无渗滤液产生。</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定期喷洒至粪肥表面翻耕搅拌，不外排。保证防止污染水环境</w:t>
      </w:r>
      <w:r>
        <w:rPr>
          <w:rFonts w:hint="eastAsia" w:eastAsia="宋体" w:cs="Times New Roman"/>
          <w:color w:val="auto"/>
          <w:highlight w:val="none"/>
          <w:lang w:eastAsia="zh-CN"/>
        </w:rPr>
        <w:t>。</w:t>
      </w:r>
    </w:p>
    <w:p w14:paraId="56CADE38">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2.8.2.3噪声</w:t>
      </w:r>
    </w:p>
    <w:p w14:paraId="4C380A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（1）施工期</w:t>
      </w:r>
    </w:p>
    <w:p w14:paraId="0575A6D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项目施工期噪声排放执行《建筑施工噪声排放标准》（GB12523-2025），见下表。</w:t>
      </w:r>
    </w:p>
    <w:p w14:paraId="049A7790">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表2-8-</w:t>
      </w:r>
      <w:r>
        <w:rPr>
          <w:rFonts w:hint="eastAsia" w:cs="Times New Roman"/>
          <w:snapToGrid w:val="0"/>
          <w:color w:val="auto"/>
          <w:highlight w:val="none"/>
          <w:lang w:val="en-US" w:eastAsia="zh-CN"/>
        </w:rPr>
        <w:t>8</w:t>
      </w:r>
      <w:r>
        <w:rPr>
          <w:rFonts w:hint="default" w:ascii="Times New Roman" w:hAnsi="Times New Roman" w:cs="Times New Roman"/>
          <w:snapToGrid w:val="0"/>
          <w:color w:val="auto"/>
          <w:highlight w:val="none"/>
        </w:rPr>
        <w:t>建筑施工场界噪声排放标准</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93"/>
        <w:gridCol w:w="2756"/>
        <w:gridCol w:w="2757"/>
      </w:tblGrid>
      <w:tr w14:paraId="0BEE0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 w:hRule="atLeast"/>
        </w:trPr>
        <w:tc>
          <w:tcPr>
            <w:tcW w:w="2793" w:type="dxa"/>
            <w:vMerge w:val="restart"/>
            <w:shd w:val="clear" w:color="auto" w:fill="auto"/>
            <w:vAlign w:val="center"/>
          </w:tcPr>
          <w:p w14:paraId="259CC9D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主要噪声源</w:t>
            </w:r>
          </w:p>
        </w:tc>
        <w:tc>
          <w:tcPr>
            <w:tcW w:w="5513" w:type="dxa"/>
            <w:gridSpan w:val="2"/>
            <w:shd w:val="clear" w:color="auto" w:fill="auto"/>
            <w:vAlign w:val="center"/>
          </w:tcPr>
          <w:p w14:paraId="2471104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噪声限值[dB（A）]</w:t>
            </w:r>
          </w:p>
        </w:tc>
      </w:tr>
      <w:tr w14:paraId="2289E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3" w:type="dxa"/>
            <w:vMerge w:val="continue"/>
            <w:shd w:val="clear" w:color="auto" w:fill="auto"/>
            <w:vAlign w:val="center"/>
          </w:tcPr>
          <w:p w14:paraId="52E30FFD">
            <w:pPr>
              <w:pStyle w:val="146"/>
              <w:rPr>
                <w:rFonts w:hint="default" w:ascii="Times New Roman" w:hAnsi="Times New Roman" w:eastAsia="宋体" w:cs="Times New Roman"/>
                <w:snapToGrid w:val="0"/>
                <w:color w:val="auto"/>
                <w:highlight w:val="none"/>
              </w:rPr>
            </w:pPr>
          </w:p>
        </w:tc>
        <w:tc>
          <w:tcPr>
            <w:tcW w:w="2756" w:type="dxa"/>
            <w:shd w:val="clear" w:color="auto" w:fill="auto"/>
            <w:vAlign w:val="center"/>
          </w:tcPr>
          <w:p w14:paraId="3BAD33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昼间</w:t>
            </w:r>
          </w:p>
        </w:tc>
        <w:tc>
          <w:tcPr>
            <w:tcW w:w="2757" w:type="dxa"/>
            <w:shd w:val="clear" w:color="auto" w:fill="auto"/>
            <w:vAlign w:val="center"/>
          </w:tcPr>
          <w:p w14:paraId="602698F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夜间</w:t>
            </w:r>
          </w:p>
        </w:tc>
      </w:tr>
      <w:tr w14:paraId="490AF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3" w:type="dxa"/>
            <w:shd w:val="clear" w:color="auto" w:fill="auto"/>
            <w:vAlign w:val="center"/>
          </w:tcPr>
          <w:p w14:paraId="4F49269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建筑施工</w:t>
            </w:r>
          </w:p>
        </w:tc>
        <w:tc>
          <w:tcPr>
            <w:tcW w:w="2756" w:type="dxa"/>
            <w:shd w:val="clear" w:color="auto" w:fill="auto"/>
            <w:vAlign w:val="center"/>
          </w:tcPr>
          <w:p w14:paraId="48A033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70</w:t>
            </w:r>
          </w:p>
        </w:tc>
        <w:tc>
          <w:tcPr>
            <w:tcW w:w="2757" w:type="dxa"/>
            <w:shd w:val="clear" w:color="auto" w:fill="auto"/>
            <w:vAlign w:val="center"/>
          </w:tcPr>
          <w:p w14:paraId="3D0423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55</w:t>
            </w:r>
          </w:p>
        </w:tc>
      </w:tr>
    </w:tbl>
    <w:p w14:paraId="53EB429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（2）运营期</w:t>
      </w:r>
    </w:p>
    <w:p w14:paraId="514ED49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项目运营期噪声排放执行《工业企业厂界环境噪声排放标准》（GB12348-2008）表1中的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类声环境功能区标准限值，见下表。</w:t>
      </w:r>
    </w:p>
    <w:p w14:paraId="64EBA6D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w:t>
      </w:r>
      <w:r>
        <w:rPr>
          <w:rFonts w:hint="eastAsia" w:cs="Times New Roman"/>
          <w:color w:val="auto"/>
          <w:highlight w:val="none"/>
          <w:lang w:val="en-US" w:eastAsia="zh-CN"/>
        </w:rPr>
        <w:t>9</w:t>
      </w:r>
      <w:r>
        <w:rPr>
          <w:rFonts w:hint="default" w:ascii="Times New Roman" w:hAnsi="Times New Roman" w:cs="Times New Roman"/>
          <w:color w:val="auto"/>
          <w:highlight w:val="none"/>
        </w:rPr>
        <w:t>工业企业厂界噪声标准</w:t>
      </w:r>
    </w:p>
    <w:tbl>
      <w:tblPr>
        <w:tblStyle w:val="47"/>
        <w:tblW w:w="500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3"/>
        <w:gridCol w:w="1933"/>
        <w:gridCol w:w="1769"/>
        <w:gridCol w:w="2774"/>
      </w:tblGrid>
      <w:tr w14:paraId="77DDD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 w:hRule="atLeast"/>
        </w:trPr>
        <w:tc>
          <w:tcPr>
            <w:tcW w:w="1108" w:type="pct"/>
            <w:vMerge w:val="restart"/>
            <w:shd w:val="clear" w:color="auto" w:fill="auto"/>
            <w:vAlign w:val="center"/>
          </w:tcPr>
          <w:p w14:paraId="40FB8CB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控制项目</w:t>
            </w:r>
          </w:p>
        </w:tc>
        <w:tc>
          <w:tcPr>
            <w:tcW w:w="1162" w:type="pct"/>
            <w:vMerge w:val="restart"/>
            <w:shd w:val="clear" w:color="auto" w:fill="auto"/>
            <w:vAlign w:val="center"/>
          </w:tcPr>
          <w:p w14:paraId="79F1D93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声环境功能区类别</w:t>
            </w:r>
          </w:p>
        </w:tc>
        <w:tc>
          <w:tcPr>
            <w:tcW w:w="2730" w:type="pct"/>
            <w:gridSpan w:val="2"/>
            <w:shd w:val="clear" w:color="auto" w:fill="auto"/>
            <w:vAlign w:val="center"/>
          </w:tcPr>
          <w:p w14:paraId="59328B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标准值[dB（A）]</w:t>
            </w:r>
          </w:p>
        </w:tc>
      </w:tr>
      <w:tr w14:paraId="1890A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1108" w:type="pct"/>
            <w:vMerge w:val="continue"/>
            <w:shd w:val="clear" w:color="auto" w:fill="auto"/>
            <w:vAlign w:val="center"/>
          </w:tcPr>
          <w:p w14:paraId="4ED9CD42">
            <w:pPr>
              <w:pStyle w:val="146"/>
              <w:rPr>
                <w:rFonts w:hint="default" w:ascii="Times New Roman" w:hAnsi="Times New Roman" w:eastAsia="宋体" w:cs="Times New Roman"/>
                <w:snapToGrid w:val="0"/>
                <w:color w:val="auto"/>
                <w:highlight w:val="none"/>
              </w:rPr>
            </w:pPr>
          </w:p>
        </w:tc>
        <w:tc>
          <w:tcPr>
            <w:tcW w:w="1162" w:type="pct"/>
            <w:vMerge w:val="continue"/>
            <w:shd w:val="clear" w:color="auto" w:fill="auto"/>
            <w:vAlign w:val="center"/>
          </w:tcPr>
          <w:p w14:paraId="30FF6D1B">
            <w:pPr>
              <w:pStyle w:val="146"/>
              <w:rPr>
                <w:rFonts w:hint="default" w:ascii="Times New Roman" w:hAnsi="Times New Roman" w:eastAsia="宋体" w:cs="Times New Roman"/>
                <w:snapToGrid w:val="0"/>
                <w:color w:val="auto"/>
                <w:highlight w:val="none"/>
              </w:rPr>
            </w:pPr>
          </w:p>
        </w:tc>
        <w:tc>
          <w:tcPr>
            <w:tcW w:w="1063" w:type="pct"/>
            <w:shd w:val="clear" w:color="auto" w:fill="auto"/>
            <w:vAlign w:val="center"/>
          </w:tcPr>
          <w:p w14:paraId="0F01A1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昼间</w:t>
            </w:r>
          </w:p>
        </w:tc>
        <w:tc>
          <w:tcPr>
            <w:tcW w:w="1667" w:type="pct"/>
            <w:shd w:val="clear" w:color="auto" w:fill="auto"/>
            <w:vAlign w:val="center"/>
          </w:tcPr>
          <w:p w14:paraId="442849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夜间</w:t>
            </w:r>
          </w:p>
        </w:tc>
      </w:tr>
      <w:tr w14:paraId="3CD55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1108" w:type="pct"/>
            <w:shd w:val="clear" w:color="auto" w:fill="auto"/>
            <w:vAlign w:val="center"/>
          </w:tcPr>
          <w:p w14:paraId="4F76C7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162" w:type="pct"/>
            <w:shd w:val="clear" w:color="auto" w:fill="auto"/>
            <w:vAlign w:val="center"/>
          </w:tcPr>
          <w:p w14:paraId="32F2ECD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类</w:t>
            </w:r>
          </w:p>
        </w:tc>
        <w:tc>
          <w:tcPr>
            <w:tcW w:w="1063" w:type="pct"/>
            <w:shd w:val="clear" w:color="auto" w:fill="auto"/>
            <w:vAlign w:val="center"/>
          </w:tcPr>
          <w:p w14:paraId="7467ADF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55</w:t>
            </w:r>
          </w:p>
        </w:tc>
        <w:tc>
          <w:tcPr>
            <w:tcW w:w="1667" w:type="pct"/>
            <w:shd w:val="clear" w:color="auto" w:fill="auto"/>
            <w:vAlign w:val="center"/>
          </w:tcPr>
          <w:p w14:paraId="68020E6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45</w:t>
            </w:r>
          </w:p>
        </w:tc>
      </w:tr>
    </w:tbl>
    <w:p w14:paraId="3D9875BE">
      <w:pPr>
        <w:pStyle w:val="6"/>
        <w:spacing w:line="5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2.8.2.4固体废物</w:t>
      </w:r>
    </w:p>
    <w:p w14:paraId="7C5A46C4">
      <w:pPr>
        <w:pStyle w:val="6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eastAsia" w:eastAsia="宋体" w:cs="Times New Roman"/>
          <w:color w:val="auto"/>
          <w:highlight w:val="none"/>
          <w:lang w:val="en-US" w:eastAsia="zh-CN"/>
        </w:rPr>
        <w:t>废垫料</w:t>
      </w:r>
    </w:p>
    <w:p w14:paraId="3EB651CC">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《畜禽养殖业污染物排放标准》（GB18596-2001）的畜禽养殖</w:t>
      </w:r>
      <w:r>
        <w:rPr>
          <w:rFonts w:hint="default" w:ascii="Times New Roman" w:hAnsi="Times New Roman" w:eastAsia="宋体" w:cs="Times New Roman"/>
          <w:color w:val="auto"/>
          <w:highlight w:val="none"/>
          <w:lang w:val="en-US" w:eastAsia="zh-CN"/>
        </w:rPr>
        <w:t>业废渣无害化环境标准</w:t>
      </w:r>
      <w:r>
        <w:rPr>
          <w:rFonts w:hint="default" w:ascii="Times New Roman" w:hAnsi="Times New Roman" w:eastAsia="宋体" w:cs="Times New Roman"/>
          <w:color w:val="auto"/>
          <w:highlight w:val="none"/>
        </w:rPr>
        <w:t>，《畜禽粪便无害化处理技术规范》（GB/T36195-2018）、《畜禽粪便还田技术规范》（GB/T25246-2010)中粪便堆肥无害化卫生要求的相关规定。详见表2-8-</w:t>
      </w:r>
      <w:r>
        <w:rPr>
          <w:rFonts w:hint="eastAsia" w:eastAsia="宋体" w:cs="Times New Roman"/>
          <w:color w:val="auto"/>
          <w:highlight w:val="none"/>
          <w:lang w:val="en-US" w:eastAsia="zh-CN"/>
        </w:rPr>
        <w:t>10</w:t>
      </w:r>
      <w:r>
        <w:rPr>
          <w:rFonts w:hint="default" w:ascii="Times New Roman" w:hAnsi="Times New Roman" w:eastAsia="宋体" w:cs="Times New Roman"/>
          <w:color w:val="auto"/>
          <w:highlight w:val="none"/>
        </w:rPr>
        <w:t>、表2-8-1</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表2-8-1</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w:t>
      </w:r>
    </w:p>
    <w:p w14:paraId="6C1370E8">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表2-8-1</w:t>
      </w:r>
      <w:r>
        <w:rPr>
          <w:rFonts w:hint="eastAsia" w:cs="Times New Roman"/>
          <w:snapToGrid w:val="0"/>
          <w:color w:val="auto"/>
          <w:highlight w:val="none"/>
          <w:lang w:val="en-US" w:eastAsia="zh-CN"/>
        </w:rPr>
        <w:t>0</w:t>
      </w:r>
      <w:r>
        <w:rPr>
          <w:rFonts w:hint="default" w:ascii="Times New Roman" w:hAnsi="Times New Roman" w:cs="Times New Roman"/>
          <w:color w:val="auto"/>
          <w:highlight w:val="none"/>
        </w:rPr>
        <w:t>《畜禽养殖业污染物排放标准》（GB18596-2001）</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9"/>
        <w:gridCol w:w="5987"/>
      </w:tblGrid>
      <w:tr w14:paraId="3AE60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059CB7C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控制项目</w:t>
            </w:r>
          </w:p>
        </w:tc>
        <w:tc>
          <w:tcPr>
            <w:tcW w:w="6146" w:type="dxa"/>
            <w:shd w:val="clear" w:color="auto" w:fill="auto"/>
            <w:vAlign w:val="center"/>
          </w:tcPr>
          <w:p w14:paraId="0C3BAF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指标</w:t>
            </w:r>
          </w:p>
        </w:tc>
      </w:tr>
      <w:tr w14:paraId="5988A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451E8EB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蛔虫卵</w:t>
            </w:r>
          </w:p>
        </w:tc>
        <w:tc>
          <w:tcPr>
            <w:tcW w:w="6146" w:type="dxa"/>
            <w:shd w:val="clear" w:color="auto" w:fill="auto"/>
            <w:vAlign w:val="center"/>
          </w:tcPr>
          <w:p w14:paraId="262F78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死亡率≥95%</w:t>
            </w:r>
          </w:p>
        </w:tc>
      </w:tr>
      <w:tr w14:paraId="59727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051BE1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粪大肠菌群数</w:t>
            </w:r>
          </w:p>
        </w:tc>
        <w:tc>
          <w:tcPr>
            <w:tcW w:w="6146" w:type="dxa"/>
            <w:shd w:val="clear" w:color="auto" w:fill="auto"/>
            <w:vAlign w:val="center"/>
          </w:tcPr>
          <w:p w14:paraId="26DB29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5</w:t>
            </w:r>
            <w:r>
              <w:rPr>
                <w:rFonts w:hint="default" w:ascii="Times New Roman" w:hAnsi="Times New Roman" w:eastAsia="宋体" w:cs="Times New Roman"/>
                <w:snapToGrid w:val="0"/>
                <w:color w:val="auto"/>
                <w:highlight w:val="none"/>
              </w:rPr>
              <w:t>个/kg</w:t>
            </w:r>
          </w:p>
        </w:tc>
      </w:tr>
    </w:tbl>
    <w:p w14:paraId="7119799C">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表2-8-1</w:t>
      </w:r>
      <w:r>
        <w:rPr>
          <w:rFonts w:hint="eastAsia" w:cs="Times New Roman"/>
          <w:snapToGrid w:val="0"/>
          <w:color w:val="auto"/>
          <w:highlight w:val="none"/>
          <w:lang w:val="en-US" w:eastAsia="zh-CN"/>
        </w:rPr>
        <w:t>1</w:t>
      </w:r>
      <w:r>
        <w:rPr>
          <w:rFonts w:hint="default" w:ascii="Times New Roman" w:hAnsi="Times New Roman" w:cs="Times New Roman"/>
          <w:color w:val="auto"/>
          <w:highlight w:val="none"/>
        </w:rPr>
        <w:t>《畜禽粪便无害化处理技术规范》（GB/T36195-2018）</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19"/>
        <w:gridCol w:w="5987"/>
      </w:tblGrid>
      <w:tr w14:paraId="06C4D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265D1DD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控制项目</w:t>
            </w:r>
          </w:p>
        </w:tc>
        <w:tc>
          <w:tcPr>
            <w:tcW w:w="6146" w:type="dxa"/>
            <w:shd w:val="clear" w:color="auto" w:fill="auto"/>
            <w:vAlign w:val="center"/>
          </w:tcPr>
          <w:p w14:paraId="422C793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指标</w:t>
            </w:r>
          </w:p>
        </w:tc>
      </w:tr>
      <w:tr w14:paraId="500DF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340387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蛔虫卵</w:t>
            </w:r>
          </w:p>
        </w:tc>
        <w:tc>
          <w:tcPr>
            <w:tcW w:w="6146" w:type="dxa"/>
            <w:shd w:val="clear" w:color="auto" w:fill="auto"/>
            <w:vAlign w:val="center"/>
          </w:tcPr>
          <w:p w14:paraId="6EA8AE8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死亡率≥95%</w:t>
            </w:r>
          </w:p>
        </w:tc>
      </w:tr>
      <w:tr w14:paraId="0EBC9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6" w:type="dxa"/>
            <w:shd w:val="clear" w:color="auto" w:fill="auto"/>
            <w:vAlign w:val="center"/>
          </w:tcPr>
          <w:p w14:paraId="686D256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粪大肠菌群数</w:t>
            </w:r>
          </w:p>
        </w:tc>
        <w:tc>
          <w:tcPr>
            <w:tcW w:w="6146" w:type="dxa"/>
            <w:shd w:val="clear" w:color="auto" w:fill="auto"/>
            <w:vAlign w:val="center"/>
          </w:tcPr>
          <w:p w14:paraId="49512C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5</w:t>
            </w:r>
            <w:r>
              <w:rPr>
                <w:rFonts w:hint="default" w:ascii="Times New Roman" w:hAnsi="Times New Roman" w:eastAsia="宋体" w:cs="Times New Roman"/>
                <w:snapToGrid w:val="0"/>
                <w:color w:val="auto"/>
                <w:highlight w:val="none"/>
              </w:rPr>
              <w:t>个/kg</w:t>
            </w:r>
          </w:p>
        </w:tc>
      </w:tr>
    </w:tbl>
    <w:p w14:paraId="26C32A4B">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表2-8-1</w:t>
      </w:r>
      <w:r>
        <w:rPr>
          <w:rFonts w:hint="eastAsia" w:cs="Times New Roman"/>
          <w:color w:val="auto"/>
          <w:highlight w:val="none"/>
          <w:lang w:val="en-US" w:eastAsia="zh-CN"/>
        </w:rPr>
        <w:t>2</w:t>
      </w:r>
      <w:r>
        <w:rPr>
          <w:rFonts w:hint="default" w:ascii="Times New Roman" w:hAnsi="Times New Roman" w:cs="Times New Roman"/>
          <w:color w:val="auto"/>
          <w:highlight w:val="none"/>
        </w:rPr>
        <w:t>《畜禽粪便还田技术规范》（GB/T25246-2010)</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16"/>
        <w:gridCol w:w="5990"/>
      </w:tblGrid>
      <w:tr w14:paraId="29C8C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pct"/>
            <w:shd w:val="clear" w:color="auto" w:fill="auto"/>
            <w:vAlign w:val="center"/>
          </w:tcPr>
          <w:p w14:paraId="06D00BA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w:t>
            </w:r>
          </w:p>
        </w:tc>
        <w:tc>
          <w:tcPr>
            <w:tcW w:w="3606" w:type="pct"/>
            <w:shd w:val="clear" w:color="auto" w:fill="auto"/>
            <w:vAlign w:val="center"/>
          </w:tcPr>
          <w:p w14:paraId="540811C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要求</w:t>
            </w:r>
          </w:p>
        </w:tc>
      </w:tr>
      <w:tr w14:paraId="1BB49B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pct"/>
            <w:shd w:val="clear" w:color="auto" w:fill="auto"/>
            <w:vAlign w:val="center"/>
          </w:tcPr>
          <w:p w14:paraId="0D3BE24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蛔虫卵死亡率</w:t>
            </w:r>
          </w:p>
        </w:tc>
        <w:tc>
          <w:tcPr>
            <w:tcW w:w="3606" w:type="pct"/>
            <w:shd w:val="clear" w:color="auto" w:fill="auto"/>
            <w:vAlign w:val="center"/>
          </w:tcPr>
          <w:p w14:paraId="7DD8404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95%~100%</w:t>
            </w:r>
          </w:p>
        </w:tc>
      </w:tr>
      <w:tr w14:paraId="1C82B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pct"/>
            <w:shd w:val="clear" w:color="auto" w:fill="auto"/>
            <w:vAlign w:val="center"/>
          </w:tcPr>
          <w:p w14:paraId="199F7CA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粪大肠菌群值</w:t>
            </w:r>
          </w:p>
        </w:tc>
        <w:tc>
          <w:tcPr>
            <w:tcW w:w="3606" w:type="pct"/>
            <w:shd w:val="clear" w:color="auto" w:fill="auto"/>
            <w:vAlign w:val="center"/>
          </w:tcPr>
          <w:p w14:paraId="438E70A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-1</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-2</w:t>
            </w:r>
          </w:p>
        </w:tc>
      </w:tr>
      <w:tr w14:paraId="5D606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4" w:type="pct"/>
            <w:shd w:val="clear" w:color="auto" w:fill="auto"/>
            <w:vAlign w:val="center"/>
          </w:tcPr>
          <w:p w14:paraId="43DDDC5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苍蝇</w:t>
            </w:r>
          </w:p>
        </w:tc>
        <w:tc>
          <w:tcPr>
            <w:tcW w:w="3606" w:type="pct"/>
            <w:shd w:val="clear" w:color="auto" w:fill="auto"/>
            <w:vAlign w:val="center"/>
          </w:tcPr>
          <w:p w14:paraId="6E8B8E7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堆肥中及堆肥周围没有活动的蛆，蛹或新孵化的成蝇</w:t>
            </w:r>
          </w:p>
        </w:tc>
      </w:tr>
    </w:tbl>
    <w:p w14:paraId="11BA8CD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病死牛</w:t>
      </w:r>
    </w:p>
    <w:p w14:paraId="343EF8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病死牛尸体的处理与处置要严格按照《畜禽养殖业污染防治技术规范》（HJ/T81-2001）和《病死及病害动物无害化处理技术规范》（农医发[2017]25号）等中相关规定执行。</w:t>
      </w:r>
    </w:p>
    <w:p w14:paraId="1BCE732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医疗废物</w:t>
      </w:r>
    </w:p>
    <w:p w14:paraId="4A9F82F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医疗废物按危险废物管理，医疗废物的暂存按照《危险废物贮存污染控制标准》（GB18597-2023）的规定执行，医疗废物交由有资质的单位处置。</w:t>
      </w:r>
    </w:p>
    <w:p w14:paraId="532F0063">
      <w:pPr>
        <w:pStyle w:val="67"/>
        <w:ind w:firstLine="480"/>
        <w:rPr>
          <w:rFonts w:hint="default" w:ascii="Times New Roman" w:hAnsi="Times New Roman" w:eastAsia="宋体" w:cs="Times New Roman"/>
          <w:color w:val="auto"/>
          <w:highlight w:val="none"/>
        </w:rPr>
      </w:pPr>
      <w:bookmarkStart w:id="156" w:name="_Hlk514574393"/>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bookmarkEnd w:id="156"/>
      <w:r>
        <w:rPr>
          <w:rFonts w:hint="default" w:ascii="Times New Roman" w:hAnsi="Times New Roman" w:eastAsia="宋体" w:cs="Times New Roman"/>
          <w:color w:val="auto"/>
          <w:highlight w:val="none"/>
        </w:rPr>
        <w:t>生活垃圾</w:t>
      </w:r>
    </w:p>
    <w:p w14:paraId="5BBD3C96">
      <w:pPr>
        <w:pStyle w:val="67"/>
        <w:ind w:firstLine="480"/>
        <w:rPr>
          <w:rFonts w:hint="default" w:ascii="Times New Roman" w:hAnsi="Times New Roman" w:eastAsia="宋体" w:cs="Times New Roman"/>
          <w:color w:val="auto"/>
          <w:highlight w:val="none"/>
        </w:rPr>
      </w:pPr>
      <w:bookmarkStart w:id="157" w:name="_Hlk57380886"/>
      <w:r>
        <w:rPr>
          <w:rFonts w:hint="default" w:ascii="Times New Roman" w:hAnsi="Times New Roman" w:eastAsia="宋体" w:cs="Times New Roman"/>
          <w:color w:val="auto"/>
          <w:highlight w:val="none"/>
        </w:rPr>
        <w:t>生活垃圾由市政环卫部门统一清运处理。</w:t>
      </w:r>
    </w:p>
    <w:p w14:paraId="009C94B0">
      <w:pPr>
        <w:pStyle w:val="67"/>
        <w:ind w:firstLine="480"/>
        <w:rPr>
          <w:rFonts w:hint="eastAsia" w:eastAsia="宋体" w:cs="Times New Roman"/>
          <w:color w:val="auto"/>
          <w:highlight w:val="none"/>
          <w:lang w:val="en-US"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 MERGEFORMAT </w:instrText>
      </w:r>
      <w:r>
        <w:rPr>
          <w:rFonts w:hint="default" w:ascii="Times New Roman" w:hAnsi="Times New Roman" w:eastAsia="宋体" w:cs="Times New Roman"/>
          <w:color w:val="auto"/>
          <w:highlight w:val="none"/>
        </w:rPr>
        <w:fldChar w:fldCharType="separate"/>
      </w:r>
      <w:r>
        <w:rPr>
          <w:color w:val="auto"/>
          <w:highlight w:val="none"/>
        </w:rPr>
        <w:t>⑤</w:t>
      </w:r>
      <w:r>
        <w:rPr>
          <w:rFonts w:hint="default" w:ascii="Times New Roman" w:hAnsi="Times New Roman" w:eastAsia="宋体" w:cs="Times New Roman"/>
          <w:color w:val="auto"/>
          <w:highlight w:val="none"/>
        </w:rPr>
        <w:fldChar w:fldCharType="end"/>
      </w:r>
      <w:r>
        <w:rPr>
          <w:rFonts w:hint="eastAsia" w:eastAsia="宋体" w:cs="Times New Roman"/>
          <w:color w:val="auto"/>
          <w:highlight w:val="none"/>
          <w:lang w:val="en-US" w:eastAsia="zh-CN"/>
        </w:rPr>
        <w:t>废活性炭</w:t>
      </w:r>
    </w:p>
    <w:p w14:paraId="28D112E1">
      <w:pPr>
        <w:pStyle w:val="67"/>
        <w:ind w:firstLine="480"/>
        <w:rPr>
          <w:rFonts w:hint="default" w:eastAsia="宋体" w:cs="Times New Roman"/>
          <w:color w:val="auto"/>
          <w:highlight w:val="none"/>
          <w:lang w:val="en-US" w:eastAsia="zh-CN"/>
        </w:rPr>
      </w:pPr>
      <w:r>
        <w:rPr>
          <w:rFonts w:hint="eastAsia" w:eastAsia="宋体" w:cs="Times New Roman"/>
          <w:color w:val="auto"/>
          <w:highlight w:val="none"/>
          <w:lang w:val="en-US" w:eastAsia="zh-CN"/>
        </w:rPr>
        <w:t>废活性炭由厂家统一回收处置。</w:t>
      </w:r>
    </w:p>
    <w:bookmarkEnd w:id="157"/>
    <w:p w14:paraId="57B84CE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 MERGEFORMAT </w:instrText>
      </w:r>
      <w:r>
        <w:rPr>
          <w:rFonts w:hint="default" w:ascii="Times New Roman" w:hAnsi="Times New Roman" w:eastAsia="宋体" w:cs="Times New Roman"/>
          <w:color w:val="auto"/>
          <w:highlight w:val="none"/>
        </w:rPr>
        <w:fldChar w:fldCharType="separate"/>
      </w:r>
      <w:r>
        <w:rPr>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其他</w:t>
      </w:r>
    </w:p>
    <w:p w14:paraId="4A2D871D">
      <w:pPr>
        <w:pStyle w:val="67"/>
        <w:ind w:firstLine="480"/>
        <w:rPr>
          <w:rFonts w:hint="eastAsia" w:ascii="Times New Roman" w:hAnsi="Times New Roman" w:eastAsia="仿宋" w:cs="Times New Roman"/>
          <w:color w:val="auto"/>
          <w:highlight w:val="none"/>
          <w:lang w:eastAsia="zh-CN"/>
        </w:rPr>
      </w:pPr>
      <w:r>
        <w:rPr>
          <w:rFonts w:hint="default" w:ascii="Times New Roman" w:hAnsi="Times New Roman" w:eastAsia="宋体" w:cs="Times New Roman"/>
          <w:color w:val="auto"/>
          <w:sz w:val="24"/>
          <w:highlight w:val="none"/>
          <w:lang w:val="en-US" w:eastAsia="zh-CN"/>
        </w:rPr>
        <w:t>本工程一般工业固废执行《一般工业固体废物贮存和填埋污染控制标准》（GB18599-2020）、</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固体废物分类与代码目录</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2024年1月19日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lang w:val="en-US" w:eastAsia="zh-CN"/>
        </w:rPr>
        <w:t>有关要求；危险固废的暂存执行《危险废物贮存污染控制标准》（GB18597-2023）中有关规定。</w:t>
      </w:r>
    </w:p>
    <w:p w14:paraId="7C92CE9F">
      <w:pPr>
        <w:pStyle w:val="67"/>
        <w:ind w:left="0" w:leftChars="0" w:firstLine="0" w:firstLineChars="0"/>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26" w:charSpace="0"/>
        </w:sectPr>
      </w:pPr>
    </w:p>
    <w:p w14:paraId="4346B0E1">
      <w:pPr>
        <w:pStyle w:val="3"/>
        <w:spacing w:line="500" w:lineRule="exact"/>
        <w:rPr>
          <w:rFonts w:hint="default" w:ascii="Times New Roman" w:hAnsi="Times New Roman" w:eastAsia="黑体" w:cs="Times New Roman"/>
          <w:color w:val="auto"/>
          <w:highlight w:val="none"/>
          <w:lang w:val="en-US" w:eastAsia="zh-CN"/>
        </w:rPr>
      </w:pPr>
      <w:bookmarkStart w:id="158" w:name="_Toc57713630"/>
      <w:bookmarkStart w:id="159" w:name="_Toc23091"/>
      <w:r>
        <w:rPr>
          <w:rFonts w:hint="default" w:ascii="Times New Roman" w:hAnsi="Times New Roman" w:cs="Times New Roman"/>
          <w:color w:val="auto"/>
          <w:highlight w:val="none"/>
        </w:rPr>
        <w:t>3建设项目工程分析</w:t>
      </w:r>
      <w:bookmarkEnd w:id="158"/>
      <w:bookmarkEnd w:id="159"/>
    </w:p>
    <w:p w14:paraId="214039DD">
      <w:pPr>
        <w:pStyle w:val="4"/>
        <w:rPr>
          <w:rFonts w:hint="default" w:ascii="Times New Roman" w:hAnsi="Times New Roman" w:cs="Times New Roman"/>
          <w:snapToGrid w:val="0"/>
          <w:color w:val="auto"/>
          <w:kern w:val="0"/>
          <w:highlight w:val="none"/>
        </w:rPr>
      </w:pPr>
      <w:bookmarkStart w:id="160" w:name="_Toc57713631"/>
      <w:bookmarkStart w:id="161" w:name="_Toc486255048"/>
      <w:bookmarkStart w:id="162" w:name="_Toc113078918"/>
      <w:bookmarkStart w:id="163" w:name="_Toc118086777"/>
      <w:bookmarkStart w:id="164" w:name="_Toc24553"/>
      <w:bookmarkStart w:id="165" w:name="_Toc456590361"/>
      <w:bookmarkStart w:id="166" w:name="_Toc480447661"/>
      <w:bookmarkStart w:id="167" w:name="_Toc182022278"/>
      <w:bookmarkStart w:id="168" w:name="_Toc112420348"/>
      <w:r>
        <w:rPr>
          <w:rFonts w:hint="default" w:ascii="Times New Roman" w:hAnsi="Times New Roman" w:cs="Times New Roman"/>
          <w:snapToGrid w:val="0"/>
          <w:color w:val="auto"/>
          <w:kern w:val="0"/>
          <w:highlight w:val="none"/>
        </w:rPr>
        <w:t>3.1项目概况</w:t>
      </w:r>
      <w:bookmarkEnd w:id="160"/>
      <w:bookmarkEnd w:id="161"/>
      <w:bookmarkEnd w:id="162"/>
      <w:bookmarkEnd w:id="163"/>
      <w:bookmarkEnd w:id="164"/>
      <w:bookmarkEnd w:id="165"/>
      <w:bookmarkEnd w:id="166"/>
      <w:bookmarkEnd w:id="167"/>
      <w:bookmarkEnd w:id="168"/>
    </w:p>
    <w:p w14:paraId="69B973BA">
      <w:pPr>
        <w:pStyle w:val="5"/>
        <w:spacing w:line="500" w:lineRule="exact"/>
        <w:rPr>
          <w:rFonts w:hint="default" w:ascii="Times New Roman" w:hAnsi="Times New Roman" w:cs="Times New Roman"/>
          <w:color w:val="auto"/>
          <w:highlight w:val="none"/>
        </w:rPr>
      </w:pPr>
      <w:bookmarkStart w:id="169" w:name="_Toc182022280"/>
      <w:bookmarkStart w:id="170" w:name="_Toc118086779"/>
      <w:bookmarkStart w:id="171" w:name="_Toc112420350"/>
      <w:bookmarkStart w:id="172" w:name="_Toc113078920"/>
      <w:bookmarkStart w:id="173" w:name="_Toc57713632"/>
      <w:bookmarkStart w:id="174" w:name="_Toc486255049"/>
      <w:bookmarkStart w:id="175" w:name="_Toc29255"/>
      <w:r>
        <w:rPr>
          <w:rFonts w:hint="default" w:ascii="Times New Roman" w:hAnsi="Times New Roman" w:cs="Times New Roman"/>
          <w:color w:val="auto"/>
          <w:highlight w:val="none"/>
        </w:rPr>
        <w:t>3.1.1</w:t>
      </w:r>
      <w:bookmarkEnd w:id="169"/>
      <w:bookmarkEnd w:id="170"/>
      <w:bookmarkEnd w:id="171"/>
      <w:bookmarkEnd w:id="172"/>
      <w:r>
        <w:rPr>
          <w:rFonts w:hint="default" w:ascii="Times New Roman" w:hAnsi="Times New Roman" w:cs="Times New Roman"/>
          <w:color w:val="auto"/>
          <w:highlight w:val="none"/>
        </w:rPr>
        <w:t>项目名称及基本组成</w:t>
      </w:r>
      <w:bookmarkEnd w:id="173"/>
      <w:bookmarkEnd w:id="174"/>
      <w:bookmarkEnd w:id="175"/>
    </w:p>
    <w:p w14:paraId="7834376B">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项目名</w:t>
      </w:r>
      <w:r>
        <w:rPr>
          <w:rFonts w:hint="default" w:ascii="Times New Roman" w:hAnsi="Times New Roman" w:eastAsia="宋体" w:cs="Times New Roman"/>
          <w:color w:val="auto"/>
          <w:highlight w:val="none"/>
          <w:lang w:eastAsia="zh-CN"/>
        </w:rPr>
        <w:t>称：</w:t>
      </w:r>
      <w:r>
        <w:rPr>
          <w:rFonts w:hint="default" w:ascii="Times New Roman" w:hAnsi="Times New Roman" w:eastAsia="宋体" w:cs="Times New Roman"/>
          <w:color w:val="auto"/>
          <w:highlight w:val="none"/>
          <w:lang w:val="en-US" w:eastAsia="zh-CN"/>
        </w:rPr>
        <w:t>黑龙江省黑河市孙吴县黑尊牛(黑龙江)牧业科技有限公司万头安格斯高端肉牛育种养殖项目</w:t>
      </w:r>
    </w:p>
    <w:p w14:paraId="6888DC44">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建设单位：</w:t>
      </w:r>
      <w:r>
        <w:rPr>
          <w:rFonts w:hint="default" w:ascii="Times New Roman" w:hAnsi="Times New Roman" w:eastAsia="宋体" w:cs="Times New Roman"/>
          <w:color w:val="auto"/>
          <w:highlight w:val="none"/>
          <w:lang w:val="en-US" w:eastAsia="zh-CN"/>
        </w:rPr>
        <w:t>黑尊牛（黑龙江）牧业科技有限公司</w:t>
      </w:r>
    </w:p>
    <w:p w14:paraId="5A49935D">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建设地点：</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p>
    <w:p w14:paraId="20A8C0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建设性质：新建</w:t>
      </w:r>
    </w:p>
    <w:p w14:paraId="279ABD0C">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项目投资：</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lang w:eastAsia="zh-CN"/>
        </w:rPr>
        <w:t>万元</w:t>
      </w:r>
    </w:p>
    <w:p w14:paraId="361646BA">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总占地面积：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万平方米</w:t>
      </w:r>
    </w:p>
    <w:p w14:paraId="2EADE5CC">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总建筑面积：</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平方米</w:t>
      </w:r>
    </w:p>
    <w:p w14:paraId="2D17F4D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劳动定员及工作制度：</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，全年工作天数为365天，实行二班制</w:t>
      </w:r>
    </w:p>
    <w:p w14:paraId="6660104C">
      <w:pPr>
        <w:pStyle w:val="67"/>
        <w:ind w:firstLine="480"/>
        <w:rPr>
          <w:rFonts w:hint="default" w:ascii="Times New Roman" w:hAnsi="Times New Roman" w:eastAsia="宋体" w:cs="Times New Roman"/>
          <w:color w:val="auto"/>
          <w:highlight w:val="none"/>
        </w:rPr>
      </w:pPr>
      <w:bookmarkStart w:id="176" w:name="_Toc57713633"/>
      <w:r>
        <w:rPr>
          <w:rFonts w:hint="default" w:ascii="Times New Roman" w:hAnsi="Times New Roman" w:eastAsia="宋体" w:cs="Times New Roman"/>
          <w:color w:val="auto"/>
          <w:highlight w:val="none"/>
        </w:rPr>
        <w:t>建设周期：项目建设期</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个月，为202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月至202</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月，计划于202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月初投产。</w:t>
      </w:r>
    </w:p>
    <w:p w14:paraId="4A9687F0">
      <w:pPr>
        <w:pStyle w:val="5"/>
        <w:spacing w:line="500" w:lineRule="exact"/>
        <w:rPr>
          <w:rFonts w:hint="default" w:ascii="Times New Roman" w:hAnsi="Times New Roman" w:cs="Times New Roman"/>
          <w:color w:val="auto"/>
          <w:highlight w:val="none"/>
        </w:rPr>
      </w:pPr>
      <w:bookmarkStart w:id="177" w:name="_Toc16609"/>
      <w:r>
        <w:rPr>
          <w:rFonts w:hint="default" w:ascii="Times New Roman" w:hAnsi="Times New Roman" w:cs="Times New Roman"/>
          <w:color w:val="auto"/>
          <w:highlight w:val="none"/>
        </w:rPr>
        <w:t>3.1.2建设规模及建设内容</w:t>
      </w:r>
      <w:bookmarkEnd w:id="176"/>
      <w:bookmarkEnd w:id="177"/>
    </w:p>
    <w:p w14:paraId="24A2AEC7">
      <w:pPr>
        <w:pStyle w:val="67"/>
        <w:ind w:firstLine="480"/>
        <w:rPr>
          <w:rFonts w:hint="default" w:ascii="Times New Roman" w:hAnsi="Times New Roman" w:eastAsia="宋体" w:cs="Times New Roman"/>
          <w:color w:val="auto"/>
          <w:highlight w:val="none"/>
        </w:rPr>
      </w:pPr>
      <w:bookmarkStart w:id="178" w:name="_Hlk141177643"/>
      <w:r>
        <w:rPr>
          <w:rFonts w:hint="default" w:ascii="Times New Roman" w:hAnsi="Times New Roman" w:eastAsia="宋体" w:cs="Times New Roman"/>
          <w:color w:val="auto"/>
          <w:highlight w:val="none"/>
        </w:rPr>
        <w:t>本项目占地面积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万平方米</w:t>
      </w:r>
      <w:r>
        <w:rPr>
          <w:rFonts w:hint="default" w:ascii="Times New Roman" w:hAnsi="Times New Roman" w:eastAsia="宋体" w:cs="Times New Roman"/>
          <w:color w:val="auto"/>
          <w:highlight w:val="none"/>
        </w:rPr>
        <w:t>，建筑面积为</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平方米</w:t>
      </w:r>
      <w:r>
        <w:rPr>
          <w:rFonts w:hint="default" w:ascii="Times New Roman" w:hAnsi="Times New Roman" w:eastAsia="宋体" w:cs="Times New Roman"/>
          <w:color w:val="auto"/>
          <w:highlight w:val="none"/>
        </w:rPr>
        <w:t>，项目占地类型为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w:t>
      </w:r>
      <w:bookmarkEnd w:id="178"/>
      <w:r>
        <w:rPr>
          <w:rFonts w:hint="default" w:ascii="Times New Roman" w:hAnsi="Times New Roman" w:eastAsia="宋体" w:cs="Times New Roman"/>
          <w:color w:val="auto"/>
          <w:highlight w:val="none"/>
          <w:lang w:val="en-US" w:eastAsia="zh-CN"/>
        </w:rPr>
        <w:t>项目拟建年出栏1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000头肉牛养殖场一座。</w:t>
      </w:r>
      <w:r>
        <w:rPr>
          <w:rFonts w:hint="eastAsia" w:eastAsia="宋体" w:cs="Times New Roman"/>
          <w:color w:val="auto"/>
          <w:highlight w:val="none"/>
          <w:lang w:val="en-US" w:eastAsia="zh-CN"/>
        </w:rPr>
        <w:t>工程内容为建设牛舍13栋，配套建设辅助工程、储运工程、公用工程及环保工程，建筑面积75461.42平方米，</w:t>
      </w:r>
      <w:r>
        <w:rPr>
          <w:rFonts w:hint="default" w:ascii="Times New Roman" w:hAnsi="Times New Roman" w:eastAsia="宋体" w:cs="Times New Roman"/>
          <w:color w:val="auto"/>
          <w:highlight w:val="none"/>
        </w:rPr>
        <w:t>其中</w:t>
      </w:r>
      <w:r>
        <w:rPr>
          <w:rFonts w:hint="default" w:ascii="Times New Roman" w:hAnsi="Times New Roman" w:eastAsia="宋体" w:cs="Times New Roman"/>
          <w:color w:val="auto"/>
          <w:highlight w:val="none"/>
          <w:lang w:val="en-US" w:eastAsia="zh-CN"/>
        </w:rPr>
        <w:t>牛舍</w:t>
      </w:r>
      <w:r>
        <w:rPr>
          <w:rFonts w:hint="default" w:ascii="Times New Roman" w:hAnsi="Times New Roman" w:eastAsia="宋体" w:cs="Times New Roman"/>
          <w:color w:val="auto"/>
          <w:highlight w:val="none"/>
        </w:rPr>
        <w:t>面积</w:t>
      </w:r>
      <w:r>
        <w:rPr>
          <w:rFonts w:hint="default" w:ascii="Times New Roman" w:hAnsi="Times New Roman" w:eastAsia="宋体" w:cs="Times New Roman"/>
          <w:color w:val="auto"/>
          <w:highlight w:val="none"/>
          <w:lang w:val="en-US" w:eastAsia="zh-CN"/>
        </w:rPr>
        <w:t>52160.92m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青储窖</w:t>
      </w:r>
      <w:r>
        <w:rPr>
          <w:rFonts w:hint="default" w:ascii="Times New Roman" w:hAnsi="Times New Roman" w:eastAsia="宋体" w:cs="Times New Roman"/>
          <w:color w:val="auto"/>
          <w:highlight w:val="none"/>
        </w:rPr>
        <w:t>面积</w:t>
      </w:r>
      <w:r>
        <w:rPr>
          <w:rFonts w:hint="default" w:ascii="Times New Roman" w:hAnsi="Times New Roman" w:eastAsia="宋体" w:cs="Times New Roman"/>
          <w:color w:val="auto"/>
          <w:highlight w:val="none"/>
          <w:lang w:val="en-US" w:eastAsia="zh-CN"/>
        </w:rPr>
        <w:t>6400m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干草棚面积6840m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，TMR车间及精料库</w:t>
      </w:r>
      <w:r>
        <w:rPr>
          <w:rFonts w:hint="default" w:ascii="Times New Roman" w:hAnsi="Times New Roman" w:eastAsia="宋体" w:cs="Times New Roman"/>
          <w:color w:val="auto"/>
          <w:highlight w:val="none"/>
          <w:lang w:val="en-US" w:eastAsia="zh-CN"/>
        </w:rPr>
        <w:t>4320m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5400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。具体建设内容见下表。</w:t>
      </w:r>
    </w:p>
    <w:p w14:paraId="330A7EA5">
      <w:pPr>
        <w:pStyle w:val="210"/>
        <w:spacing w:line="4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表3-1-1工程组成一览表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613"/>
        <w:gridCol w:w="764"/>
        <w:gridCol w:w="5538"/>
        <w:gridCol w:w="723"/>
      </w:tblGrid>
      <w:tr w14:paraId="6190A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14:paraId="455B4A24">
            <w:pPr>
              <w:pStyle w:val="146"/>
              <w:rPr>
                <w:rFonts w:hint="default" w:ascii="Times New Roman" w:hAnsi="Times New Roman" w:eastAsia="宋体" w:cs="Times New Roman"/>
                <w:color w:val="auto"/>
                <w:highlight w:val="none"/>
              </w:rPr>
            </w:pPr>
            <w:bookmarkStart w:id="179" w:name="_Hlk527725606"/>
            <w:r>
              <w:rPr>
                <w:rFonts w:hint="default" w:ascii="Times New Roman" w:hAnsi="Times New Roman" w:eastAsia="宋体" w:cs="Times New Roman"/>
                <w:color w:val="auto"/>
                <w:highlight w:val="none"/>
              </w:rPr>
              <w:t>工程类别</w:t>
            </w:r>
          </w:p>
        </w:tc>
        <w:tc>
          <w:tcPr>
            <w:tcW w:w="829" w:type="pct"/>
            <w:gridSpan w:val="2"/>
            <w:vAlign w:val="center"/>
          </w:tcPr>
          <w:p w14:paraId="487A9E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工程名称</w:t>
            </w:r>
          </w:p>
        </w:tc>
        <w:tc>
          <w:tcPr>
            <w:tcW w:w="3334" w:type="pct"/>
            <w:vAlign w:val="center"/>
          </w:tcPr>
          <w:p w14:paraId="454E7F9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建筑规模</w:t>
            </w:r>
          </w:p>
        </w:tc>
        <w:tc>
          <w:tcPr>
            <w:tcW w:w="435" w:type="pct"/>
            <w:vAlign w:val="center"/>
          </w:tcPr>
          <w:p w14:paraId="263E7E4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备注</w:t>
            </w:r>
          </w:p>
        </w:tc>
      </w:tr>
      <w:tr w14:paraId="0C73F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01" w:type="pct"/>
            <w:vMerge w:val="restart"/>
            <w:vAlign w:val="center"/>
          </w:tcPr>
          <w:p w14:paraId="76DF27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主体工程</w:t>
            </w:r>
          </w:p>
        </w:tc>
        <w:tc>
          <w:tcPr>
            <w:tcW w:w="829" w:type="pct"/>
            <w:gridSpan w:val="2"/>
            <w:shd w:val="clear" w:color="auto" w:fill="auto"/>
            <w:vAlign w:val="center"/>
          </w:tcPr>
          <w:p w14:paraId="5AFC457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育肥牛舍</w:t>
            </w:r>
          </w:p>
        </w:tc>
        <w:tc>
          <w:tcPr>
            <w:tcW w:w="3334" w:type="pct"/>
            <w:shd w:val="clear" w:color="auto" w:fill="auto"/>
            <w:vAlign w:val="center"/>
          </w:tcPr>
          <w:p w14:paraId="48A035D9">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8栋，总建筑面积32099.02m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，高7.33m，门式钢结构，年存栏育肥牛</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000头。</w:t>
            </w:r>
          </w:p>
        </w:tc>
        <w:tc>
          <w:tcPr>
            <w:tcW w:w="435" w:type="pct"/>
            <w:vMerge w:val="restart"/>
            <w:vAlign w:val="center"/>
          </w:tcPr>
          <w:p w14:paraId="58733B0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w:t>
            </w:r>
          </w:p>
        </w:tc>
      </w:tr>
      <w:tr w14:paraId="3C448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Merge w:val="continue"/>
            <w:vAlign w:val="center"/>
          </w:tcPr>
          <w:p w14:paraId="2F81EEBC">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6CDA1C4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母带犊牛舍</w:t>
            </w:r>
          </w:p>
        </w:tc>
        <w:tc>
          <w:tcPr>
            <w:tcW w:w="3334" w:type="pct"/>
            <w:shd w:val="clear" w:color="auto" w:fill="auto"/>
            <w:vAlign w:val="center"/>
          </w:tcPr>
          <w:p w14:paraId="400A6922">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2栋，总建筑面积8024.76m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，高7.33m，门式钢结构，存栏哺乳母牛和犊牛各</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rPr>
              <w:t>00头。</w:t>
            </w:r>
          </w:p>
        </w:tc>
        <w:tc>
          <w:tcPr>
            <w:tcW w:w="435" w:type="pct"/>
            <w:vMerge w:val="continue"/>
            <w:vAlign w:val="center"/>
          </w:tcPr>
          <w:p w14:paraId="053403CC">
            <w:pPr>
              <w:pStyle w:val="146"/>
              <w:jc w:val="center"/>
              <w:rPr>
                <w:rFonts w:hint="default" w:ascii="Times New Roman" w:hAnsi="Times New Roman" w:eastAsia="宋体" w:cs="Times New Roman"/>
                <w:color w:val="auto"/>
                <w:highlight w:val="none"/>
                <w:lang w:val="en-US" w:eastAsia="zh-CN"/>
              </w:rPr>
            </w:pPr>
          </w:p>
        </w:tc>
      </w:tr>
      <w:tr w14:paraId="7263F1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Merge w:val="continue"/>
            <w:vAlign w:val="center"/>
          </w:tcPr>
          <w:p w14:paraId="0CDC99EC">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12123E9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母牛舍（含后备）</w:t>
            </w:r>
          </w:p>
        </w:tc>
        <w:tc>
          <w:tcPr>
            <w:tcW w:w="3334" w:type="pct"/>
            <w:shd w:val="clear" w:color="auto" w:fill="auto"/>
            <w:vAlign w:val="center"/>
          </w:tcPr>
          <w:p w14:paraId="2F4E6BF2">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2栋，总建筑面积8024.76m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，高7.33m，门式钢结构，存栏母牛</w:t>
            </w:r>
            <w:r>
              <w:rPr>
                <w:rFonts w:hint="eastAsia" w:eastAsia="宋体" w:cs="Times New Roman"/>
                <w:color w:val="auto"/>
                <w:highlight w:val="none"/>
                <w:lang w:val="en-US" w:eastAsia="zh-CN"/>
              </w:rPr>
              <w:t>9</w:t>
            </w:r>
            <w:r>
              <w:rPr>
                <w:rFonts w:hint="default" w:ascii="Times New Roman" w:hAnsi="Times New Roman" w:eastAsia="宋体" w:cs="Times New Roman"/>
                <w:color w:val="auto"/>
                <w:highlight w:val="none"/>
              </w:rPr>
              <w:t>00头、后备母牛</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00头。</w:t>
            </w:r>
          </w:p>
        </w:tc>
        <w:tc>
          <w:tcPr>
            <w:tcW w:w="435" w:type="pct"/>
            <w:vMerge w:val="continue"/>
            <w:vAlign w:val="center"/>
          </w:tcPr>
          <w:p w14:paraId="27FA7E55">
            <w:pPr>
              <w:pStyle w:val="146"/>
              <w:jc w:val="center"/>
              <w:rPr>
                <w:rFonts w:hint="default" w:ascii="Times New Roman" w:hAnsi="Times New Roman" w:eastAsia="宋体" w:cs="Times New Roman"/>
                <w:color w:val="auto"/>
                <w:highlight w:val="none"/>
              </w:rPr>
            </w:pPr>
          </w:p>
        </w:tc>
      </w:tr>
      <w:tr w14:paraId="6B894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1" w:type="pct"/>
            <w:vMerge w:val="continue"/>
            <w:vAlign w:val="center"/>
          </w:tcPr>
          <w:p w14:paraId="24409660">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1141779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病牛隔离舍</w:t>
            </w:r>
          </w:p>
        </w:tc>
        <w:tc>
          <w:tcPr>
            <w:tcW w:w="3334" w:type="pct"/>
            <w:shd w:val="clear" w:color="auto" w:fill="auto"/>
            <w:vAlign w:val="center"/>
          </w:tcPr>
          <w:p w14:paraId="79AE0B86">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1栋，建筑面积为4012.38m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，高7.33m，门式钢结构，用于隔离病牛。</w:t>
            </w:r>
          </w:p>
        </w:tc>
        <w:tc>
          <w:tcPr>
            <w:tcW w:w="435" w:type="pct"/>
            <w:vMerge w:val="continue"/>
            <w:vAlign w:val="center"/>
          </w:tcPr>
          <w:p w14:paraId="476984DB">
            <w:pPr>
              <w:pStyle w:val="146"/>
              <w:jc w:val="center"/>
              <w:rPr>
                <w:rFonts w:hint="default" w:ascii="Times New Roman" w:hAnsi="Times New Roman" w:eastAsia="宋体" w:cs="Times New Roman"/>
                <w:color w:val="auto"/>
                <w:highlight w:val="none"/>
              </w:rPr>
            </w:pPr>
          </w:p>
        </w:tc>
      </w:tr>
      <w:tr w14:paraId="7F4510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01" w:type="pct"/>
            <w:vMerge w:val="continue"/>
            <w:vAlign w:val="center"/>
          </w:tcPr>
          <w:p w14:paraId="6BECE27A">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6CB6160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堆肥间</w:t>
            </w:r>
          </w:p>
        </w:tc>
        <w:tc>
          <w:tcPr>
            <w:tcW w:w="3334" w:type="pct"/>
            <w:shd w:val="clear" w:color="auto" w:fill="auto"/>
            <w:vAlign w:val="center"/>
          </w:tcPr>
          <w:p w14:paraId="6953443E">
            <w:pPr>
              <w:pStyle w:val="146"/>
              <w:jc w:val="both"/>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栋，建筑面积2700m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，高11m，门式钢结构，用于牛粪的好氧堆肥发酵生产固体粪肥。</w:t>
            </w:r>
          </w:p>
        </w:tc>
        <w:tc>
          <w:tcPr>
            <w:tcW w:w="435" w:type="pct"/>
            <w:vMerge w:val="continue"/>
            <w:vAlign w:val="center"/>
          </w:tcPr>
          <w:p w14:paraId="698B035C">
            <w:pPr>
              <w:pStyle w:val="146"/>
              <w:jc w:val="center"/>
              <w:rPr>
                <w:rFonts w:hint="default" w:ascii="Times New Roman" w:hAnsi="Times New Roman" w:eastAsia="宋体" w:cs="Times New Roman"/>
                <w:color w:val="auto"/>
                <w:highlight w:val="none"/>
              </w:rPr>
            </w:pPr>
          </w:p>
        </w:tc>
      </w:tr>
      <w:tr w14:paraId="40E9B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restart"/>
            <w:vAlign w:val="center"/>
          </w:tcPr>
          <w:p w14:paraId="545B49B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辅助工程</w:t>
            </w:r>
          </w:p>
        </w:tc>
        <w:tc>
          <w:tcPr>
            <w:tcW w:w="829" w:type="pct"/>
            <w:gridSpan w:val="2"/>
            <w:shd w:val="clear" w:color="auto" w:fill="auto"/>
            <w:vAlign w:val="center"/>
          </w:tcPr>
          <w:p w14:paraId="5970DC8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更衣消毒间</w:t>
            </w:r>
          </w:p>
        </w:tc>
        <w:tc>
          <w:tcPr>
            <w:tcW w:w="3334" w:type="pct"/>
            <w:shd w:val="clear" w:color="auto" w:fill="auto"/>
            <w:vAlign w:val="center"/>
          </w:tcPr>
          <w:p w14:paraId="68EC191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一层，建筑面积47.53m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。位于厂区中部。</w:t>
            </w:r>
          </w:p>
        </w:tc>
        <w:tc>
          <w:tcPr>
            <w:tcW w:w="435" w:type="pct"/>
            <w:vMerge w:val="restart"/>
            <w:vAlign w:val="center"/>
          </w:tcPr>
          <w:p w14:paraId="5DB49FE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新建</w:t>
            </w:r>
          </w:p>
        </w:tc>
      </w:tr>
      <w:tr w14:paraId="6F4E8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167943E9">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586186A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畜牧兽医室</w:t>
            </w:r>
          </w:p>
        </w:tc>
        <w:tc>
          <w:tcPr>
            <w:tcW w:w="3334" w:type="pct"/>
            <w:shd w:val="clear" w:color="auto" w:fill="auto"/>
            <w:vAlign w:val="center"/>
          </w:tcPr>
          <w:p w14:paraId="1AC2720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一层，建筑面积365.82m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。位于厂区中部。</w:t>
            </w:r>
          </w:p>
        </w:tc>
        <w:tc>
          <w:tcPr>
            <w:tcW w:w="435" w:type="pct"/>
            <w:vMerge w:val="continue"/>
            <w:vAlign w:val="center"/>
          </w:tcPr>
          <w:p w14:paraId="1A6D85AF">
            <w:pPr>
              <w:pStyle w:val="146"/>
              <w:jc w:val="center"/>
              <w:rPr>
                <w:rFonts w:hint="default" w:ascii="Times New Roman" w:hAnsi="Times New Roman" w:eastAsia="宋体" w:cs="Times New Roman"/>
                <w:color w:val="auto"/>
                <w:highlight w:val="none"/>
                <w:lang w:val="en-US" w:eastAsia="zh-CN"/>
              </w:rPr>
            </w:pPr>
          </w:p>
        </w:tc>
      </w:tr>
      <w:tr w14:paraId="16F977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Merge w:val="continue"/>
            <w:vAlign w:val="center"/>
          </w:tcPr>
          <w:p w14:paraId="48FCE267">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5DF4B72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综合办公区</w:t>
            </w:r>
          </w:p>
        </w:tc>
        <w:tc>
          <w:tcPr>
            <w:tcW w:w="3334" w:type="pct"/>
            <w:shd w:val="clear" w:color="auto" w:fill="auto"/>
            <w:vAlign w:val="center"/>
          </w:tcPr>
          <w:p w14:paraId="1C131F6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1栋，3层建筑，砖混结构，占地面积640m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，建筑面积1920m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一楼为办公区、化验室、冻精储藏室，二楼为办公区，三楼为休息室。</w:t>
            </w:r>
          </w:p>
        </w:tc>
        <w:tc>
          <w:tcPr>
            <w:tcW w:w="435" w:type="pct"/>
            <w:vMerge w:val="continue"/>
            <w:vAlign w:val="center"/>
          </w:tcPr>
          <w:p w14:paraId="5B881AD8">
            <w:pPr>
              <w:pStyle w:val="146"/>
              <w:jc w:val="center"/>
              <w:rPr>
                <w:rFonts w:hint="default" w:ascii="Times New Roman" w:hAnsi="Times New Roman" w:eastAsia="宋体" w:cs="Times New Roman"/>
                <w:color w:val="auto"/>
                <w:highlight w:val="none"/>
                <w:lang w:val="en-US" w:eastAsia="zh-CN"/>
              </w:rPr>
            </w:pPr>
          </w:p>
        </w:tc>
      </w:tr>
      <w:tr w14:paraId="181BB8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0D1A5D88">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517A60B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消防控制室</w:t>
            </w:r>
          </w:p>
        </w:tc>
        <w:tc>
          <w:tcPr>
            <w:tcW w:w="3334" w:type="pct"/>
            <w:shd w:val="clear" w:color="auto" w:fill="auto"/>
            <w:vAlign w:val="center"/>
          </w:tcPr>
          <w:p w14:paraId="5F03F12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1层，建筑面积400m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，用于控制消防工程。</w:t>
            </w:r>
            <w:r>
              <w:rPr>
                <w:rFonts w:hint="eastAsia" w:eastAsia="宋体" w:cs="Times New Roman"/>
                <w:color w:val="auto"/>
                <w:highlight w:val="none"/>
                <w:lang w:val="en-US" w:eastAsia="zh-CN"/>
              </w:rPr>
              <w:t>其中包含锅炉房69.56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eastAsia="宋体" w:cs="Times New Roman"/>
                <w:color w:val="auto"/>
                <w:highlight w:val="none"/>
                <w:lang w:val="en-US" w:eastAsia="zh-CN"/>
              </w:rPr>
              <w:t>及消防泵房184.58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eastAsia="宋体" w:cs="Times New Roman"/>
                <w:color w:val="auto"/>
                <w:highlight w:val="none"/>
                <w:lang w:val="en-US" w:eastAsia="zh-CN"/>
              </w:rPr>
              <w:t>。</w:t>
            </w:r>
          </w:p>
        </w:tc>
        <w:tc>
          <w:tcPr>
            <w:tcW w:w="435" w:type="pct"/>
            <w:vMerge w:val="continue"/>
            <w:vAlign w:val="center"/>
          </w:tcPr>
          <w:p w14:paraId="6BC8DEAD">
            <w:pPr>
              <w:pStyle w:val="146"/>
              <w:jc w:val="center"/>
              <w:rPr>
                <w:rFonts w:hint="default" w:ascii="Times New Roman" w:hAnsi="Times New Roman" w:eastAsia="宋体" w:cs="Times New Roman"/>
                <w:color w:val="auto"/>
                <w:highlight w:val="none"/>
                <w:lang w:val="en-US" w:eastAsia="zh-CN"/>
              </w:rPr>
            </w:pPr>
          </w:p>
        </w:tc>
      </w:tr>
      <w:tr w14:paraId="63EAB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1DC51794">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1F3DF9B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生产蓄水池</w:t>
            </w:r>
          </w:p>
        </w:tc>
        <w:tc>
          <w:tcPr>
            <w:tcW w:w="3334" w:type="pct"/>
            <w:shd w:val="clear" w:color="auto" w:fill="auto"/>
            <w:vAlign w:val="center"/>
          </w:tcPr>
          <w:p w14:paraId="3E61D47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负一层，</w:t>
            </w:r>
            <w:r>
              <w:rPr>
                <w:rFonts w:hint="eastAsia" w:eastAsia="宋体" w:cs="Times New Roman"/>
                <w:color w:val="auto"/>
                <w:highlight w:val="none"/>
                <w:lang w:val="en-US" w:eastAsia="zh-CN"/>
              </w:rPr>
              <w:t>容积1000m</w:t>
            </w:r>
            <w:r>
              <w:rPr>
                <w:rFonts w:hint="eastAsia" w:eastAsia="宋体" w:cs="Times New Roman"/>
                <w:color w:val="auto"/>
                <w:highlight w:val="none"/>
                <w:vertAlign w:val="superscript"/>
                <w:lang w:val="en-US" w:eastAsia="zh-CN"/>
              </w:rPr>
              <w:t>3</w:t>
            </w:r>
            <w:r>
              <w:rPr>
                <w:rFonts w:hint="eastAsia" w:eastAsia="宋体" w:cs="Times New Roman"/>
                <w:color w:val="auto"/>
                <w:highlight w:val="none"/>
                <w:lang w:eastAsia="zh-CN"/>
              </w:rPr>
              <w:t>，</w:t>
            </w:r>
            <w:r>
              <w:rPr>
                <w:rFonts w:hint="eastAsia" w:eastAsia="宋体" w:cs="Times New Roman"/>
                <w:color w:val="auto"/>
                <w:highlight w:val="none"/>
                <w:lang w:val="en-US" w:eastAsia="zh-CN"/>
              </w:rPr>
              <w:t>用于存储牛饲养过程中的新鲜水。</w:t>
            </w:r>
          </w:p>
        </w:tc>
        <w:tc>
          <w:tcPr>
            <w:tcW w:w="435" w:type="pct"/>
            <w:vMerge w:val="continue"/>
            <w:vAlign w:val="center"/>
          </w:tcPr>
          <w:p w14:paraId="3F6DCB89">
            <w:pPr>
              <w:pStyle w:val="146"/>
              <w:jc w:val="center"/>
              <w:rPr>
                <w:rFonts w:hint="default" w:ascii="Times New Roman" w:hAnsi="Times New Roman" w:eastAsia="宋体" w:cs="Times New Roman"/>
                <w:color w:val="auto"/>
                <w:highlight w:val="none"/>
                <w:lang w:val="en-US" w:eastAsia="zh-CN"/>
              </w:rPr>
            </w:pPr>
          </w:p>
        </w:tc>
      </w:tr>
      <w:tr w14:paraId="65CF0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357BCB5A">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70EFD8B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生产生活泵房</w:t>
            </w:r>
          </w:p>
        </w:tc>
        <w:tc>
          <w:tcPr>
            <w:tcW w:w="3334" w:type="pct"/>
            <w:shd w:val="clear" w:color="auto" w:fill="auto"/>
            <w:vAlign w:val="center"/>
          </w:tcPr>
          <w:p w14:paraId="07D4D22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一层及负一层，总建筑面积108.16m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tc>
        <w:tc>
          <w:tcPr>
            <w:tcW w:w="435" w:type="pct"/>
            <w:vMerge w:val="continue"/>
            <w:vAlign w:val="center"/>
          </w:tcPr>
          <w:p w14:paraId="6FB10141">
            <w:pPr>
              <w:pStyle w:val="146"/>
              <w:jc w:val="center"/>
              <w:rPr>
                <w:rFonts w:hint="default" w:ascii="Times New Roman" w:hAnsi="Times New Roman" w:eastAsia="宋体" w:cs="Times New Roman"/>
                <w:color w:val="auto"/>
                <w:highlight w:val="none"/>
                <w:lang w:val="en-US" w:eastAsia="zh-CN"/>
              </w:rPr>
            </w:pPr>
          </w:p>
        </w:tc>
      </w:tr>
      <w:tr w14:paraId="3EFCA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5A742181">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17012B5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机械库</w:t>
            </w:r>
          </w:p>
        </w:tc>
        <w:tc>
          <w:tcPr>
            <w:tcW w:w="3334" w:type="pct"/>
            <w:shd w:val="clear" w:color="auto" w:fill="auto"/>
            <w:vAlign w:val="center"/>
          </w:tcPr>
          <w:p w14:paraId="5F4FF9D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设置机械库1座，一层，建筑面积2400m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。用于存放各类生产机械。</w:t>
            </w:r>
          </w:p>
        </w:tc>
        <w:tc>
          <w:tcPr>
            <w:tcW w:w="435" w:type="pct"/>
            <w:vMerge w:val="continue"/>
            <w:vAlign w:val="center"/>
          </w:tcPr>
          <w:p w14:paraId="4BDBCBDA">
            <w:pPr>
              <w:pStyle w:val="146"/>
              <w:jc w:val="center"/>
              <w:rPr>
                <w:rFonts w:hint="default" w:ascii="Times New Roman" w:hAnsi="Times New Roman" w:eastAsia="宋体" w:cs="Times New Roman"/>
                <w:color w:val="auto"/>
                <w:highlight w:val="none"/>
                <w:lang w:val="en-US" w:eastAsia="zh-CN"/>
              </w:rPr>
            </w:pPr>
          </w:p>
        </w:tc>
      </w:tr>
      <w:tr w14:paraId="01672C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1AE4D8B8">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31FCFE60">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初期雨水池</w:t>
            </w:r>
          </w:p>
        </w:tc>
        <w:tc>
          <w:tcPr>
            <w:tcW w:w="3334" w:type="pct"/>
            <w:shd w:val="clear" w:color="auto" w:fill="auto"/>
            <w:vAlign w:val="center"/>
          </w:tcPr>
          <w:p w14:paraId="45F56BB6">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座，</w:t>
            </w:r>
            <w:r>
              <w:rPr>
                <w:rFonts w:hint="eastAsia" w:eastAsia="宋体" w:cs="Times New Roman"/>
                <w:color w:val="auto"/>
                <w:highlight w:val="none"/>
                <w:lang w:val="en-US" w:eastAsia="zh-CN"/>
              </w:rPr>
              <w:t>容积为2300</w:t>
            </w:r>
            <w:r>
              <w:rPr>
                <w:rFonts w:hint="default" w:ascii="Times New Roman" w:hAnsi="Times New Roman" w:eastAsia="宋体" w:cs="Times New Roman"/>
                <w:color w:val="auto"/>
                <w:highlight w:val="none"/>
              </w:rPr>
              <w:t>m</w:t>
            </w:r>
            <w:r>
              <w:rPr>
                <w:rFonts w:hint="eastAsia" w:eastAsia="宋体" w:cs="Times New Roman"/>
                <w:color w:val="auto"/>
                <w:highlight w:val="none"/>
                <w:vertAlign w:val="superscript"/>
                <w:lang w:val="en-US" w:eastAsia="zh-CN"/>
              </w:rPr>
              <w:t>3</w:t>
            </w:r>
            <w:r>
              <w:rPr>
                <w:rFonts w:hint="eastAsia" w:eastAsia="宋体" w:cs="Times New Roman"/>
                <w:color w:val="auto"/>
                <w:highlight w:val="none"/>
                <w:lang w:eastAsia="zh-CN"/>
              </w:rPr>
              <w:t>，</w:t>
            </w:r>
            <w:r>
              <w:rPr>
                <w:rFonts w:hint="eastAsia" w:eastAsia="宋体" w:cs="Times New Roman"/>
                <w:color w:val="auto"/>
                <w:highlight w:val="none"/>
                <w:lang w:val="en-US" w:eastAsia="zh-CN"/>
              </w:rPr>
              <w:t>位于厂区南侧，用于存放初期雨水。</w:t>
            </w:r>
          </w:p>
        </w:tc>
        <w:tc>
          <w:tcPr>
            <w:tcW w:w="435" w:type="pct"/>
            <w:vMerge w:val="continue"/>
            <w:vAlign w:val="center"/>
          </w:tcPr>
          <w:p w14:paraId="059C1560">
            <w:pPr>
              <w:pStyle w:val="146"/>
              <w:jc w:val="center"/>
              <w:rPr>
                <w:rFonts w:hint="default" w:ascii="Times New Roman" w:hAnsi="Times New Roman" w:eastAsia="宋体" w:cs="Times New Roman"/>
                <w:color w:val="auto"/>
                <w:highlight w:val="none"/>
                <w:lang w:val="en-US" w:eastAsia="zh-CN"/>
              </w:rPr>
            </w:pPr>
          </w:p>
        </w:tc>
      </w:tr>
      <w:tr w14:paraId="1ED9E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restart"/>
            <w:vAlign w:val="center"/>
          </w:tcPr>
          <w:p w14:paraId="718617C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储运工程</w:t>
            </w:r>
          </w:p>
        </w:tc>
        <w:tc>
          <w:tcPr>
            <w:tcW w:w="829" w:type="pct"/>
            <w:gridSpan w:val="2"/>
            <w:shd w:val="clear" w:color="auto" w:fill="auto"/>
            <w:vAlign w:val="center"/>
          </w:tcPr>
          <w:p w14:paraId="5529A7F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干草棚</w:t>
            </w:r>
          </w:p>
        </w:tc>
        <w:tc>
          <w:tcPr>
            <w:tcW w:w="3334" w:type="pct"/>
            <w:shd w:val="clear" w:color="auto" w:fill="auto"/>
            <w:vAlign w:val="center"/>
          </w:tcPr>
          <w:p w14:paraId="3DA6E3A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2栋，总建筑面积为8640m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，高6m。三面封闭用于储存草料，最大存储量为4200t，干草为捆装或干草块，采用苫布苫盖。</w:t>
            </w:r>
          </w:p>
        </w:tc>
        <w:tc>
          <w:tcPr>
            <w:tcW w:w="435" w:type="pct"/>
            <w:vMerge w:val="restart"/>
            <w:vAlign w:val="center"/>
          </w:tcPr>
          <w:p w14:paraId="2E48BA39">
            <w:pPr>
              <w:pStyle w:val="146"/>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新建</w:t>
            </w:r>
          </w:p>
        </w:tc>
      </w:tr>
      <w:tr w14:paraId="1CEAB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28ED927A">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345EE12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青储窖</w:t>
            </w:r>
          </w:p>
        </w:tc>
        <w:tc>
          <w:tcPr>
            <w:tcW w:w="3334" w:type="pct"/>
            <w:shd w:val="clear" w:color="auto" w:fill="auto"/>
            <w:vAlign w:val="center"/>
          </w:tcPr>
          <w:p w14:paraId="278CEE6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设置4座青贮窖，总占地面积为6400m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，青贮窖为倒梯形，无门窗，无屋面，为两侧混凝土墙围挡敞开形式；以储存青草饲料为主，设计为地上式；入口处为坡道。青饲料从当地附近农户购进；青饲料最大存储量15400吨，可满足日常需要。</w:t>
            </w:r>
          </w:p>
        </w:tc>
        <w:tc>
          <w:tcPr>
            <w:tcW w:w="435" w:type="pct"/>
            <w:vMerge w:val="continue"/>
            <w:vAlign w:val="center"/>
          </w:tcPr>
          <w:p w14:paraId="55FD4624">
            <w:pPr>
              <w:pStyle w:val="146"/>
              <w:jc w:val="center"/>
              <w:rPr>
                <w:rFonts w:hint="default" w:ascii="Times New Roman" w:hAnsi="Times New Roman" w:eastAsia="宋体" w:cs="Times New Roman"/>
                <w:color w:val="auto"/>
                <w:highlight w:val="none"/>
                <w:lang w:val="en-US" w:eastAsia="zh-CN"/>
              </w:rPr>
            </w:pPr>
          </w:p>
        </w:tc>
      </w:tr>
      <w:tr w14:paraId="0B1A8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7361CA9B">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502C637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TMR车间及精料库</w:t>
            </w:r>
          </w:p>
        </w:tc>
        <w:tc>
          <w:tcPr>
            <w:tcW w:w="3334" w:type="pct"/>
            <w:shd w:val="clear" w:color="auto" w:fill="auto"/>
            <w:vAlign w:val="center"/>
          </w:tcPr>
          <w:p w14:paraId="7FAEED22">
            <w:pPr>
              <w:pStyle w:val="146"/>
              <w:jc w:val="center"/>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rPr>
              <w:t>1座，建筑面积4320m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w:t>
            </w:r>
            <w:r>
              <w:rPr>
                <w:rFonts w:hint="eastAsia" w:eastAsia="宋体" w:cs="Times New Roman"/>
                <w:color w:val="auto"/>
                <w:highlight w:val="none"/>
                <w:lang w:val="en-US" w:eastAsia="zh-CN"/>
              </w:rPr>
              <w:t>4.5</w:t>
            </w:r>
            <w:r>
              <w:rPr>
                <w:rFonts w:hint="default" w:ascii="Times New Roman" w:hAnsi="Times New Roman" w:eastAsia="宋体" w:cs="Times New Roman"/>
                <w:color w:val="auto"/>
                <w:highlight w:val="none"/>
              </w:rPr>
              <w:t>m，位于厂区中部，日配料量是100T。</w:t>
            </w:r>
          </w:p>
        </w:tc>
        <w:tc>
          <w:tcPr>
            <w:tcW w:w="435" w:type="pct"/>
            <w:vMerge w:val="continue"/>
            <w:vAlign w:val="center"/>
          </w:tcPr>
          <w:p w14:paraId="71CB0086">
            <w:pPr>
              <w:pStyle w:val="63"/>
              <w:jc w:val="both"/>
              <w:rPr>
                <w:rFonts w:hint="default" w:ascii="Times New Roman" w:hAnsi="Times New Roman" w:eastAsia="宋体" w:cs="Times New Roman"/>
                <w:color w:val="auto"/>
                <w:kern w:val="2"/>
                <w:sz w:val="21"/>
                <w:szCs w:val="22"/>
                <w:highlight w:val="none"/>
              </w:rPr>
            </w:pPr>
          </w:p>
        </w:tc>
      </w:tr>
      <w:tr w14:paraId="20D25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44CE3F0D">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362E5D88">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eastAsia="zh-CN"/>
              </w:rPr>
              <w:t>储粪间</w:t>
            </w:r>
          </w:p>
        </w:tc>
        <w:tc>
          <w:tcPr>
            <w:tcW w:w="3334" w:type="pct"/>
            <w:shd w:val="clear" w:color="auto" w:fill="auto"/>
            <w:vAlign w:val="center"/>
          </w:tcPr>
          <w:p w14:paraId="0BBB017F">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座，建筑面积</w:t>
            </w:r>
            <w:r>
              <w:rPr>
                <w:rFonts w:hint="eastAsia" w:eastAsia="宋体" w:cs="Times New Roman"/>
                <w:color w:val="auto"/>
                <w:highlight w:val="none"/>
                <w:lang w:val="en-US" w:eastAsia="zh-CN"/>
              </w:rPr>
              <w:t>2700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，高</w:t>
            </w:r>
            <w:r>
              <w:rPr>
                <w:rFonts w:hint="eastAsia" w:eastAsia="宋体" w:cs="Times New Roman"/>
                <w:color w:val="auto"/>
                <w:highlight w:val="none"/>
                <w:lang w:val="en-US" w:eastAsia="zh-CN"/>
              </w:rPr>
              <w:t>4.5</w:t>
            </w:r>
            <w:r>
              <w:rPr>
                <w:rFonts w:hint="default" w:ascii="Times New Roman" w:hAnsi="Times New Roman" w:eastAsia="宋体" w:cs="Times New Roman"/>
                <w:color w:val="auto"/>
                <w:highlight w:val="none"/>
              </w:rPr>
              <w:t>m，位于厂区</w:t>
            </w:r>
            <w:r>
              <w:rPr>
                <w:rFonts w:hint="eastAsia" w:eastAsia="宋体" w:cs="Times New Roman"/>
                <w:color w:val="auto"/>
                <w:highlight w:val="none"/>
                <w:lang w:val="en-US" w:eastAsia="zh-CN"/>
              </w:rPr>
              <w:t>南侧。用于存储冬季无法消纳的固体粪肥。</w:t>
            </w:r>
          </w:p>
        </w:tc>
        <w:tc>
          <w:tcPr>
            <w:tcW w:w="435" w:type="pct"/>
            <w:vMerge w:val="continue"/>
            <w:vAlign w:val="center"/>
          </w:tcPr>
          <w:p w14:paraId="704ED15B">
            <w:pPr>
              <w:pStyle w:val="63"/>
              <w:jc w:val="both"/>
              <w:rPr>
                <w:rFonts w:hint="default" w:ascii="Times New Roman" w:hAnsi="Times New Roman" w:eastAsia="宋体" w:cs="Times New Roman"/>
                <w:color w:val="auto"/>
                <w:kern w:val="2"/>
                <w:sz w:val="21"/>
                <w:szCs w:val="22"/>
                <w:highlight w:val="none"/>
              </w:rPr>
            </w:pPr>
          </w:p>
        </w:tc>
      </w:tr>
      <w:tr w14:paraId="71344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20A4CDDD">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6B63E57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危险废物贮存点</w:t>
            </w:r>
          </w:p>
        </w:tc>
        <w:tc>
          <w:tcPr>
            <w:tcW w:w="3334" w:type="pct"/>
            <w:shd w:val="clear" w:color="auto" w:fill="auto"/>
            <w:vAlign w:val="center"/>
          </w:tcPr>
          <w:p w14:paraId="2491AB0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1座</w:t>
            </w:r>
            <w:r>
              <w:rPr>
                <w:rFonts w:hint="default" w:ascii="Times New Roman" w:hAnsi="Times New Roman" w:eastAsia="宋体" w:cs="Times New Roman"/>
                <w:color w:val="auto"/>
                <w:highlight w:val="none"/>
                <w:lang w:val="zh-CN"/>
              </w:rPr>
              <w:t>，在畜牧兽医室内，</w:t>
            </w:r>
            <w:r>
              <w:rPr>
                <w:rFonts w:hint="default" w:ascii="Times New Roman" w:hAnsi="Times New Roman" w:eastAsia="宋体" w:cs="Times New Roman"/>
                <w:color w:val="auto"/>
                <w:highlight w:val="none"/>
              </w:rPr>
              <w:t>建筑面积43.56m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lang w:val="zh-CN"/>
              </w:rPr>
              <w:t>，最大存储能力</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zh-CN"/>
              </w:rPr>
              <w:t>t。</w:t>
            </w:r>
            <w:r>
              <w:rPr>
                <w:rFonts w:hint="default" w:ascii="Times New Roman" w:hAnsi="Times New Roman" w:eastAsia="宋体" w:cs="Times New Roman"/>
                <w:color w:val="auto"/>
                <w:highlight w:val="none"/>
              </w:rPr>
              <w:t>位于场区西侧，</w:t>
            </w:r>
            <w:r>
              <w:rPr>
                <w:rFonts w:hint="default" w:ascii="Times New Roman" w:hAnsi="Times New Roman" w:eastAsia="宋体" w:cs="Times New Roman"/>
                <w:color w:val="auto"/>
                <w:highlight w:val="none"/>
                <w:lang w:val="zh-CN"/>
              </w:rPr>
              <w:t>医疗废物在危险废物贮存点内暂存，定期交由有资质单位处置。</w:t>
            </w:r>
          </w:p>
        </w:tc>
        <w:tc>
          <w:tcPr>
            <w:tcW w:w="435" w:type="pct"/>
            <w:vMerge w:val="continue"/>
            <w:vAlign w:val="center"/>
          </w:tcPr>
          <w:p w14:paraId="02793BDE">
            <w:pPr>
              <w:pStyle w:val="63"/>
              <w:jc w:val="both"/>
              <w:rPr>
                <w:rFonts w:hint="default" w:ascii="Times New Roman" w:hAnsi="Times New Roman" w:eastAsia="宋体" w:cs="Times New Roman"/>
                <w:color w:val="auto"/>
                <w:kern w:val="2"/>
                <w:sz w:val="21"/>
                <w:szCs w:val="22"/>
                <w:highlight w:val="none"/>
              </w:rPr>
            </w:pPr>
          </w:p>
        </w:tc>
      </w:tr>
      <w:tr w14:paraId="1AD9D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67BFAB8E">
            <w:pPr>
              <w:pStyle w:val="146"/>
              <w:rPr>
                <w:rFonts w:hint="default" w:ascii="Times New Roman" w:hAnsi="Times New Roman" w:eastAsia="宋体" w:cs="Times New Roman"/>
                <w:color w:val="auto"/>
                <w:highlight w:val="none"/>
              </w:rPr>
            </w:pPr>
          </w:p>
        </w:tc>
        <w:tc>
          <w:tcPr>
            <w:tcW w:w="829" w:type="pct"/>
            <w:gridSpan w:val="2"/>
            <w:vAlign w:val="center"/>
          </w:tcPr>
          <w:p w14:paraId="10E5E4D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化粪池</w:t>
            </w:r>
          </w:p>
        </w:tc>
        <w:tc>
          <w:tcPr>
            <w:tcW w:w="3334" w:type="pct"/>
            <w:vAlign w:val="center"/>
          </w:tcPr>
          <w:p w14:paraId="7E346F2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生活用化粪池为30m³，</w:t>
            </w:r>
            <w:r>
              <w:rPr>
                <w:rFonts w:hint="eastAsia" w:eastAsia="宋体" w:cs="Times New Roman"/>
                <w:color w:val="auto"/>
                <w:highlight w:val="none"/>
                <w:lang w:val="en-US" w:eastAsia="zh-CN"/>
              </w:rPr>
              <w:t>用于存放生活污水。</w:t>
            </w:r>
            <w:r>
              <w:rPr>
                <w:rFonts w:hint="default" w:ascii="Times New Roman" w:hAnsi="Times New Roman" w:eastAsia="宋体" w:cs="Times New Roman"/>
                <w:color w:val="auto"/>
                <w:highlight w:val="none"/>
              </w:rPr>
              <w:t>化粪池等效粘土层厚度要≥6.0m，满足渗透系数K≤1.0×10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cm/s，在做好基层防渗的基础上进行水泥硬化</w:t>
            </w:r>
          </w:p>
        </w:tc>
        <w:tc>
          <w:tcPr>
            <w:tcW w:w="435" w:type="pct"/>
            <w:vMerge w:val="continue"/>
            <w:vAlign w:val="center"/>
          </w:tcPr>
          <w:p w14:paraId="18C21227">
            <w:pPr>
              <w:pStyle w:val="146"/>
              <w:rPr>
                <w:rFonts w:hint="default" w:ascii="Times New Roman" w:hAnsi="Times New Roman" w:eastAsia="宋体" w:cs="Times New Roman"/>
                <w:color w:val="auto"/>
                <w:highlight w:val="none"/>
              </w:rPr>
            </w:pPr>
          </w:p>
        </w:tc>
      </w:tr>
      <w:tr w14:paraId="357D4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restart"/>
            <w:vAlign w:val="center"/>
          </w:tcPr>
          <w:p w14:paraId="4C269C8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公用工程</w:t>
            </w:r>
          </w:p>
        </w:tc>
        <w:tc>
          <w:tcPr>
            <w:tcW w:w="829" w:type="pct"/>
            <w:gridSpan w:val="2"/>
            <w:shd w:val="clear" w:color="auto" w:fill="auto"/>
            <w:vAlign w:val="center"/>
          </w:tcPr>
          <w:p w14:paraId="5B4643A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供电</w:t>
            </w:r>
          </w:p>
        </w:tc>
        <w:tc>
          <w:tcPr>
            <w:tcW w:w="3334" w:type="pct"/>
            <w:shd w:val="clear" w:color="auto" w:fill="auto"/>
            <w:vAlign w:val="center"/>
          </w:tcPr>
          <w:p w14:paraId="7BFF2AA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接入市政供电系统</w:t>
            </w:r>
          </w:p>
        </w:tc>
        <w:tc>
          <w:tcPr>
            <w:tcW w:w="435" w:type="pct"/>
            <w:vMerge w:val="restart"/>
            <w:vAlign w:val="center"/>
          </w:tcPr>
          <w:p w14:paraId="1EB3EE1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w:t>
            </w:r>
          </w:p>
        </w:tc>
      </w:tr>
      <w:tr w14:paraId="642FE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401" w:type="pct"/>
            <w:vMerge w:val="continue"/>
            <w:vAlign w:val="center"/>
          </w:tcPr>
          <w:p w14:paraId="52A7D6F9">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2A0E658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给水</w:t>
            </w:r>
          </w:p>
        </w:tc>
        <w:tc>
          <w:tcPr>
            <w:tcW w:w="3334" w:type="pct"/>
            <w:shd w:val="clear" w:color="auto" w:fill="auto"/>
            <w:vAlign w:val="center"/>
          </w:tcPr>
          <w:p w14:paraId="77A1D7E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厂区自打水井</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zh-CN"/>
              </w:rPr>
              <w:t>眼，井深120米，出水量60m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/h，满足项目</w:t>
            </w:r>
            <w:r>
              <w:rPr>
                <w:rFonts w:hint="eastAsia" w:eastAsia="宋体" w:cs="Times New Roman"/>
                <w:color w:val="auto"/>
                <w:highlight w:val="none"/>
                <w:lang w:val="en-US" w:eastAsia="zh-CN"/>
              </w:rPr>
              <w:t>生活、</w:t>
            </w:r>
            <w:r>
              <w:rPr>
                <w:rFonts w:hint="default" w:ascii="Times New Roman" w:hAnsi="Times New Roman" w:eastAsia="宋体" w:cs="Times New Roman"/>
                <w:color w:val="auto"/>
                <w:highlight w:val="none"/>
                <w:lang w:val="zh-CN"/>
              </w:rPr>
              <w:t>生产用水需求。</w:t>
            </w:r>
          </w:p>
        </w:tc>
        <w:tc>
          <w:tcPr>
            <w:tcW w:w="435" w:type="pct"/>
            <w:vMerge w:val="continue"/>
            <w:vAlign w:val="center"/>
          </w:tcPr>
          <w:p w14:paraId="5181CE8E">
            <w:pPr>
              <w:pStyle w:val="146"/>
              <w:jc w:val="both"/>
              <w:rPr>
                <w:rFonts w:hint="default" w:ascii="Times New Roman" w:hAnsi="Times New Roman" w:eastAsia="宋体" w:cs="Times New Roman"/>
                <w:color w:val="auto"/>
                <w:highlight w:val="none"/>
              </w:rPr>
            </w:pPr>
          </w:p>
        </w:tc>
      </w:tr>
      <w:tr w14:paraId="5C26D2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33D63CCD">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7A19FDB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排水</w:t>
            </w:r>
          </w:p>
        </w:tc>
        <w:tc>
          <w:tcPr>
            <w:tcW w:w="3334" w:type="pct"/>
            <w:shd w:val="clear" w:color="auto" w:fill="auto"/>
            <w:vAlign w:val="center"/>
          </w:tcPr>
          <w:p w14:paraId="0639782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w:t>
            </w:r>
            <w:r>
              <w:rPr>
                <w:rFonts w:hint="eastAsia" w:eastAsia="宋体" w:cs="Times New Roman"/>
                <w:color w:val="auto"/>
                <w:highlight w:val="none"/>
                <w:lang w:val="en-US" w:eastAsia="zh-CN"/>
              </w:rPr>
              <w:t>沉淀</w:t>
            </w:r>
            <w:r>
              <w:rPr>
                <w:rFonts w:hint="default" w:ascii="Times New Roman" w:hAnsi="Times New Roman" w:eastAsia="宋体" w:cs="Times New Roman"/>
                <w:color w:val="auto"/>
                <w:highlight w:val="none"/>
                <w:lang w:val="zh-CN"/>
              </w:rPr>
              <w:t>后用于厂区内洒水降尘，不外排；生活污水排入化粪池，定期外运，不外排。</w:t>
            </w:r>
            <w:r>
              <w:rPr>
                <w:rFonts w:hint="eastAsia" w:eastAsia="宋体" w:cs="Times New Roman"/>
                <w:color w:val="auto"/>
                <w:sz w:val="21"/>
                <w:szCs w:val="21"/>
                <w:highlight w:val="none"/>
                <w:lang w:val="en-US" w:eastAsia="zh-CN"/>
              </w:rPr>
              <w:t>无养殖废水产生。</w:t>
            </w:r>
          </w:p>
        </w:tc>
        <w:tc>
          <w:tcPr>
            <w:tcW w:w="435" w:type="pct"/>
            <w:vMerge w:val="continue"/>
            <w:vAlign w:val="center"/>
          </w:tcPr>
          <w:p w14:paraId="3EF58C9B">
            <w:pPr>
              <w:pStyle w:val="146"/>
              <w:jc w:val="both"/>
              <w:rPr>
                <w:rFonts w:hint="default" w:ascii="Times New Roman" w:hAnsi="Times New Roman" w:eastAsia="宋体" w:cs="Times New Roman"/>
                <w:color w:val="auto"/>
                <w:highlight w:val="none"/>
              </w:rPr>
            </w:pPr>
          </w:p>
        </w:tc>
      </w:tr>
      <w:tr w14:paraId="61F79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0CFD239D">
            <w:pPr>
              <w:pStyle w:val="146"/>
              <w:rPr>
                <w:rFonts w:hint="default" w:ascii="Times New Roman" w:hAnsi="Times New Roman" w:eastAsia="宋体" w:cs="Times New Roman"/>
                <w:color w:val="auto"/>
                <w:highlight w:val="none"/>
              </w:rPr>
            </w:pPr>
          </w:p>
        </w:tc>
        <w:tc>
          <w:tcPr>
            <w:tcW w:w="829" w:type="pct"/>
            <w:gridSpan w:val="2"/>
            <w:shd w:val="clear" w:color="auto" w:fill="auto"/>
            <w:vAlign w:val="center"/>
          </w:tcPr>
          <w:p w14:paraId="612F390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供热</w:t>
            </w:r>
          </w:p>
        </w:tc>
        <w:tc>
          <w:tcPr>
            <w:tcW w:w="3334" w:type="pct"/>
            <w:shd w:val="clear" w:color="auto" w:fill="auto"/>
            <w:vAlign w:val="center"/>
          </w:tcPr>
          <w:p w14:paraId="49638C94">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办公楼</w:t>
            </w:r>
            <w:r>
              <w:rPr>
                <w:rFonts w:hint="default" w:ascii="Times New Roman" w:hAnsi="Times New Roman" w:eastAsia="宋体" w:cs="Times New Roman"/>
                <w:color w:val="auto"/>
                <w:highlight w:val="none"/>
                <w:lang w:val="zh-CN"/>
              </w:rPr>
              <w:t>冬季取暖采用电取暖。</w:t>
            </w:r>
          </w:p>
        </w:tc>
        <w:tc>
          <w:tcPr>
            <w:tcW w:w="435" w:type="pct"/>
            <w:vMerge w:val="continue"/>
            <w:vAlign w:val="center"/>
          </w:tcPr>
          <w:p w14:paraId="79E18820">
            <w:pPr>
              <w:pStyle w:val="146"/>
              <w:jc w:val="both"/>
              <w:rPr>
                <w:rFonts w:hint="default" w:ascii="Times New Roman" w:hAnsi="Times New Roman" w:eastAsia="宋体" w:cs="Times New Roman"/>
                <w:color w:val="auto"/>
                <w:highlight w:val="none"/>
              </w:rPr>
            </w:pPr>
          </w:p>
        </w:tc>
      </w:tr>
      <w:tr w14:paraId="64ACC0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1" w:hRule="atLeast"/>
          <w:jc w:val="center"/>
        </w:trPr>
        <w:tc>
          <w:tcPr>
            <w:tcW w:w="401" w:type="pct"/>
            <w:vMerge w:val="restart"/>
            <w:vAlign w:val="center"/>
          </w:tcPr>
          <w:p w14:paraId="5C5396F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环保工程</w:t>
            </w:r>
          </w:p>
        </w:tc>
        <w:tc>
          <w:tcPr>
            <w:tcW w:w="369" w:type="pct"/>
            <w:vAlign w:val="center"/>
          </w:tcPr>
          <w:p w14:paraId="1DB3F608">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废气</w:t>
            </w:r>
          </w:p>
        </w:tc>
        <w:tc>
          <w:tcPr>
            <w:tcW w:w="459" w:type="pct"/>
            <w:vAlign w:val="center"/>
          </w:tcPr>
          <w:p w14:paraId="619401BD">
            <w:pPr>
              <w:pStyle w:val="146"/>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恶臭</w:t>
            </w:r>
            <w:r>
              <w:rPr>
                <w:rFonts w:hint="eastAsia" w:eastAsia="宋体" w:cs="Times New Roman"/>
                <w:color w:val="auto"/>
                <w:highlight w:val="none"/>
                <w:lang w:val="en-US" w:eastAsia="zh-CN"/>
              </w:rPr>
              <w:t>气体</w:t>
            </w:r>
          </w:p>
        </w:tc>
        <w:tc>
          <w:tcPr>
            <w:tcW w:w="3334" w:type="pct"/>
            <w:vAlign w:val="center"/>
          </w:tcPr>
          <w:p w14:paraId="0AE1D6AC">
            <w:pPr>
              <w:pStyle w:val="146"/>
              <w:jc w:val="both"/>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本项目堆肥间采取废气收集装置（收集效率95%）经活性炭吸附（去除效率90%）后通过15m高排气筒（DA001）排放。满足</w:t>
            </w:r>
            <w:r>
              <w:rPr>
                <w:rFonts w:hint="default" w:ascii="Times New Roman" w:hAnsi="Times New Roman" w:eastAsia="宋体" w:cs="Times New Roman"/>
                <w:color w:val="auto"/>
                <w:highlight w:val="none"/>
              </w:rPr>
              <w:t>《恶臭污染物排放标准》（GB14553-93）中表2标准值要求</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堆肥间恶臭气体</w:t>
            </w:r>
            <w:r>
              <w:rPr>
                <w:rFonts w:hint="eastAsia" w:ascii="Times New Roman" w:hAnsi="Times New Roman" w:eastAsia="宋体" w:cs="Times New Roman"/>
                <w:color w:val="auto"/>
                <w:highlight w:val="none"/>
                <w:lang w:val="en-US" w:eastAsia="zh-CN"/>
              </w:rPr>
              <w:t>采用</w:t>
            </w:r>
            <w:r>
              <w:rPr>
                <w:rFonts w:hint="default" w:ascii="Times New Roman" w:hAnsi="Times New Roman" w:eastAsia="宋体" w:cs="Times New Roman"/>
                <w:color w:val="auto"/>
                <w:highlight w:val="none"/>
              </w:rPr>
              <w:t>堆肥生物基除臭技术</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使用后的生物发酵床有机垫料运送至堆肥间后采取</w:t>
            </w:r>
            <w:r>
              <w:rPr>
                <w:rFonts w:hint="default" w:ascii="Times New Roman" w:hAnsi="Times New Roman" w:eastAsia="宋体" w:cs="Times New Roman"/>
                <w:color w:val="auto"/>
                <w:highlight w:val="none"/>
              </w:rPr>
              <w:t>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除臭剂、复合生物除臭菌粉</w:t>
            </w:r>
            <w:r>
              <w:rPr>
                <w:rFonts w:hint="eastAsia" w:ascii="Times New Roman" w:hAnsi="Times New Roman" w:eastAsia="宋体" w:cs="Times New Roman"/>
                <w:color w:val="auto"/>
                <w:highlight w:val="none"/>
                <w:lang w:val="en-US" w:eastAsia="zh-CN"/>
              </w:rPr>
              <w:t>以及</w:t>
            </w:r>
            <w:r>
              <w:rPr>
                <w:rFonts w:hint="default" w:ascii="Times New Roman" w:hAnsi="Times New Roman" w:eastAsia="宋体" w:cs="Times New Roman"/>
                <w:color w:val="auto"/>
                <w:highlight w:val="none"/>
              </w:rPr>
              <w:t>绿化措施以降低恶臭污染的影响</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无组织</w:t>
            </w:r>
            <w:r>
              <w:rPr>
                <w:rFonts w:hint="default" w:ascii="Times New Roman" w:hAnsi="Times New Roman" w:eastAsia="宋体" w:cs="Times New Roman"/>
                <w:color w:val="auto"/>
                <w:highlight w:val="none"/>
              </w:rPr>
              <w:t>臭气浓度满足《畜禽养殖业污染物排放标准》（GB18596-2001）中表7标准，硫化氢、氨在场界浓度满足《恶臭污染物排放标准》（GB14554-93）表1中二级新扩改建标准。牛舍采用畜禽养殖生物发酵床技术</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及时清粪、保持牛舍清洁、合理调配饲料、饲料中添加EM菌、定期喷洒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除臭剂、绿化措施以降低恶臭污染的影响，臭气浓度满足《畜禽养殖业污染物排放标准》（GB18596-2001）中表7标准，硫化氢、氨在场界浓度满足《恶臭污染物排放标准》（GB14554-93）表1中二级新扩改建标准。</w:t>
            </w:r>
          </w:p>
        </w:tc>
        <w:tc>
          <w:tcPr>
            <w:tcW w:w="435" w:type="pct"/>
            <w:vMerge w:val="restart"/>
            <w:vAlign w:val="center"/>
          </w:tcPr>
          <w:p w14:paraId="5667437C">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w:t>
            </w:r>
          </w:p>
        </w:tc>
      </w:tr>
      <w:tr w14:paraId="29E1C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6012381E">
            <w:pPr>
              <w:pStyle w:val="146"/>
              <w:rPr>
                <w:rFonts w:hint="default" w:ascii="Times New Roman" w:hAnsi="Times New Roman" w:eastAsia="宋体" w:cs="Times New Roman"/>
                <w:color w:val="auto"/>
                <w:highlight w:val="none"/>
              </w:rPr>
            </w:pPr>
          </w:p>
        </w:tc>
        <w:tc>
          <w:tcPr>
            <w:tcW w:w="829" w:type="pct"/>
            <w:gridSpan w:val="2"/>
            <w:vAlign w:val="center"/>
          </w:tcPr>
          <w:p w14:paraId="2A58120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3334" w:type="pct"/>
            <w:vAlign w:val="center"/>
          </w:tcPr>
          <w:p w14:paraId="209ADC06">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zh-CN"/>
              </w:rPr>
              <w:t>本项目采取雨污分流的形式，雨水采用明沟排放，初期雨水经四周排水沟汇入厂区一座</w:t>
            </w:r>
            <w:r>
              <w:rPr>
                <w:rFonts w:hint="eastAsia" w:ascii="Times New Roman" w:hAnsi="Times New Roman" w:eastAsia="宋体" w:cs="Times New Roman"/>
                <w:snapToGrid w:val="0"/>
                <w:color w:val="auto"/>
                <w:highlight w:val="none"/>
                <w:lang w:val="en-US" w:eastAsia="zh-CN"/>
              </w:rPr>
              <w:t>2300</w:t>
            </w:r>
            <w:r>
              <w:rPr>
                <w:rFonts w:hint="default" w:ascii="Times New Roman" w:hAnsi="Times New Roman" w:eastAsia="宋体" w:cs="Times New Roman"/>
                <w:snapToGrid w:val="0"/>
                <w:color w:val="auto"/>
                <w:highlight w:val="none"/>
                <w:lang w:val="zh-CN"/>
              </w:rPr>
              <w:t>m</w:t>
            </w:r>
            <w:r>
              <w:rPr>
                <w:rFonts w:hint="default" w:ascii="Times New Roman" w:hAnsi="Times New Roman" w:eastAsia="宋体" w:cs="Times New Roman"/>
                <w:snapToGrid w:val="0"/>
                <w:color w:val="auto"/>
                <w:highlight w:val="none"/>
                <w:vertAlign w:val="superscript"/>
                <w:lang w:val="zh-CN"/>
              </w:rPr>
              <w:t>3</w:t>
            </w:r>
            <w:r>
              <w:rPr>
                <w:rFonts w:hint="default" w:ascii="Times New Roman" w:hAnsi="Times New Roman" w:eastAsia="宋体" w:cs="Times New Roman"/>
                <w:snapToGrid w:val="0"/>
                <w:color w:val="auto"/>
                <w:highlight w:val="none"/>
                <w:lang w:val="zh-CN"/>
              </w:rPr>
              <w:t>初期雨水收集池内，雨水收集</w:t>
            </w:r>
            <w:r>
              <w:rPr>
                <w:rFonts w:hint="eastAsia" w:ascii="Times New Roman" w:hAnsi="Times New Roman" w:eastAsia="宋体" w:cs="Times New Roman"/>
                <w:snapToGrid w:val="0"/>
                <w:color w:val="auto"/>
                <w:highlight w:val="none"/>
                <w:lang w:val="en-US" w:eastAsia="zh-CN"/>
              </w:rPr>
              <w:t>沉淀</w:t>
            </w:r>
            <w:r>
              <w:rPr>
                <w:rFonts w:hint="default" w:ascii="Times New Roman" w:hAnsi="Times New Roman" w:eastAsia="宋体" w:cs="Times New Roman"/>
                <w:snapToGrid w:val="0"/>
                <w:color w:val="auto"/>
                <w:highlight w:val="none"/>
                <w:lang w:val="zh-CN"/>
              </w:rPr>
              <w:t>后用于厂区内洒水降尘，不外排；生活污水排入化粪池，定期外运，不外排。</w:t>
            </w:r>
            <w:r>
              <w:rPr>
                <w:rFonts w:hint="default" w:ascii="Times New Roman" w:hAnsi="Times New Roman" w:eastAsia="宋体" w:cs="Times New Roman"/>
                <w:snapToGrid w:val="0"/>
                <w:color w:val="auto"/>
                <w:highlight w:val="none"/>
                <w:lang w:val="en-US" w:eastAsia="zh-CN"/>
              </w:rPr>
              <w:t>牛舍采用</w:t>
            </w:r>
            <w:r>
              <w:rPr>
                <w:rFonts w:hint="eastAsia" w:ascii="Times New Roman" w:hAnsi="Times New Roman" w:eastAsia="宋体" w:cs="Times New Roman"/>
                <w:snapToGrid w:val="0"/>
                <w:color w:val="auto"/>
                <w:highlight w:val="none"/>
                <w:lang w:val="en-US" w:eastAsia="zh-CN"/>
              </w:rPr>
              <w:t>生物发酵床技术</w:t>
            </w:r>
            <w:r>
              <w:rPr>
                <w:rFonts w:hint="default" w:ascii="Times New Roman" w:hAnsi="Times New Roman" w:eastAsia="宋体" w:cs="Times New Roman"/>
                <w:snapToGrid w:val="0"/>
                <w:color w:val="auto"/>
                <w:highlight w:val="none"/>
                <w:lang w:val="en-US" w:eastAsia="zh-CN"/>
              </w:rPr>
              <w:t>，牛</w:t>
            </w:r>
            <w:r>
              <w:rPr>
                <w:rFonts w:hint="eastAsia" w:ascii="Times New Roman" w:hAnsi="Times New Roman" w:eastAsia="宋体" w:cs="Times New Roman"/>
                <w:snapToGrid w:val="0"/>
                <w:color w:val="auto"/>
                <w:highlight w:val="none"/>
                <w:lang w:val="en-US" w:eastAsia="zh-CN"/>
              </w:rPr>
              <w:t>粪污</w:t>
            </w:r>
            <w:r>
              <w:rPr>
                <w:rFonts w:hint="default" w:ascii="Times New Roman" w:hAnsi="Times New Roman" w:eastAsia="宋体" w:cs="Times New Roman"/>
                <w:snapToGrid w:val="0"/>
                <w:color w:val="auto"/>
                <w:highlight w:val="none"/>
                <w:lang w:val="en-US" w:eastAsia="zh-CN"/>
              </w:rPr>
              <w:t>可实现零排放</w:t>
            </w:r>
            <w:r>
              <w:rPr>
                <w:rFonts w:hint="eastAsia" w:ascii="Times New Roman" w:hAnsi="Times New Roman" w:eastAsia="宋体" w:cs="Times New Roman"/>
                <w:snapToGrid w:val="0"/>
                <w:color w:val="auto"/>
                <w:highlight w:val="none"/>
                <w:lang w:val="en-US" w:eastAsia="zh-CN"/>
              </w:rPr>
              <w:t>，项目无地面冲洗水产生；</w:t>
            </w:r>
            <w:r>
              <w:rPr>
                <w:rFonts w:hint="default" w:ascii="Times New Roman" w:hAnsi="Times New Roman" w:eastAsia="宋体" w:cs="Times New Roman"/>
                <w:snapToGrid w:val="0"/>
                <w:color w:val="auto"/>
                <w:highlight w:val="none"/>
                <w:lang w:val="zh-CN"/>
              </w:rPr>
              <w:t>将青贮</w:t>
            </w:r>
            <w:r>
              <w:rPr>
                <w:rFonts w:hint="default" w:ascii="Times New Roman" w:hAnsi="Times New Roman" w:eastAsia="宋体" w:cs="Times New Roman"/>
                <w:snapToGrid w:val="0"/>
                <w:color w:val="auto"/>
                <w:highlight w:val="none"/>
                <w:lang w:val="en-US" w:eastAsia="zh-CN"/>
              </w:rPr>
              <w:t>窖</w:t>
            </w:r>
            <w:r>
              <w:rPr>
                <w:rFonts w:hint="default" w:ascii="Times New Roman" w:hAnsi="Times New Roman" w:eastAsia="宋体" w:cs="Times New Roman"/>
                <w:snapToGrid w:val="0"/>
                <w:color w:val="auto"/>
                <w:highlight w:val="none"/>
                <w:lang w:val="zh-CN"/>
              </w:rPr>
              <w:t>渗滤液与精料按比例配合饲喂肉牛。</w:t>
            </w:r>
            <w:r>
              <w:rPr>
                <w:rFonts w:hint="default" w:ascii="Times New Roman" w:hAnsi="Times New Roman" w:eastAsia="宋体" w:cs="Times New Roman"/>
                <w:snapToGrid w:val="0"/>
                <w:color w:val="auto"/>
                <w:highlight w:val="none"/>
                <w:lang w:val="en-US" w:eastAsia="zh-CN"/>
              </w:rPr>
              <w:t>堆肥间渗滤液</w:t>
            </w:r>
            <w:r>
              <w:rPr>
                <w:rFonts w:hint="default" w:ascii="Times New Roman" w:hAnsi="Times New Roman" w:eastAsia="宋体" w:cs="Times New Roman"/>
                <w:snapToGrid w:val="0"/>
                <w:color w:val="auto"/>
                <w:highlight w:val="none"/>
              </w:rPr>
              <w:t>定期喷洒至粪肥表面翻耕搅拌。</w:t>
            </w:r>
            <w:r>
              <w:rPr>
                <w:rFonts w:hint="default" w:ascii="Times New Roman" w:hAnsi="Times New Roman" w:eastAsia="宋体" w:cs="Times New Roman"/>
                <w:snapToGrid w:val="0"/>
                <w:color w:val="auto"/>
                <w:highlight w:val="none"/>
                <w:lang w:val="en-US" w:eastAsia="zh-CN"/>
              </w:rPr>
              <w:t>消毒用水全部损耗。</w:t>
            </w:r>
            <w:r>
              <w:rPr>
                <w:rFonts w:hint="eastAsia" w:ascii="Times New Roman" w:hAnsi="Times New Roman" w:eastAsia="宋体" w:cs="Times New Roman"/>
                <w:snapToGrid w:val="0"/>
                <w:color w:val="auto"/>
                <w:highlight w:val="none"/>
                <w:lang w:val="en-US" w:eastAsia="zh-CN"/>
              </w:rPr>
              <w:t>本项目无养殖废水产生。</w:t>
            </w:r>
          </w:p>
        </w:tc>
        <w:tc>
          <w:tcPr>
            <w:tcW w:w="435" w:type="pct"/>
            <w:vMerge w:val="continue"/>
            <w:vAlign w:val="center"/>
          </w:tcPr>
          <w:p w14:paraId="18507E58">
            <w:pPr>
              <w:pStyle w:val="146"/>
              <w:jc w:val="both"/>
              <w:rPr>
                <w:rFonts w:hint="default" w:ascii="Times New Roman" w:hAnsi="Times New Roman" w:eastAsia="宋体" w:cs="Times New Roman"/>
                <w:color w:val="auto"/>
                <w:highlight w:val="none"/>
              </w:rPr>
            </w:pPr>
          </w:p>
        </w:tc>
      </w:tr>
      <w:tr w14:paraId="6A8D3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4369299F">
            <w:pPr>
              <w:pStyle w:val="146"/>
              <w:rPr>
                <w:rFonts w:hint="default" w:ascii="Times New Roman" w:hAnsi="Times New Roman" w:eastAsia="宋体" w:cs="Times New Roman"/>
                <w:color w:val="auto"/>
                <w:highlight w:val="none"/>
              </w:rPr>
            </w:pPr>
          </w:p>
        </w:tc>
        <w:tc>
          <w:tcPr>
            <w:tcW w:w="369" w:type="pct"/>
            <w:vAlign w:val="center"/>
          </w:tcPr>
          <w:p w14:paraId="434ED5A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459" w:type="pct"/>
            <w:vAlign w:val="center"/>
          </w:tcPr>
          <w:p w14:paraId="1207672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降噪措施</w:t>
            </w:r>
          </w:p>
        </w:tc>
        <w:tc>
          <w:tcPr>
            <w:tcW w:w="3334" w:type="pct"/>
            <w:vAlign w:val="center"/>
          </w:tcPr>
          <w:p w14:paraId="1CA3E3B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选用先进的低噪设备，风机、水泵等发声设备应设减振垫；加强设备的维护，着重场区绿化等措施，</w:t>
            </w:r>
            <w:r>
              <w:rPr>
                <w:rFonts w:hint="eastAsia" w:eastAsia="宋体" w:cs="Times New Roman"/>
                <w:snapToGrid w:val="0"/>
                <w:color w:val="auto"/>
                <w:highlight w:val="none"/>
                <w:lang w:val="en-US" w:eastAsia="zh-CN"/>
              </w:rPr>
              <w:t>厂界</w:t>
            </w:r>
            <w:r>
              <w:rPr>
                <w:rFonts w:hint="default" w:ascii="Times New Roman" w:hAnsi="Times New Roman" w:eastAsia="宋体" w:cs="Times New Roman"/>
                <w:snapToGrid w:val="0"/>
                <w:color w:val="auto"/>
                <w:highlight w:val="none"/>
              </w:rPr>
              <w:t>噪声满足《工业企业厂界环境噪声排放标准》（GB12348-2008）表1</w:t>
            </w:r>
            <w:r>
              <w:rPr>
                <w:rFonts w:hint="default" w:ascii="Times New Roman" w:hAnsi="Times New Roman" w:eastAsia="宋体" w:cs="Times New Roman"/>
                <w:color w:val="auto"/>
                <w:highlight w:val="none"/>
              </w:rPr>
              <w:t>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w:t>
            </w:r>
          </w:p>
        </w:tc>
        <w:tc>
          <w:tcPr>
            <w:tcW w:w="435" w:type="pct"/>
            <w:vMerge w:val="continue"/>
            <w:vAlign w:val="center"/>
          </w:tcPr>
          <w:p w14:paraId="219D8973">
            <w:pPr>
              <w:pStyle w:val="146"/>
              <w:jc w:val="both"/>
              <w:rPr>
                <w:rFonts w:hint="default" w:ascii="Times New Roman" w:hAnsi="Times New Roman" w:eastAsia="宋体" w:cs="Times New Roman"/>
                <w:snapToGrid w:val="0"/>
                <w:color w:val="auto"/>
                <w:highlight w:val="none"/>
              </w:rPr>
            </w:pPr>
          </w:p>
        </w:tc>
      </w:tr>
      <w:tr w14:paraId="5BF89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4627A030">
            <w:pPr>
              <w:pStyle w:val="146"/>
              <w:rPr>
                <w:rFonts w:hint="default" w:ascii="Times New Roman" w:hAnsi="Times New Roman" w:eastAsia="宋体" w:cs="Times New Roman"/>
                <w:color w:val="auto"/>
                <w:highlight w:val="none"/>
              </w:rPr>
            </w:pPr>
          </w:p>
        </w:tc>
        <w:tc>
          <w:tcPr>
            <w:tcW w:w="369" w:type="pct"/>
            <w:vMerge w:val="restart"/>
            <w:vAlign w:val="center"/>
          </w:tcPr>
          <w:p w14:paraId="0F616FF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459" w:type="pct"/>
            <w:vAlign w:val="center"/>
          </w:tcPr>
          <w:p w14:paraId="69466E91">
            <w:pPr>
              <w:pStyle w:val="146"/>
              <w:rPr>
                <w:rFonts w:hint="eastAsia"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废垫料</w:t>
            </w:r>
          </w:p>
        </w:tc>
        <w:tc>
          <w:tcPr>
            <w:tcW w:w="3334" w:type="pct"/>
            <w:vAlign w:val="center"/>
          </w:tcPr>
          <w:p w14:paraId="3269CADE">
            <w:pPr>
              <w:pStyle w:val="146"/>
              <w:ind w:left="0" w:leftChars="0" w:firstLine="0" w:firstLineChars="0"/>
              <w:jc w:val="both"/>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本</w:t>
            </w:r>
            <w:r>
              <w:rPr>
                <w:rFonts w:hint="default" w:ascii="Times New Roman" w:hAnsi="Times New Roman" w:eastAsia="宋体" w:cs="Times New Roman"/>
                <w:color w:val="auto"/>
                <w:sz w:val="21"/>
                <w:szCs w:val="21"/>
                <w:highlight w:val="none"/>
                <w:lang w:val="en-US" w:eastAsia="zh-CN"/>
              </w:rPr>
              <w:t>项目含有牛粪尿的垫料在牛舍发酵后，运至</w:t>
            </w:r>
            <w:r>
              <w:rPr>
                <w:rFonts w:hint="eastAsia" w:eastAsia="宋体" w:cs="Times New Roman"/>
                <w:color w:val="auto"/>
                <w:sz w:val="21"/>
                <w:szCs w:val="21"/>
                <w:highlight w:val="none"/>
                <w:lang w:val="en-US" w:eastAsia="zh-CN"/>
              </w:rPr>
              <w:t>堆肥间</w:t>
            </w:r>
            <w:r>
              <w:rPr>
                <w:rFonts w:hint="default" w:ascii="Times New Roman" w:hAnsi="Times New Roman" w:eastAsia="宋体" w:cs="Times New Roman"/>
                <w:color w:val="auto"/>
                <w:sz w:val="21"/>
                <w:szCs w:val="21"/>
                <w:highlight w:val="none"/>
                <w:lang w:val="en-US" w:eastAsia="zh-CN"/>
              </w:rPr>
              <w:t>进一步发酵制成</w:t>
            </w:r>
            <w:r>
              <w:rPr>
                <w:rFonts w:hint="eastAsia" w:eastAsia="宋体" w:cs="Times New Roman"/>
                <w:color w:val="auto"/>
                <w:sz w:val="21"/>
                <w:szCs w:val="21"/>
                <w:highlight w:val="none"/>
                <w:lang w:val="en-US" w:eastAsia="zh-CN"/>
              </w:rPr>
              <w:t>固体粪污</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highlight w:val="none"/>
                <w:lang w:val="en-US" w:eastAsia="zh-CN"/>
              </w:rPr>
              <w:t>固体粪肥使用喷粪车作为肥料施用于配套消纳地进行施肥，非施肥季节储存于</w:t>
            </w:r>
            <w:r>
              <w:rPr>
                <w:rFonts w:hint="eastAsia" w:eastAsia="宋体" w:cs="Times New Roman"/>
                <w:snapToGrid w:val="0"/>
                <w:color w:val="auto"/>
                <w:highlight w:val="none"/>
                <w:lang w:val="en-US" w:eastAsia="zh-CN"/>
              </w:rPr>
              <w:t>储粪间</w:t>
            </w:r>
            <w:r>
              <w:rPr>
                <w:rFonts w:hint="default" w:ascii="Times New Roman" w:hAnsi="Times New Roman" w:eastAsia="宋体" w:cs="Times New Roman"/>
                <w:snapToGrid w:val="0"/>
                <w:color w:val="auto"/>
                <w:highlight w:val="none"/>
                <w:lang w:val="en-US" w:eastAsia="zh-CN"/>
              </w:rPr>
              <w:t>内。</w:t>
            </w:r>
          </w:p>
        </w:tc>
        <w:tc>
          <w:tcPr>
            <w:tcW w:w="435" w:type="pct"/>
            <w:vMerge w:val="continue"/>
            <w:vAlign w:val="center"/>
          </w:tcPr>
          <w:p w14:paraId="7E38F5CB">
            <w:pPr>
              <w:pStyle w:val="146"/>
              <w:jc w:val="both"/>
              <w:rPr>
                <w:rFonts w:hint="default" w:ascii="Times New Roman" w:hAnsi="Times New Roman" w:eastAsia="宋体" w:cs="Times New Roman"/>
                <w:snapToGrid w:val="0"/>
                <w:color w:val="auto"/>
                <w:highlight w:val="none"/>
              </w:rPr>
            </w:pPr>
          </w:p>
        </w:tc>
      </w:tr>
      <w:tr w14:paraId="212104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01" w:type="pct"/>
            <w:vMerge w:val="continue"/>
            <w:vAlign w:val="center"/>
          </w:tcPr>
          <w:p w14:paraId="2DC6FA9F">
            <w:pPr>
              <w:pStyle w:val="146"/>
              <w:rPr>
                <w:rFonts w:hint="default" w:ascii="Times New Roman" w:hAnsi="Times New Roman" w:eastAsia="宋体" w:cs="Times New Roman"/>
                <w:color w:val="auto"/>
                <w:highlight w:val="none"/>
              </w:rPr>
            </w:pPr>
          </w:p>
        </w:tc>
        <w:tc>
          <w:tcPr>
            <w:tcW w:w="369" w:type="pct"/>
            <w:vMerge w:val="continue"/>
            <w:vAlign w:val="center"/>
          </w:tcPr>
          <w:p w14:paraId="1A2574BD">
            <w:pPr>
              <w:pStyle w:val="146"/>
              <w:rPr>
                <w:rFonts w:hint="default" w:ascii="Times New Roman" w:hAnsi="Times New Roman" w:eastAsia="宋体" w:cs="Times New Roman"/>
                <w:color w:val="auto"/>
                <w:highlight w:val="none"/>
              </w:rPr>
            </w:pPr>
          </w:p>
        </w:tc>
        <w:tc>
          <w:tcPr>
            <w:tcW w:w="459" w:type="pct"/>
            <w:vAlign w:val="center"/>
          </w:tcPr>
          <w:p w14:paraId="450971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w:t>
            </w:r>
          </w:p>
        </w:tc>
        <w:tc>
          <w:tcPr>
            <w:tcW w:w="3334" w:type="pct"/>
            <w:vAlign w:val="center"/>
          </w:tcPr>
          <w:p w14:paraId="02CC2509">
            <w:pPr>
              <w:pStyle w:val="146"/>
              <w:rPr>
                <w:rFonts w:hint="default" w:ascii="Times New Roman" w:hAnsi="Times New Roman" w:eastAsia="宋体" w:cs="Times New Roman"/>
                <w:color w:val="auto"/>
                <w:highlight w:val="none"/>
                <w:vertAlign w:val="superscript"/>
              </w:rPr>
            </w:pPr>
            <w:r>
              <w:rPr>
                <w:rFonts w:hint="default" w:ascii="Times New Roman" w:hAnsi="Times New Roman" w:eastAsia="宋体" w:cs="Times New Roman"/>
                <w:color w:val="auto"/>
                <w:highlight w:val="none"/>
              </w:rPr>
              <w:t>暂存</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bookmarkStart w:id="180" w:name="_Hlk527806358"/>
            <w:r>
              <w:rPr>
                <w:rFonts w:hint="default" w:ascii="Times New Roman" w:hAnsi="Times New Roman" w:eastAsia="宋体" w:cs="Times New Roman"/>
                <w:color w:val="auto"/>
                <w:highlight w:val="none"/>
              </w:rPr>
              <w:t>委托有资质的单位处理</w:t>
            </w:r>
            <w:bookmarkEnd w:id="180"/>
            <w:r>
              <w:rPr>
                <w:rFonts w:hint="default" w:ascii="Times New Roman" w:hAnsi="Times New Roman" w:eastAsia="宋体" w:cs="Times New Roman"/>
                <w:color w:val="auto"/>
                <w:highlight w:val="none"/>
              </w:rPr>
              <w:t>。</w:t>
            </w:r>
          </w:p>
        </w:tc>
        <w:tc>
          <w:tcPr>
            <w:tcW w:w="435" w:type="pct"/>
            <w:vMerge w:val="continue"/>
            <w:vAlign w:val="center"/>
          </w:tcPr>
          <w:p w14:paraId="7A53A9CC">
            <w:pPr>
              <w:pStyle w:val="146"/>
              <w:rPr>
                <w:rFonts w:hint="default" w:ascii="Times New Roman" w:hAnsi="Times New Roman" w:eastAsia="宋体" w:cs="Times New Roman"/>
                <w:color w:val="auto"/>
                <w:highlight w:val="none"/>
              </w:rPr>
            </w:pPr>
          </w:p>
        </w:tc>
      </w:tr>
      <w:tr w14:paraId="12C629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01" w:type="pct"/>
            <w:vMerge w:val="continue"/>
            <w:vAlign w:val="center"/>
          </w:tcPr>
          <w:p w14:paraId="0FF64ADD">
            <w:pPr>
              <w:pStyle w:val="146"/>
              <w:rPr>
                <w:rFonts w:hint="default" w:ascii="Times New Roman" w:hAnsi="Times New Roman" w:eastAsia="宋体" w:cs="Times New Roman"/>
                <w:color w:val="auto"/>
                <w:highlight w:val="none"/>
              </w:rPr>
            </w:pPr>
          </w:p>
        </w:tc>
        <w:tc>
          <w:tcPr>
            <w:tcW w:w="369" w:type="pct"/>
            <w:vMerge w:val="continue"/>
            <w:vAlign w:val="center"/>
          </w:tcPr>
          <w:p w14:paraId="4E9E942C">
            <w:pPr>
              <w:pStyle w:val="146"/>
              <w:rPr>
                <w:rFonts w:hint="default" w:ascii="Times New Roman" w:hAnsi="Times New Roman" w:eastAsia="宋体" w:cs="Times New Roman"/>
                <w:color w:val="auto"/>
                <w:highlight w:val="none"/>
              </w:rPr>
            </w:pPr>
          </w:p>
        </w:tc>
        <w:tc>
          <w:tcPr>
            <w:tcW w:w="459" w:type="pct"/>
            <w:vAlign w:val="center"/>
          </w:tcPr>
          <w:p w14:paraId="2C48613C">
            <w:pPr>
              <w:pStyle w:val="146"/>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废活性炭</w:t>
            </w:r>
          </w:p>
        </w:tc>
        <w:tc>
          <w:tcPr>
            <w:tcW w:w="3334" w:type="pct"/>
            <w:vAlign w:val="center"/>
          </w:tcPr>
          <w:p w14:paraId="27CCD82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由厂家定期回收处置。</w:t>
            </w:r>
          </w:p>
        </w:tc>
        <w:tc>
          <w:tcPr>
            <w:tcW w:w="435" w:type="pct"/>
            <w:vMerge w:val="continue"/>
            <w:vAlign w:val="center"/>
          </w:tcPr>
          <w:p w14:paraId="1C275395">
            <w:pPr>
              <w:pStyle w:val="146"/>
              <w:rPr>
                <w:rFonts w:hint="default" w:ascii="Times New Roman" w:hAnsi="Times New Roman" w:eastAsia="宋体" w:cs="Times New Roman"/>
                <w:color w:val="auto"/>
                <w:highlight w:val="none"/>
              </w:rPr>
            </w:pPr>
          </w:p>
        </w:tc>
      </w:tr>
      <w:tr w14:paraId="7914B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401" w:type="pct"/>
            <w:vMerge w:val="continue"/>
            <w:vAlign w:val="center"/>
          </w:tcPr>
          <w:p w14:paraId="243FC575">
            <w:pPr>
              <w:pStyle w:val="146"/>
              <w:rPr>
                <w:rFonts w:hint="default" w:ascii="Times New Roman" w:hAnsi="Times New Roman" w:eastAsia="宋体" w:cs="Times New Roman"/>
                <w:color w:val="auto"/>
                <w:highlight w:val="none"/>
              </w:rPr>
            </w:pPr>
          </w:p>
        </w:tc>
        <w:tc>
          <w:tcPr>
            <w:tcW w:w="369" w:type="pct"/>
            <w:vMerge w:val="continue"/>
            <w:vAlign w:val="center"/>
          </w:tcPr>
          <w:p w14:paraId="33EDE9F5">
            <w:pPr>
              <w:pStyle w:val="146"/>
              <w:rPr>
                <w:rFonts w:hint="default" w:ascii="Times New Roman" w:hAnsi="Times New Roman" w:eastAsia="宋体" w:cs="Times New Roman"/>
                <w:color w:val="auto"/>
                <w:highlight w:val="none"/>
              </w:rPr>
            </w:pPr>
          </w:p>
        </w:tc>
        <w:tc>
          <w:tcPr>
            <w:tcW w:w="459" w:type="pct"/>
            <w:vAlign w:val="center"/>
          </w:tcPr>
          <w:p w14:paraId="13258A29">
            <w:pPr>
              <w:pStyle w:val="146"/>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病死牛</w:t>
            </w:r>
            <w:r>
              <w:rPr>
                <w:rFonts w:hint="eastAsia" w:eastAsia="宋体" w:cs="Times New Roman"/>
                <w:color w:val="auto"/>
                <w:highlight w:val="none"/>
                <w:lang w:val="en-US" w:eastAsia="zh-CN"/>
              </w:rPr>
              <w:t>尸体</w:t>
            </w:r>
          </w:p>
        </w:tc>
        <w:tc>
          <w:tcPr>
            <w:tcW w:w="3334" w:type="pct"/>
            <w:vAlign w:val="center"/>
          </w:tcPr>
          <w:p w14:paraId="65C874E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rPr>
              <w:t>进行无害化处理。</w:t>
            </w:r>
          </w:p>
        </w:tc>
        <w:tc>
          <w:tcPr>
            <w:tcW w:w="435" w:type="pct"/>
            <w:vMerge w:val="continue"/>
            <w:vAlign w:val="center"/>
          </w:tcPr>
          <w:p w14:paraId="7538D6BC">
            <w:pPr>
              <w:pStyle w:val="146"/>
              <w:rPr>
                <w:rFonts w:hint="default" w:ascii="Times New Roman" w:hAnsi="Times New Roman" w:eastAsia="宋体" w:cs="Times New Roman"/>
                <w:color w:val="auto"/>
                <w:highlight w:val="none"/>
              </w:rPr>
            </w:pPr>
          </w:p>
        </w:tc>
      </w:tr>
      <w:tr w14:paraId="1D3A3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01" w:type="pct"/>
            <w:vMerge w:val="continue"/>
            <w:vAlign w:val="center"/>
          </w:tcPr>
          <w:p w14:paraId="305FA483">
            <w:pPr>
              <w:pStyle w:val="146"/>
              <w:rPr>
                <w:rFonts w:hint="default" w:ascii="Times New Roman" w:hAnsi="Times New Roman" w:eastAsia="宋体" w:cs="Times New Roman"/>
                <w:color w:val="auto"/>
                <w:highlight w:val="none"/>
              </w:rPr>
            </w:pPr>
          </w:p>
        </w:tc>
        <w:tc>
          <w:tcPr>
            <w:tcW w:w="369" w:type="pct"/>
            <w:vMerge w:val="continue"/>
            <w:vAlign w:val="center"/>
          </w:tcPr>
          <w:p w14:paraId="11548CAA">
            <w:pPr>
              <w:pStyle w:val="146"/>
              <w:rPr>
                <w:rFonts w:hint="default" w:ascii="Times New Roman" w:hAnsi="Times New Roman" w:eastAsia="宋体" w:cs="Times New Roman"/>
                <w:color w:val="auto"/>
                <w:highlight w:val="none"/>
              </w:rPr>
            </w:pPr>
          </w:p>
        </w:tc>
        <w:tc>
          <w:tcPr>
            <w:tcW w:w="459" w:type="pct"/>
            <w:vAlign w:val="center"/>
          </w:tcPr>
          <w:p w14:paraId="465D9D4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w:t>
            </w:r>
          </w:p>
        </w:tc>
        <w:tc>
          <w:tcPr>
            <w:tcW w:w="3334" w:type="pct"/>
            <w:vAlign w:val="center"/>
          </w:tcPr>
          <w:p w14:paraId="49B5A47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及时清运，由市政部门统一清运处理。</w:t>
            </w:r>
          </w:p>
        </w:tc>
        <w:tc>
          <w:tcPr>
            <w:tcW w:w="435" w:type="pct"/>
            <w:vMerge w:val="continue"/>
            <w:vAlign w:val="center"/>
          </w:tcPr>
          <w:p w14:paraId="5137D390">
            <w:pPr>
              <w:pStyle w:val="146"/>
              <w:rPr>
                <w:rFonts w:hint="default" w:ascii="Times New Roman" w:hAnsi="Times New Roman" w:eastAsia="宋体" w:cs="Times New Roman"/>
                <w:color w:val="auto"/>
                <w:highlight w:val="none"/>
              </w:rPr>
            </w:pPr>
          </w:p>
        </w:tc>
      </w:tr>
      <w:tr w14:paraId="47E32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696AD683">
            <w:pPr>
              <w:pStyle w:val="146"/>
              <w:rPr>
                <w:rFonts w:hint="default" w:ascii="Times New Roman" w:hAnsi="Times New Roman" w:eastAsia="宋体" w:cs="Times New Roman"/>
                <w:color w:val="auto"/>
                <w:highlight w:val="none"/>
              </w:rPr>
            </w:pPr>
          </w:p>
        </w:tc>
        <w:tc>
          <w:tcPr>
            <w:tcW w:w="369" w:type="pct"/>
            <w:vMerge w:val="restart"/>
            <w:vAlign w:val="center"/>
          </w:tcPr>
          <w:p w14:paraId="270E684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地下水防渗</w:t>
            </w:r>
          </w:p>
        </w:tc>
        <w:tc>
          <w:tcPr>
            <w:tcW w:w="459" w:type="pct"/>
            <w:vAlign w:val="center"/>
          </w:tcPr>
          <w:p w14:paraId="172CC79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防渗工程</w:t>
            </w:r>
          </w:p>
        </w:tc>
        <w:tc>
          <w:tcPr>
            <w:tcW w:w="3334" w:type="pct"/>
            <w:vAlign w:val="center"/>
          </w:tcPr>
          <w:p w14:paraId="371C8CF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GB"/>
              </w:rPr>
              <w:fldChar w:fldCharType="begin"/>
            </w:r>
            <w:r>
              <w:rPr>
                <w:rFonts w:hint="default" w:ascii="Times New Roman" w:hAnsi="Times New Roman" w:eastAsia="宋体" w:cs="Times New Roman"/>
                <w:color w:val="auto"/>
                <w:highlight w:val="none"/>
                <w:lang w:val="en-GB"/>
              </w:rPr>
              <w:instrText xml:space="preserve"> = 1 \* GB3 </w:instrText>
            </w:r>
            <w:r>
              <w:rPr>
                <w:rFonts w:hint="default" w:ascii="Times New Roman" w:hAnsi="Times New Roman" w:eastAsia="宋体" w:cs="Times New Roman"/>
                <w:color w:val="auto"/>
                <w:highlight w:val="none"/>
                <w:lang w:val="en-GB"/>
              </w:rPr>
              <w:fldChar w:fldCharType="separate"/>
            </w:r>
            <w:r>
              <w:rPr>
                <w:rFonts w:hint="default" w:ascii="Times New Roman" w:hAnsi="Times New Roman" w:eastAsia="宋体" w:cs="Times New Roman"/>
                <w:color w:val="auto"/>
                <w:highlight w:val="none"/>
                <w:lang w:val="en-GB"/>
              </w:rPr>
              <w:t>①</w:t>
            </w:r>
            <w:r>
              <w:rPr>
                <w:rFonts w:hint="default" w:ascii="Times New Roman" w:hAnsi="Times New Roman" w:eastAsia="宋体" w:cs="Times New Roman"/>
                <w:color w:val="auto"/>
                <w:highlight w:val="none"/>
                <w:lang w:val="en-GB"/>
              </w:rPr>
              <w:fldChar w:fldCharType="end"/>
            </w:r>
            <w:r>
              <w:rPr>
                <w:rFonts w:hint="default" w:ascii="Times New Roman" w:hAnsi="Times New Roman" w:eastAsia="宋体" w:cs="Times New Roman"/>
                <w:color w:val="auto"/>
                <w:highlight w:val="none"/>
                <w:lang w:val="en-GB"/>
              </w:rPr>
              <w:t>重点防渗区：</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val="en-GB" w:eastAsia="zh-CN"/>
              </w:rPr>
              <w:t>危险废物贮存点</w:t>
            </w:r>
            <w:r>
              <w:rPr>
                <w:rFonts w:hint="default" w:ascii="Times New Roman" w:hAnsi="Times New Roman" w:eastAsia="宋体" w:cs="Times New Roman"/>
                <w:color w:val="auto"/>
                <w:highlight w:val="none"/>
                <w:lang w:val="en-GB"/>
              </w:rPr>
              <w:t>采用重点防渗。</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化粪池等效粘土层厚度要≥6.0m，满足渗透系数K≤1.0×10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cm/s，在做好基层防渗的基础上进行水泥硬化；</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p w14:paraId="4AB23E79">
            <w:pPr>
              <w:pStyle w:val="146"/>
              <w:jc w:val="both"/>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fldChar w:fldCharType="begin"/>
            </w:r>
            <w:r>
              <w:rPr>
                <w:rFonts w:hint="default" w:ascii="Times New Roman" w:hAnsi="Times New Roman" w:eastAsia="宋体" w:cs="Times New Roman"/>
                <w:color w:val="auto"/>
                <w:highlight w:val="none"/>
                <w:lang w:val="en-GB"/>
              </w:rPr>
              <w:instrText xml:space="preserve"> = 2 \* GB3 </w:instrText>
            </w:r>
            <w:r>
              <w:rPr>
                <w:rFonts w:hint="default" w:ascii="Times New Roman" w:hAnsi="Times New Roman" w:eastAsia="宋体" w:cs="Times New Roman"/>
                <w:color w:val="auto"/>
                <w:highlight w:val="none"/>
                <w:lang w:val="en-GB"/>
              </w:rPr>
              <w:fldChar w:fldCharType="separate"/>
            </w:r>
            <w:r>
              <w:rPr>
                <w:rFonts w:hint="default" w:ascii="Times New Roman" w:hAnsi="Times New Roman" w:eastAsia="宋体" w:cs="Times New Roman"/>
                <w:color w:val="auto"/>
                <w:highlight w:val="none"/>
                <w:lang w:val="en-GB"/>
              </w:rPr>
              <w:t>②</w:t>
            </w:r>
            <w:r>
              <w:rPr>
                <w:rFonts w:hint="default" w:ascii="Times New Roman" w:hAnsi="Times New Roman" w:eastAsia="宋体" w:cs="Times New Roman"/>
                <w:color w:val="auto"/>
                <w:highlight w:val="none"/>
                <w:lang w:val="en-GB"/>
              </w:rPr>
              <w:fldChar w:fldCharType="end"/>
            </w:r>
            <w:r>
              <w:rPr>
                <w:rFonts w:hint="default" w:ascii="Times New Roman" w:hAnsi="Times New Roman" w:eastAsia="宋体" w:cs="Times New Roman"/>
                <w:color w:val="auto"/>
                <w:highlight w:val="none"/>
                <w:lang w:val="en-GB"/>
              </w:rPr>
              <w:t>牛舍</w:t>
            </w:r>
            <w:r>
              <w:rPr>
                <w:rFonts w:hint="default" w:ascii="Times New Roman" w:hAnsi="Times New Roman" w:eastAsia="宋体" w:cs="Times New Roman"/>
                <w:color w:val="auto"/>
                <w:highlight w:val="none"/>
                <w:lang w:val="en-GB"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highlight w:val="none"/>
                <w:lang w:val="en-GB"/>
              </w:rPr>
              <w:t>采取一般防渗措施。地面基础防渗，防渗层为至少1m厚粘土层或2mm厚高密度聚乙烯，需满足等效黏土防渗层Mb≥1.5m，K≤1×10</w:t>
            </w:r>
            <w:r>
              <w:rPr>
                <w:rFonts w:hint="default" w:ascii="Times New Roman" w:hAnsi="Times New Roman" w:eastAsia="宋体" w:cs="Times New Roman"/>
                <w:color w:val="auto"/>
                <w:highlight w:val="none"/>
                <w:vertAlign w:val="superscript"/>
                <w:lang w:val="en-GB"/>
              </w:rPr>
              <w:t>-7</w:t>
            </w:r>
            <w:r>
              <w:rPr>
                <w:rFonts w:hint="default" w:ascii="Times New Roman" w:hAnsi="Times New Roman" w:eastAsia="宋体" w:cs="Times New Roman"/>
                <w:color w:val="auto"/>
                <w:highlight w:val="none"/>
                <w:lang w:val="en-GB"/>
              </w:rPr>
              <w:t>cm/s的要求；</w:t>
            </w:r>
          </w:p>
          <w:p w14:paraId="476DD68B">
            <w:pPr>
              <w:pStyle w:val="146"/>
              <w:jc w:val="both"/>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fldChar w:fldCharType="begin"/>
            </w:r>
            <w:r>
              <w:rPr>
                <w:rFonts w:hint="default" w:ascii="Times New Roman" w:hAnsi="Times New Roman" w:eastAsia="宋体" w:cs="Times New Roman"/>
                <w:color w:val="auto"/>
                <w:highlight w:val="none"/>
                <w:lang w:val="en-GB"/>
              </w:rPr>
              <w:instrText xml:space="preserve"> = 3 \* GB3 </w:instrText>
            </w:r>
            <w:r>
              <w:rPr>
                <w:rFonts w:hint="default" w:ascii="Times New Roman" w:hAnsi="Times New Roman" w:eastAsia="宋体" w:cs="Times New Roman"/>
                <w:color w:val="auto"/>
                <w:highlight w:val="none"/>
                <w:lang w:val="en-GB"/>
              </w:rPr>
              <w:fldChar w:fldCharType="separate"/>
            </w:r>
            <w:r>
              <w:rPr>
                <w:rFonts w:hint="default" w:ascii="Times New Roman" w:hAnsi="Times New Roman" w:eastAsia="宋体" w:cs="Times New Roman"/>
                <w:color w:val="auto"/>
                <w:highlight w:val="none"/>
                <w:lang w:val="en-GB"/>
              </w:rPr>
              <w:t>③</w:t>
            </w:r>
            <w:r>
              <w:rPr>
                <w:rFonts w:hint="default" w:ascii="Times New Roman" w:hAnsi="Times New Roman" w:eastAsia="宋体" w:cs="Times New Roman"/>
                <w:color w:val="auto"/>
                <w:highlight w:val="none"/>
                <w:lang w:val="en-GB"/>
              </w:rPr>
              <w:fldChar w:fldCharType="end"/>
            </w:r>
            <w:r>
              <w:rPr>
                <w:rFonts w:hint="default" w:ascii="Times New Roman" w:hAnsi="Times New Roman" w:eastAsia="宋体" w:cs="Times New Roman"/>
                <w:color w:val="auto"/>
                <w:highlight w:val="none"/>
              </w:rPr>
              <w:t>办公室等其他建筑物</w:t>
            </w:r>
            <w:r>
              <w:rPr>
                <w:rFonts w:hint="default" w:ascii="Times New Roman" w:hAnsi="Times New Roman" w:eastAsia="宋体" w:cs="Times New Roman"/>
                <w:color w:val="auto"/>
                <w:highlight w:val="none"/>
                <w:lang w:val="en-GB"/>
              </w:rPr>
              <w:t>及场区道路采用简单防渗。简单防渗区均用水泥进行硬化。</w:t>
            </w:r>
          </w:p>
        </w:tc>
        <w:tc>
          <w:tcPr>
            <w:tcW w:w="435" w:type="pct"/>
            <w:vMerge w:val="continue"/>
            <w:vAlign w:val="center"/>
          </w:tcPr>
          <w:p w14:paraId="090DDA2A">
            <w:pPr>
              <w:pStyle w:val="146"/>
              <w:jc w:val="both"/>
              <w:rPr>
                <w:rFonts w:hint="default" w:ascii="Times New Roman" w:hAnsi="Times New Roman" w:eastAsia="宋体" w:cs="Times New Roman"/>
                <w:color w:val="auto"/>
                <w:highlight w:val="none"/>
                <w:lang w:val="en-GB"/>
              </w:rPr>
            </w:pPr>
          </w:p>
        </w:tc>
      </w:tr>
      <w:tr w14:paraId="61BC2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continue"/>
            <w:vAlign w:val="center"/>
          </w:tcPr>
          <w:p w14:paraId="1982AD63">
            <w:pPr>
              <w:pStyle w:val="146"/>
              <w:rPr>
                <w:rFonts w:hint="default" w:ascii="Times New Roman" w:hAnsi="Times New Roman" w:eastAsia="宋体" w:cs="Times New Roman"/>
                <w:color w:val="auto"/>
                <w:highlight w:val="none"/>
              </w:rPr>
            </w:pPr>
          </w:p>
        </w:tc>
        <w:tc>
          <w:tcPr>
            <w:tcW w:w="369" w:type="pct"/>
            <w:vMerge w:val="continue"/>
            <w:vAlign w:val="center"/>
          </w:tcPr>
          <w:p w14:paraId="4F7BBD4A">
            <w:pPr>
              <w:pStyle w:val="146"/>
              <w:rPr>
                <w:rFonts w:hint="default" w:ascii="Times New Roman" w:hAnsi="Times New Roman" w:eastAsia="宋体" w:cs="Times New Roman"/>
                <w:color w:val="auto"/>
                <w:highlight w:val="none"/>
              </w:rPr>
            </w:pPr>
          </w:p>
        </w:tc>
        <w:tc>
          <w:tcPr>
            <w:tcW w:w="459" w:type="pct"/>
            <w:vAlign w:val="center"/>
          </w:tcPr>
          <w:p w14:paraId="104DC8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跟踪监测井</w:t>
            </w:r>
          </w:p>
        </w:tc>
        <w:tc>
          <w:tcPr>
            <w:tcW w:w="3334" w:type="pct"/>
            <w:vAlign w:val="center"/>
          </w:tcPr>
          <w:p w14:paraId="380C3EF8">
            <w:pPr>
              <w:autoSpaceDE w:val="0"/>
              <w:autoSpaceDN w:val="0"/>
              <w:snapToGrid/>
              <w:spacing w:line="240" w:lineRule="auto"/>
              <w:ind w:firstLine="0" w:firstLineChars="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highlight w:val="none"/>
                <w:lang w:val="en-GB"/>
              </w:rPr>
              <w:t>在厂区下游设置一个跟踪监测井，井深约为</w:t>
            </w:r>
            <w:r>
              <w:rPr>
                <w:rFonts w:hint="eastAsia" w:ascii="Times New Roman" w:hAnsi="Times New Roman" w:cs="Times New Roman"/>
                <w:color w:val="auto"/>
                <w:sz w:val="21"/>
                <w:highlight w:val="none"/>
                <w:lang w:val="en-US" w:eastAsia="zh-CN"/>
              </w:rPr>
              <w:t>1</w:t>
            </w:r>
            <w:r>
              <w:rPr>
                <w:rFonts w:hint="eastAsia" w:cs="Times New Roman"/>
                <w:color w:val="auto"/>
                <w:sz w:val="21"/>
                <w:highlight w:val="none"/>
                <w:lang w:val="en-US" w:eastAsia="zh-CN"/>
              </w:rPr>
              <w:t>2</w:t>
            </w:r>
            <w:r>
              <w:rPr>
                <w:rFonts w:hint="default" w:ascii="Times New Roman" w:hAnsi="Times New Roman" w:eastAsia="宋体" w:cs="Times New Roman"/>
                <w:color w:val="auto"/>
                <w:sz w:val="21"/>
                <w:highlight w:val="none"/>
                <w:lang w:val="en-GB"/>
              </w:rPr>
              <w:t>m，用于地下水的跟踪监测。</w:t>
            </w:r>
          </w:p>
        </w:tc>
        <w:tc>
          <w:tcPr>
            <w:tcW w:w="435" w:type="pct"/>
            <w:vAlign w:val="center"/>
          </w:tcPr>
          <w:p w14:paraId="7B7CBEE8">
            <w:pPr>
              <w:autoSpaceDE w:val="0"/>
              <w:autoSpaceDN w:val="0"/>
              <w:snapToGrid/>
              <w:spacing w:line="240" w:lineRule="auto"/>
              <w:ind w:firstLine="0" w:firstLineChars="0"/>
              <w:jc w:val="left"/>
              <w:rPr>
                <w:rFonts w:hint="default" w:ascii="Times New Roman" w:hAnsi="Times New Roman" w:eastAsia="宋体" w:cs="Times New Roman"/>
                <w:color w:val="auto"/>
                <w:sz w:val="21"/>
                <w:highlight w:val="none"/>
                <w:lang w:val="en-GB"/>
              </w:rPr>
            </w:pPr>
          </w:p>
        </w:tc>
      </w:tr>
      <w:tr w14:paraId="4E7B1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1" w:type="pct"/>
            <w:vAlign w:val="center"/>
          </w:tcPr>
          <w:p w14:paraId="67ACEB98">
            <w:pPr>
              <w:pStyle w:val="146"/>
              <w:rPr>
                <w:rFonts w:hint="default" w:ascii="Times New Roman" w:hAnsi="Times New Roman" w:eastAsia="宋体" w:cs="Times New Roman"/>
                <w:color w:val="auto"/>
                <w:highlight w:val="none"/>
                <w:lang w:val="en-US" w:eastAsia="zh-CN"/>
              </w:rPr>
            </w:pPr>
            <w:bookmarkStart w:id="181" w:name="_Toc57713634"/>
            <w:r>
              <w:rPr>
                <w:rFonts w:hint="default" w:ascii="Times New Roman" w:hAnsi="Times New Roman" w:eastAsia="宋体" w:cs="Times New Roman"/>
                <w:color w:val="auto"/>
                <w:highlight w:val="none"/>
                <w:lang w:val="en-US" w:eastAsia="zh-CN"/>
              </w:rPr>
              <w:t>依托工程</w:t>
            </w:r>
          </w:p>
        </w:tc>
        <w:tc>
          <w:tcPr>
            <w:tcW w:w="829" w:type="pct"/>
            <w:gridSpan w:val="2"/>
            <w:vAlign w:val="center"/>
          </w:tcPr>
          <w:p w14:paraId="07A82836">
            <w:pPr>
              <w:pStyle w:val="146"/>
              <w:rPr>
                <w:rFonts w:hint="default" w:ascii="Times New Roman" w:hAnsi="Times New Roman" w:eastAsia="宋体" w:cs="Times New Roman"/>
                <w:color w:val="auto"/>
                <w:highlight w:val="none"/>
                <w:lang w:val="en-GB" w:eastAsia="zh-CN"/>
              </w:rPr>
            </w:pPr>
            <w:r>
              <w:rPr>
                <w:rFonts w:hint="default" w:ascii="Times New Roman" w:hAnsi="Times New Roman" w:eastAsia="宋体" w:cs="Times New Roman"/>
                <w:color w:val="auto"/>
                <w:highlight w:val="none"/>
                <w:lang w:val="en-US" w:eastAsia="zh-CN"/>
              </w:rPr>
              <w:t>哈尔滨银山无害化处理有限公司</w:t>
            </w:r>
          </w:p>
        </w:tc>
        <w:tc>
          <w:tcPr>
            <w:tcW w:w="3769" w:type="pct"/>
            <w:gridSpan w:val="2"/>
            <w:vAlign w:val="center"/>
          </w:tcPr>
          <w:p w14:paraId="184747D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哈尔滨银山无害化处理有限公司哈尔滨银山无害化处理项目环境影响报告表》于2016年获得原哈尔滨市阿城区环境保护局审批（阿环审表[2016]033号），主要采用高温焚烧法进行动物无害化处理，取得了排污许可证（许可证编号：91230112MA18YH1Y2T001V），委托可行。</w:t>
            </w:r>
          </w:p>
        </w:tc>
      </w:tr>
      <w:bookmarkEnd w:id="179"/>
    </w:tbl>
    <w:p w14:paraId="0B95888E">
      <w:pPr>
        <w:pStyle w:val="5"/>
        <w:spacing w:line="500" w:lineRule="exact"/>
        <w:rPr>
          <w:rFonts w:hint="default" w:ascii="Times New Roman" w:hAnsi="Times New Roman" w:cs="Times New Roman"/>
          <w:color w:val="auto"/>
          <w:highlight w:val="none"/>
        </w:rPr>
      </w:pPr>
      <w:bookmarkStart w:id="182" w:name="_Toc13155"/>
      <w:r>
        <w:rPr>
          <w:rFonts w:hint="default" w:ascii="Times New Roman" w:hAnsi="Times New Roman" w:cs="Times New Roman"/>
          <w:color w:val="auto"/>
          <w:highlight w:val="none"/>
        </w:rPr>
        <w:t>3.1.3主要原辅材料消耗</w:t>
      </w:r>
      <w:bookmarkEnd w:id="181"/>
      <w:bookmarkEnd w:id="182"/>
    </w:p>
    <w:p w14:paraId="108BA2D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本项目原辅材料及年消耗量见下表。</w:t>
      </w:r>
    </w:p>
    <w:p w14:paraId="1C1D8639">
      <w:pPr>
        <w:pStyle w:val="210"/>
        <w:spacing w:line="400" w:lineRule="exact"/>
        <w:rPr>
          <w:rFonts w:hint="default" w:ascii="Times New Roman" w:hAnsi="Times New Roman" w:eastAsia="黑体" w:cs="Times New Roman"/>
          <w:color w:val="auto"/>
          <w:highlight w:val="none"/>
          <w:lang w:eastAsia="zh-CN"/>
        </w:rPr>
      </w:pPr>
      <w:r>
        <w:rPr>
          <w:rFonts w:hint="default" w:ascii="Times New Roman" w:hAnsi="Times New Roman" w:cs="Times New Roman"/>
          <w:color w:val="auto"/>
          <w:highlight w:val="none"/>
        </w:rPr>
        <w:t>表3-1-2主要原辅材料年消耗</w:t>
      </w:r>
    </w:p>
    <w:tbl>
      <w:tblPr>
        <w:tblStyle w:val="47"/>
        <w:tblW w:w="488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28"/>
        <w:gridCol w:w="969"/>
        <w:gridCol w:w="1251"/>
        <w:gridCol w:w="1091"/>
        <w:gridCol w:w="1112"/>
        <w:gridCol w:w="2861"/>
      </w:tblGrid>
      <w:tr w14:paraId="43B513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50716F1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368" w:type="pct"/>
            <w:gridSpan w:val="2"/>
            <w:shd w:val="clear" w:color="auto" w:fill="auto"/>
            <w:vAlign w:val="center"/>
          </w:tcPr>
          <w:p w14:paraId="1C755A4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指标</w:t>
            </w:r>
          </w:p>
        </w:tc>
        <w:tc>
          <w:tcPr>
            <w:tcW w:w="672" w:type="pct"/>
            <w:shd w:val="clear" w:color="auto" w:fill="auto"/>
            <w:vAlign w:val="center"/>
          </w:tcPr>
          <w:p w14:paraId="2AC6934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685" w:type="pct"/>
            <w:shd w:val="clear" w:color="auto" w:fill="auto"/>
            <w:vAlign w:val="center"/>
          </w:tcPr>
          <w:p w14:paraId="5405F6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w:t>
            </w:r>
          </w:p>
        </w:tc>
        <w:tc>
          <w:tcPr>
            <w:tcW w:w="1763" w:type="pct"/>
            <w:shd w:val="clear" w:color="auto" w:fill="auto"/>
            <w:vAlign w:val="center"/>
          </w:tcPr>
          <w:p w14:paraId="1D4C798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04E1B4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510" w:type="pct"/>
            <w:vMerge w:val="restart"/>
            <w:shd w:val="clear" w:color="auto" w:fill="auto"/>
            <w:vAlign w:val="center"/>
          </w:tcPr>
          <w:p w14:paraId="574CD2C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597" w:type="pct"/>
            <w:vMerge w:val="restart"/>
            <w:shd w:val="clear" w:color="auto" w:fill="auto"/>
            <w:vAlign w:val="center"/>
          </w:tcPr>
          <w:p w14:paraId="6B6E4A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w:t>
            </w:r>
          </w:p>
        </w:tc>
        <w:tc>
          <w:tcPr>
            <w:tcW w:w="771" w:type="pct"/>
            <w:shd w:val="clear" w:color="auto" w:fill="auto"/>
            <w:vAlign w:val="center"/>
          </w:tcPr>
          <w:p w14:paraId="43556A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玉米</w:t>
            </w:r>
            <w:r>
              <w:rPr>
                <w:rFonts w:hint="default" w:ascii="Times New Roman" w:hAnsi="Times New Roman" w:eastAsia="宋体" w:cs="Times New Roman"/>
                <w:color w:val="auto"/>
                <w:highlight w:val="none"/>
              </w:rPr>
              <w:t>秸秆</w:t>
            </w:r>
          </w:p>
        </w:tc>
        <w:tc>
          <w:tcPr>
            <w:tcW w:w="672" w:type="pct"/>
            <w:shd w:val="clear" w:color="auto" w:fill="auto"/>
            <w:vAlign w:val="center"/>
          </w:tcPr>
          <w:p w14:paraId="4BF311B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7F72EC9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96</w:t>
            </w:r>
            <w:r>
              <w:rPr>
                <w:rFonts w:hint="default" w:ascii="Times New Roman" w:hAnsi="Times New Roman" w:eastAsia="宋体" w:cs="Times New Roman"/>
                <w:color w:val="auto"/>
                <w:highlight w:val="none"/>
              </w:rPr>
              <w:t>00</w:t>
            </w:r>
            <w:r>
              <w:rPr>
                <w:rFonts w:hint="default" w:ascii="Times New Roman" w:hAnsi="Times New Roman" w:eastAsia="宋体" w:cs="Times New Roman"/>
                <w:color w:val="auto"/>
                <w:highlight w:val="none"/>
                <w:lang w:val="en-US" w:eastAsia="zh-CN"/>
              </w:rPr>
              <w:t>0</w:t>
            </w:r>
          </w:p>
        </w:tc>
        <w:tc>
          <w:tcPr>
            <w:tcW w:w="1763" w:type="pct"/>
            <w:shd w:val="clear" w:color="auto" w:fill="auto"/>
            <w:vAlign w:val="center"/>
          </w:tcPr>
          <w:p w14:paraId="168AEBF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外购</w:t>
            </w:r>
          </w:p>
        </w:tc>
      </w:tr>
      <w:tr w14:paraId="572BCB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vMerge w:val="continue"/>
            <w:shd w:val="clear" w:color="auto" w:fill="auto"/>
            <w:vAlign w:val="center"/>
          </w:tcPr>
          <w:p w14:paraId="3D73D135">
            <w:pPr>
              <w:pStyle w:val="146"/>
              <w:rPr>
                <w:rFonts w:hint="default" w:ascii="Times New Roman" w:hAnsi="Times New Roman" w:eastAsia="宋体" w:cs="Times New Roman"/>
                <w:color w:val="auto"/>
                <w:highlight w:val="none"/>
              </w:rPr>
            </w:pPr>
          </w:p>
        </w:tc>
        <w:tc>
          <w:tcPr>
            <w:tcW w:w="597" w:type="pct"/>
            <w:vMerge w:val="continue"/>
            <w:shd w:val="clear" w:color="auto" w:fill="auto"/>
            <w:vAlign w:val="center"/>
          </w:tcPr>
          <w:p w14:paraId="7B607653">
            <w:pPr>
              <w:pStyle w:val="146"/>
              <w:rPr>
                <w:rFonts w:hint="default" w:ascii="Times New Roman" w:hAnsi="Times New Roman" w:eastAsia="宋体" w:cs="Times New Roman"/>
                <w:color w:val="auto"/>
                <w:highlight w:val="none"/>
              </w:rPr>
            </w:pPr>
          </w:p>
        </w:tc>
        <w:tc>
          <w:tcPr>
            <w:tcW w:w="771" w:type="pct"/>
            <w:shd w:val="clear" w:color="auto" w:fill="auto"/>
            <w:vAlign w:val="center"/>
          </w:tcPr>
          <w:p w14:paraId="007CBC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成品</w:t>
            </w:r>
            <w:r>
              <w:rPr>
                <w:rFonts w:hint="default" w:ascii="Times New Roman" w:hAnsi="Times New Roman" w:eastAsia="宋体" w:cs="Times New Roman"/>
                <w:color w:val="auto"/>
                <w:highlight w:val="none"/>
              </w:rPr>
              <w:t>饲料</w:t>
            </w:r>
          </w:p>
        </w:tc>
        <w:tc>
          <w:tcPr>
            <w:tcW w:w="672" w:type="pct"/>
            <w:shd w:val="clear" w:color="auto" w:fill="auto"/>
          </w:tcPr>
          <w:p w14:paraId="31AEE88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2FC82AD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000</w:t>
            </w:r>
            <w:r>
              <w:rPr>
                <w:rFonts w:hint="default" w:ascii="Times New Roman" w:hAnsi="Times New Roman" w:eastAsia="宋体" w:cs="Times New Roman"/>
                <w:color w:val="auto"/>
                <w:highlight w:val="none"/>
                <w:lang w:val="en-US" w:eastAsia="zh-CN"/>
              </w:rPr>
              <w:t>0</w:t>
            </w:r>
          </w:p>
        </w:tc>
        <w:tc>
          <w:tcPr>
            <w:tcW w:w="1763" w:type="pct"/>
            <w:shd w:val="clear" w:color="auto" w:fill="auto"/>
            <w:vAlign w:val="center"/>
          </w:tcPr>
          <w:p w14:paraId="3ED1E3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成品饲料，无需破碎</w:t>
            </w:r>
          </w:p>
        </w:tc>
      </w:tr>
      <w:tr w14:paraId="6F2FE1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vMerge w:val="continue"/>
            <w:shd w:val="clear" w:color="auto" w:fill="auto"/>
            <w:vAlign w:val="center"/>
          </w:tcPr>
          <w:p w14:paraId="35A58FAE">
            <w:pPr>
              <w:pStyle w:val="146"/>
              <w:rPr>
                <w:rFonts w:hint="default" w:ascii="Times New Roman" w:hAnsi="Times New Roman" w:eastAsia="宋体" w:cs="Times New Roman"/>
                <w:color w:val="auto"/>
                <w:highlight w:val="none"/>
              </w:rPr>
            </w:pPr>
          </w:p>
        </w:tc>
        <w:tc>
          <w:tcPr>
            <w:tcW w:w="597" w:type="pct"/>
            <w:vMerge w:val="continue"/>
            <w:shd w:val="clear" w:color="auto" w:fill="auto"/>
            <w:vAlign w:val="center"/>
          </w:tcPr>
          <w:p w14:paraId="35E23578">
            <w:pPr>
              <w:pStyle w:val="146"/>
              <w:rPr>
                <w:rFonts w:hint="default" w:ascii="Times New Roman" w:hAnsi="Times New Roman" w:eastAsia="宋体" w:cs="Times New Roman"/>
                <w:color w:val="auto"/>
                <w:highlight w:val="none"/>
              </w:rPr>
            </w:pPr>
          </w:p>
        </w:tc>
        <w:tc>
          <w:tcPr>
            <w:tcW w:w="771" w:type="pct"/>
            <w:shd w:val="clear" w:color="auto" w:fill="auto"/>
            <w:vAlign w:val="center"/>
          </w:tcPr>
          <w:p w14:paraId="716A261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青饲料</w:t>
            </w:r>
          </w:p>
        </w:tc>
        <w:tc>
          <w:tcPr>
            <w:tcW w:w="672" w:type="pct"/>
            <w:shd w:val="clear" w:color="auto" w:fill="auto"/>
          </w:tcPr>
          <w:p w14:paraId="06BD663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3DBE0F8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w:t>
            </w:r>
          </w:p>
        </w:tc>
        <w:tc>
          <w:tcPr>
            <w:tcW w:w="1763" w:type="pct"/>
            <w:shd w:val="clear" w:color="auto" w:fill="auto"/>
            <w:vAlign w:val="center"/>
          </w:tcPr>
          <w:p w14:paraId="7A25A50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外购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贮存于青贮窖</w:t>
            </w:r>
          </w:p>
        </w:tc>
      </w:tr>
      <w:tr w14:paraId="7B07FB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3327E523">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w:t>
            </w:r>
          </w:p>
        </w:tc>
        <w:tc>
          <w:tcPr>
            <w:tcW w:w="1368" w:type="pct"/>
            <w:gridSpan w:val="2"/>
            <w:shd w:val="clear" w:color="auto" w:fill="auto"/>
            <w:vAlign w:val="center"/>
          </w:tcPr>
          <w:p w14:paraId="4595206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消毒剂</w:t>
            </w:r>
          </w:p>
        </w:tc>
        <w:tc>
          <w:tcPr>
            <w:tcW w:w="672" w:type="pct"/>
            <w:shd w:val="clear" w:color="auto" w:fill="auto"/>
            <w:vAlign w:val="center"/>
          </w:tcPr>
          <w:p w14:paraId="0D99E8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5DF39B37">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.0</w:t>
            </w:r>
          </w:p>
        </w:tc>
        <w:tc>
          <w:tcPr>
            <w:tcW w:w="1763" w:type="pct"/>
            <w:shd w:val="clear" w:color="auto" w:fill="auto"/>
            <w:vAlign w:val="center"/>
          </w:tcPr>
          <w:p w14:paraId="40F55B5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外购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主要成分为次氯酸钠</w:t>
            </w:r>
          </w:p>
        </w:tc>
      </w:tr>
      <w:tr w14:paraId="0B00F0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506EAB14">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3</w:t>
            </w:r>
          </w:p>
        </w:tc>
        <w:tc>
          <w:tcPr>
            <w:tcW w:w="1368" w:type="pct"/>
            <w:gridSpan w:val="2"/>
            <w:shd w:val="clear" w:color="auto" w:fill="auto"/>
            <w:vAlign w:val="center"/>
          </w:tcPr>
          <w:p w14:paraId="6E13A9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除臭剂</w:t>
            </w:r>
          </w:p>
        </w:tc>
        <w:tc>
          <w:tcPr>
            <w:tcW w:w="672" w:type="pct"/>
            <w:shd w:val="clear" w:color="auto" w:fill="auto"/>
            <w:vAlign w:val="center"/>
          </w:tcPr>
          <w:p w14:paraId="3D0592B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388A8A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.0</w:t>
            </w:r>
          </w:p>
        </w:tc>
        <w:tc>
          <w:tcPr>
            <w:tcW w:w="1763" w:type="pct"/>
            <w:shd w:val="clear" w:color="auto" w:fill="auto"/>
            <w:vAlign w:val="center"/>
          </w:tcPr>
          <w:p w14:paraId="360F1CA9">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外购，植物除臭剂用于牛舍、堆粪</w:t>
            </w:r>
            <w:r>
              <w:rPr>
                <w:rFonts w:hint="default" w:ascii="Times New Roman" w:hAnsi="Times New Roman" w:eastAsia="宋体" w:cs="Times New Roman"/>
                <w:color w:val="auto"/>
                <w:highlight w:val="none"/>
                <w:lang w:val="en-US" w:eastAsia="zh-CN"/>
              </w:rPr>
              <w:t>间</w:t>
            </w:r>
            <w:r>
              <w:rPr>
                <w:rFonts w:hint="default" w:ascii="Times New Roman" w:hAnsi="Times New Roman" w:eastAsia="宋体" w:cs="Times New Roman"/>
                <w:color w:val="auto"/>
                <w:highlight w:val="none"/>
                <w:lang w:eastAsia="zh-CN"/>
              </w:rPr>
              <w:t>等喷淋除臭。</w:t>
            </w:r>
          </w:p>
        </w:tc>
      </w:tr>
      <w:tr w14:paraId="29D431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2F12DEF1">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4</w:t>
            </w:r>
          </w:p>
        </w:tc>
        <w:tc>
          <w:tcPr>
            <w:tcW w:w="1368" w:type="pct"/>
            <w:gridSpan w:val="2"/>
            <w:shd w:val="clear" w:color="auto" w:fill="auto"/>
            <w:vAlign w:val="center"/>
          </w:tcPr>
          <w:p w14:paraId="1F6D194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疫苗</w:t>
            </w:r>
          </w:p>
        </w:tc>
        <w:tc>
          <w:tcPr>
            <w:tcW w:w="672" w:type="pct"/>
            <w:shd w:val="clear" w:color="auto" w:fill="auto"/>
            <w:vAlign w:val="center"/>
          </w:tcPr>
          <w:p w14:paraId="6F275C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万</w:t>
            </w:r>
            <w:r>
              <w:rPr>
                <w:rFonts w:hint="default" w:ascii="Times New Roman" w:hAnsi="Times New Roman" w:eastAsia="宋体" w:cs="Times New Roman"/>
                <w:color w:val="auto"/>
                <w:highlight w:val="none"/>
              </w:rPr>
              <w:t>只/年</w:t>
            </w:r>
          </w:p>
        </w:tc>
        <w:tc>
          <w:tcPr>
            <w:tcW w:w="685" w:type="pct"/>
            <w:shd w:val="clear" w:color="auto" w:fill="auto"/>
            <w:vAlign w:val="center"/>
          </w:tcPr>
          <w:p w14:paraId="762F0DF4">
            <w:pPr>
              <w:pStyle w:val="146"/>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20</w:t>
            </w:r>
          </w:p>
        </w:tc>
        <w:tc>
          <w:tcPr>
            <w:tcW w:w="1763" w:type="pct"/>
            <w:shd w:val="clear" w:color="auto" w:fill="auto"/>
            <w:vAlign w:val="center"/>
          </w:tcPr>
          <w:p w14:paraId="2AE70ED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外购</w:t>
            </w:r>
          </w:p>
        </w:tc>
      </w:tr>
      <w:tr w14:paraId="28BA35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1E3A11DF">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5</w:t>
            </w:r>
          </w:p>
        </w:tc>
        <w:tc>
          <w:tcPr>
            <w:tcW w:w="1368" w:type="pct"/>
            <w:gridSpan w:val="2"/>
            <w:shd w:val="clear" w:color="auto" w:fill="auto"/>
            <w:vAlign w:val="center"/>
          </w:tcPr>
          <w:p w14:paraId="03D7DE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兽药</w:t>
            </w:r>
          </w:p>
        </w:tc>
        <w:tc>
          <w:tcPr>
            <w:tcW w:w="672" w:type="pct"/>
            <w:shd w:val="clear" w:color="auto" w:fill="auto"/>
            <w:vAlign w:val="center"/>
          </w:tcPr>
          <w:p w14:paraId="1263FCD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kg/a</w:t>
            </w:r>
          </w:p>
        </w:tc>
        <w:tc>
          <w:tcPr>
            <w:tcW w:w="685" w:type="pct"/>
            <w:shd w:val="clear" w:color="auto" w:fill="auto"/>
            <w:vAlign w:val="center"/>
          </w:tcPr>
          <w:p w14:paraId="69CE7CB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15</w:t>
            </w:r>
          </w:p>
        </w:tc>
        <w:tc>
          <w:tcPr>
            <w:tcW w:w="1763" w:type="pct"/>
            <w:shd w:val="clear" w:color="auto" w:fill="auto"/>
            <w:vAlign w:val="center"/>
          </w:tcPr>
          <w:p w14:paraId="08D7D8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氨苯尼考、强力等，外购</w:t>
            </w:r>
          </w:p>
        </w:tc>
      </w:tr>
      <w:tr w14:paraId="6F8CFF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127DA6A4">
            <w:pPr>
              <w:pStyle w:val="146"/>
              <w:rPr>
                <w:rFonts w:hint="default" w:ascii="Times New Roman" w:hAnsi="Times New Roman" w:eastAsia="宋体" w:cs="Times New Roman"/>
                <w:color w:val="auto"/>
                <w:highlight w:val="none"/>
                <w:lang w:val="en-US" w:eastAsia="zh-CN"/>
              </w:rPr>
            </w:pPr>
            <w:bookmarkStart w:id="183" w:name="_Toc57713635"/>
            <w:r>
              <w:rPr>
                <w:rFonts w:hint="eastAsia" w:eastAsia="宋体" w:cs="Times New Roman"/>
                <w:color w:val="auto"/>
                <w:highlight w:val="none"/>
                <w:lang w:val="en-US" w:eastAsia="zh-CN"/>
              </w:rPr>
              <w:t>6</w:t>
            </w:r>
          </w:p>
        </w:tc>
        <w:tc>
          <w:tcPr>
            <w:tcW w:w="1368" w:type="pct"/>
            <w:gridSpan w:val="2"/>
            <w:shd w:val="clear" w:color="auto" w:fill="auto"/>
            <w:vAlign w:val="center"/>
          </w:tcPr>
          <w:p w14:paraId="0CE95C5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发酵床菌剂</w:t>
            </w:r>
          </w:p>
        </w:tc>
        <w:tc>
          <w:tcPr>
            <w:tcW w:w="672" w:type="pct"/>
            <w:shd w:val="clear" w:color="auto" w:fill="auto"/>
            <w:vAlign w:val="center"/>
          </w:tcPr>
          <w:p w14:paraId="7610D5A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64429923">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1.8</w:t>
            </w:r>
          </w:p>
        </w:tc>
        <w:tc>
          <w:tcPr>
            <w:tcW w:w="1763" w:type="pct"/>
            <w:shd w:val="clear" w:color="auto" w:fill="auto"/>
            <w:vAlign w:val="center"/>
          </w:tcPr>
          <w:p w14:paraId="6BEF107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外购，配合垫料使用</w:t>
            </w:r>
          </w:p>
        </w:tc>
      </w:tr>
      <w:tr w14:paraId="602A68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04ACEE1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w:t>
            </w:r>
          </w:p>
        </w:tc>
        <w:tc>
          <w:tcPr>
            <w:tcW w:w="1368" w:type="pct"/>
            <w:gridSpan w:val="2"/>
            <w:shd w:val="clear" w:color="auto" w:fill="auto"/>
            <w:vAlign w:val="center"/>
          </w:tcPr>
          <w:p w14:paraId="7AF9B92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垫料</w:t>
            </w:r>
          </w:p>
        </w:tc>
        <w:tc>
          <w:tcPr>
            <w:tcW w:w="672" w:type="pct"/>
            <w:shd w:val="clear" w:color="auto" w:fill="auto"/>
            <w:vAlign w:val="center"/>
          </w:tcPr>
          <w:p w14:paraId="22B968F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312C174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2191</w:t>
            </w:r>
          </w:p>
        </w:tc>
        <w:tc>
          <w:tcPr>
            <w:tcW w:w="1763" w:type="pct"/>
            <w:shd w:val="clear" w:color="auto" w:fill="auto"/>
            <w:vAlign w:val="center"/>
          </w:tcPr>
          <w:p w14:paraId="1E80D80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外购，用于牛舍垫料</w:t>
            </w:r>
          </w:p>
        </w:tc>
      </w:tr>
      <w:tr w14:paraId="393E90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0" w:type="pct"/>
            <w:shd w:val="clear" w:color="auto" w:fill="auto"/>
            <w:vAlign w:val="center"/>
          </w:tcPr>
          <w:p w14:paraId="6BCA4C7B">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w:t>
            </w:r>
          </w:p>
        </w:tc>
        <w:tc>
          <w:tcPr>
            <w:tcW w:w="1368" w:type="pct"/>
            <w:gridSpan w:val="2"/>
            <w:shd w:val="clear" w:color="auto" w:fill="auto"/>
            <w:vAlign w:val="center"/>
          </w:tcPr>
          <w:p w14:paraId="740236E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用水量</w:t>
            </w:r>
          </w:p>
        </w:tc>
        <w:tc>
          <w:tcPr>
            <w:tcW w:w="672" w:type="pct"/>
            <w:shd w:val="clear" w:color="auto" w:fill="auto"/>
            <w:vAlign w:val="center"/>
          </w:tcPr>
          <w:p w14:paraId="6E74E94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吨/年</w:t>
            </w:r>
          </w:p>
        </w:tc>
        <w:tc>
          <w:tcPr>
            <w:tcW w:w="685" w:type="pct"/>
            <w:shd w:val="clear" w:color="auto" w:fill="auto"/>
            <w:vAlign w:val="center"/>
          </w:tcPr>
          <w:p w14:paraId="7C1373AD">
            <w:pPr>
              <w:pStyle w:val="146"/>
              <w:rPr>
                <w:rFonts w:hint="eastAsia" w:eastAsia="宋体" w:cs="Times New Roman"/>
                <w:color w:val="auto"/>
                <w:highlight w:val="none"/>
                <w:lang w:val="en-US" w:eastAsia="zh-CN"/>
              </w:rPr>
            </w:pPr>
            <w:r>
              <w:rPr>
                <w:rFonts w:hint="eastAsia" w:eastAsia="宋体" w:cs="Times New Roman"/>
                <w:color w:val="auto"/>
                <w:highlight w:val="none"/>
                <w:lang w:val="en-US" w:eastAsia="zh-CN"/>
              </w:rPr>
              <w:t>108656</w:t>
            </w:r>
          </w:p>
        </w:tc>
        <w:tc>
          <w:tcPr>
            <w:tcW w:w="1763" w:type="pct"/>
            <w:shd w:val="clear" w:color="auto" w:fill="auto"/>
            <w:vAlign w:val="center"/>
          </w:tcPr>
          <w:p w14:paraId="3249B69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本项目运行期用水</w:t>
            </w:r>
          </w:p>
        </w:tc>
      </w:tr>
    </w:tbl>
    <w:p w14:paraId="6EEBC4E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次氯酸钠理化性质：是一种无机化合物，化学式为NaClO，微黄色(溶液)或白色粉末(固体)，有似氯气的气味。熔点-6℃，沸点102.2℃，密度1.25g/cm³。</w:t>
      </w:r>
    </w:p>
    <w:p w14:paraId="2C457847">
      <w:pPr>
        <w:pStyle w:val="67"/>
        <w:ind w:firstLine="48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植物除臭剂：</w:t>
      </w:r>
      <w:r>
        <w:rPr>
          <w:rFonts w:hint="default" w:ascii="Times New Roman" w:hAnsi="Times New Roman" w:eastAsia="宋体" w:cs="Times New Roman"/>
          <w:color w:val="auto"/>
          <w:szCs w:val="21"/>
          <w:highlight w:val="none"/>
        </w:rPr>
        <w:t>植物型除臭剂是指以天然植物萃取液或者天然植物提取物为主要原料加工而成的</w:t>
      </w:r>
      <w:r>
        <w:rPr>
          <w:rFonts w:hint="eastAsia" w:ascii="Times New Roman" w:hAnsi="Times New Roman" w:eastAsia="宋体" w:cs="Times New Roman"/>
          <w:color w:val="auto"/>
          <w:szCs w:val="21"/>
          <w:highlight w:val="none"/>
          <w:lang w:eastAsia="zh-CN"/>
        </w:rPr>
        <w:t>一种</w:t>
      </w:r>
      <w:r>
        <w:rPr>
          <w:rFonts w:hint="default" w:ascii="Times New Roman" w:hAnsi="Times New Roman" w:eastAsia="宋体" w:cs="Times New Roman"/>
          <w:color w:val="auto"/>
          <w:szCs w:val="21"/>
          <w:highlight w:val="none"/>
        </w:rPr>
        <w:t>除臭剂，它可以用于公共厕所与卫生间的除臭、垃圾处理过程（包括垃圾填埋场、垃圾堆肥场、垃圾转运站）除臭、污水处理除臭，也可以用于人体或宠物的除臭</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无毒无腐蚀性</w:t>
      </w:r>
      <w:r>
        <w:rPr>
          <w:rFonts w:hint="default" w:ascii="Times New Roman" w:hAnsi="Times New Roman" w:eastAsia="宋体" w:cs="Times New Roman"/>
          <w:color w:val="auto"/>
          <w:szCs w:val="21"/>
          <w:highlight w:val="none"/>
          <w:lang w:eastAsia="zh-CN"/>
        </w:rPr>
        <w:t>。</w:t>
      </w:r>
    </w:p>
    <w:p w14:paraId="3311C062">
      <w:pPr>
        <w:pStyle w:val="5"/>
        <w:spacing w:line="500" w:lineRule="exact"/>
        <w:rPr>
          <w:rFonts w:hint="default" w:ascii="Times New Roman" w:hAnsi="Times New Roman" w:cs="Times New Roman"/>
          <w:color w:val="auto"/>
          <w:highlight w:val="none"/>
        </w:rPr>
      </w:pPr>
      <w:bookmarkStart w:id="184" w:name="_Toc12955"/>
      <w:r>
        <w:rPr>
          <w:rFonts w:hint="default" w:ascii="Times New Roman" w:hAnsi="Times New Roman" w:cs="Times New Roman"/>
          <w:color w:val="auto"/>
          <w:highlight w:val="none"/>
        </w:rPr>
        <w:t>3.1.4产品方案</w:t>
      </w:r>
      <w:bookmarkEnd w:id="184"/>
    </w:p>
    <w:p w14:paraId="03E583DB">
      <w:pPr>
        <w:pStyle w:val="67"/>
        <w:ind w:firstLine="46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本项目拟新建一个年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栏量</w:t>
      </w:r>
      <w:r>
        <w:rPr>
          <w:rFonts w:hint="eastAsia"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肉头牛养殖场。本项目主要产品方案一览表详见下表。</w:t>
      </w:r>
    </w:p>
    <w:p w14:paraId="7279D611">
      <w:pPr>
        <w:pStyle w:val="210"/>
        <w:spacing w:line="400" w:lineRule="exact"/>
        <w:rPr>
          <w:rFonts w:hint="default" w:ascii="Times New Roman" w:hAnsi="Times New Roman" w:cs="Times New Roman"/>
          <w:color w:val="auto"/>
          <w:highlight w:val="none"/>
        </w:rPr>
      </w:pPr>
      <w:r>
        <w:rPr>
          <w:rFonts w:hint="default" w:ascii="Times New Roman" w:hAnsi="Times New Roman" w:cs="Times New Roman"/>
          <w:color w:val="auto"/>
          <w:highlight w:val="none"/>
        </w:rPr>
        <w:t>表3-1-3产品方案</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50"/>
        <w:gridCol w:w="1842"/>
        <w:gridCol w:w="1134"/>
        <w:gridCol w:w="2128"/>
        <w:gridCol w:w="2352"/>
      </w:tblGrid>
      <w:tr w14:paraId="6EDDD4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2" w:type="pct"/>
            <w:shd w:val="clear" w:color="auto" w:fill="auto"/>
            <w:vAlign w:val="center"/>
          </w:tcPr>
          <w:p w14:paraId="549D844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108" w:type="pct"/>
            <w:shd w:val="clear" w:color="auto" w:fill="auto"/>
            <w:vAlign w:val="center"/>
          </w:tcPr>
          <w:p w14:paraId="30AD2AF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产品名称</w:t>
            </w:r>
          </w:p>
        </w:tc>
        <w:tc>
          <w:tcPr>
            <w:tcW w:w="682" w:type="pct"/>
            <w:shd w:val="clear" w:color="auto" w:fill="auto"/>
            <w:vAlign w:val="center"/>
          </w:tcPr>
          <w:p w14:paraId="4BEE871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1280" w:type="pct"/>
            <w:shd w:val="clear" w:color="auto" w:fill="auto"/>
            <w:vAlign w:val="center"/>
          </w:tcPr>
          <w:p w14:paraId="008702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w:t>
            </w:r>
          </w:p>
        </w:tc>
        <w:tc>
          <w:tcPr>
            <w:tcW w:w="1415" w:type="pct"/>
            <w:shd w:val="clear" w:color="auto" w:fill="auto"/>
            <w:vAlign w:val="center"/>
          </w:tcPr>
          <w:p w14:paraId="67627D4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1943FB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12" w:type="pct"/>
            <w:shd w:val="clear" w:color="auto" w:fill="auto"/>
            <w:vAlign w:val="center"/>
          </w:tcPr>
          <w:p w14:paraId="3C5B2A0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108" w:type="pct"/>
            <w:shd w:val="clear" w:color="auto" w:fill="auto"/>
            <w:vAlign w:val="center"/>
          </w:tcPr>
          <w:p w14:paraId="6D48A76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肉牛</w:t>
            </w:r>
          </w:p>
        </w:tc>
        <w:tc>
          <w:tcPr>
            <w:tcW w:w="682" w:type="pct"/>
            <w:shd w:val="clear" w:color="auto" w:fill="auto"/>
            <w:vAlign w:val="center"/>
          </w:tcPr>
          <w:p w14:paraId="48A650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头/年</w:t>
            </w:r>
          </w:p>
        </w:tc>
        <w:tc>
          <w:tcPr>
            <w:tcW w:w="1280" w:type="pct"/>
            <w:shd w:val="clear" w:color="auto" w:fill="auto"/>
            <w:vAlign w:val="center"/>
          </w:tcPr>
          <w:p w14:paraId="6438670B">
            <w:pPr>
              <w:pStyle w:val="146"/>
              <w:rPr>
                <w:rFonts w:hint="default" w:ascii="Times New Roman" w:hAnsi="Times New Roman" w:eastAsia="宋体" w:cs="Times New Roman"/>
                <w:color w:val="auto"/>
                <w:kern w:val="0"/>
                <w:highlight w:val="none"/>
                <w:lang w:val="en-US" w:eastAsia="zh-CN"/>
              </w:rPr>
            </w:pPr>
            <w:r>
              <w:rPr>
                <w:rFonts w:hint="eastAsia" w:eastAsia="宋体"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000</w:t>
            </w:r>
          </w:p>
        </w:tc>
        <w:tc>
          <w:tcPr>
            <w:tcW w:w="1415" w:type="pct"/>
            <w:shd w:val="clear" w:color="auto" w:fill="auto"/>
            <w:vAlign w:val="center"/>
          </w:tcPr>
          <w:p w14:paraId="440981A1">
            <w:pPr>
              <w:pStyle w:val="146"/>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highlight w:val="none"/>
                <w:lang w:val="en-US" w:eastAsia="zh-CN"/>
              </w:rPr>
              <w:t>出栏</w:t>
            </w:r>
          </w:p>
        </w:tc>
      </w:tr>
    </w:tbl>
    <w:p w14:paraId="0FD8E092">
      <w:pPr>
        <w:pStyle w:val="5"/>
        <w:spacing w:line="500" w:lineRule="exact"/>
        <w:rPr>
          <w:rFonts w:hint="default" w:ascii="Times New Roman" w:hAnsi="Times New Roman" w:cs="Times New Roman"/>
          <w:color w:val="auto"/>
          <w:highlight w:val="none"/>
        </w:rPr>
      </w:pPr>
      <w:bookmarkStart w:id="185" w:name="_Toc7083"/>
      <w:r>
        <w:rPr>
          <w:rFonts w:hint="default" w:ascii="Times New Roman" w:hAnsi="Times New Roman" w:cs="Times New Roman"/>
          <w:color w:val="auto"/>
          <w:highlight w:val="none"/>
        </w:rPr>
        <w:t>3.1.5生产设备</w:t>
      </w:r>
      <w:bookmarkEnd w:id="183"/>
      <w:bookmarkEnd w:id="185"/>
    </w:p>
    <w:p w14:paraId="4E34B01E">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主要设备清单详见下表。</w:t>
      </w:r>
    </w:p>
    <w:p w14:paraId="6675A9E9">
      <w:pPr>
        <w:pStyle w:val="210"/>
        <w:rPr>
          <w:rFonts w:hint="default" w:ascii="Times New Roman" w:hAnsi="Times New Roman" w:cs="Times New Roman"/>
          <w:color w:val="auto"/>
          <w:highlight w:val="none"/>
        </w:rPr>
      </w:pPr>
    </w:p>
    <w:p w14:paraId="55BDAE3A">
      <w:pPr>
        <w:pStyle w:val="210"/>
        <w:rPr>
          <w:rFonts w:hint="default" w:ascii="Times New Roman" w:hAnsi="Times New Roman" w:eastAsia="黑体" w:cs="Times New Roman"/>
          <w:color w:val="auto"/>
          <w:highlight w:val="none"/>
          <w:lang w:eastAsia="zh-CN"/>
        </w:rPr>
      </w:pPr>
      <w:r>
        <w:rPr>
          <w:rFonts w:hint="default" w:ascii="Times New Roman" w:hAnsi="Times New Roman" w:cs="Times New Roman"/>
          <w:color w:val="auto"/>
          <w:highlight w:val="none"/>
        </w:rPr>
        <w:t>表3-1-4主要设备清单</w:t>
      </w:r>
      <w:bookmarkStart w:id="186" w:name="_Toc271096805"/>
    </w:p>
    <w:tbl>
      <w:tblPr>
        <w:tblStyle w:val="486"/>
        <w:tblW w:w="4995"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967"/>
        <w:gridCol w:w="1695"/>
        <w:gridCol w:w="1896"/>
        <w:gridCol w:w="974"/>
        <w:gridCol w:w="1657"/>
        <w:gridCol w:w="1109"/>
      </w:tblGrid>
      <w:tr w14:paraId="1D4EB35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497BEE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021" w:type="pct"/>
            <w:tcBorders>
              <w:tl2br w:val="nil"/>
              <w:tr2bl w:val="nil"/>
            </w:tcBorders>
            <w:vAlign w:val="center"/>
          </w:tcPr>
          <w:p w14:paraId="46CA3E3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设备名称</w:t>
            </w:r>
          </w:p>
        </w:tc>
        <w:tc>
          <w:tcPr>
            <w:tcW w:w="1142" w:type="pct"/>
            <w:tcBorders>
              <w:tl2br w:val="nil"/>
              <w:tr2bl w:val="nil"/>
            </w:tcBorders>
            <w:vAlign w:val="center"/>
          </w:tcPr>
          <w:p w14:paraId="177264D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规格型号</w:t>
            </w:r>
          </w:p>
        </w:tc>
        <w:tc>
          <w:tcPr>
            <w:tcW w:w="587" w:type="pct"/>
            <w:tcBorders>
              <w:tl2br w:val="nil"/>
              <w:tr2bl w:val="nil"/>
            </w:tcBorders>
            <w:vAlign w:val="center"/>
          </w:tcPr>
          <w:p w14:paraId="686BFEF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998" w:type="pct"/>
            <w:tcBorders>
              <w:tl2br w:val="nil"/>
              <w:tr2bl w:val="nil"/>
            </w:tcBorders>
            <w:vAlign w:val="center"/>
          </w:tcPr>
          <w:p w14:paraId="6798793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w:t>
            </w:r>
          </w:p>
        </w:tc>
        <w:tc>
          <w:tcPr>
            <w:tcW w:w="666" w:type="pct"/>
            <w:tcBorders>
              <w:tl2br w:val="nil"/>
              <w:tr2bl w:val="nil"/>
            </w:tcBorders>
            <w:vAlign w:val="center"/>
          </w:tcPr>
          <w:p w14:paraId="6159CAA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2FCF89D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3CF2ED3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4416" w:type="pct"/>
            <w:gridSpan w:val="5"/>
            <w:tcBorders>
              <w:tl2br w:val="nil"/>
              <w:tr2bl w:val="nil"/>
            </w:tcBorders>
            <w:vAlign w:val="center"/>
          </w:tcPr>
          <w:p w14:paraId="700AB10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饲养设备</w:t>
            </w:r>
          </w:p>
        </w:tc>
      </w:tr>
      <w:tr w14:paraId="73A5DB9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3889DD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21" w:type="pct"/>
            <w:tcBorders>
              <w:tl2br w:val="nil"/>
              <w:tr2bl w:val="nil"/>
            </w:tcBorders>
            <w:vAlign w:val="center"/>
          </w:tcPr>
          <w:p w14:paraId="13EF8C1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牛颈杠</w:t>
            </w:r>
          </w:p>
        </w:tc>
        <w:tc>
          <w:tcPr>
            <w:tcW w:w="1142" w:type="pct"/>
            <w:tcBorders>
              <w:tl2br w:val="nil"/>
              <w:tr2bl w:val="nil"/>
            </w:tcBorders>
            <w:vAlign w:val="center"/>
          </w:tcPr>
          <w:p w14:paraId="0495F2B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育肥牛</w:t>
            </w:r>
          </w:p>
        </w:tc>
        <w:tc>
          <w:tcPr>
            <w:tcW w:w="587" w:type="pct"/>
            <w:tcBorders>
              <w:tl2br w:val="nil"/>
              <w:tr2bl w:val="nil"/>
            </w:tcBorders>
            <w:vAlign w:val="center"/>
          </w:tcPr>
          <w:p w14:paraId="5305FE7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661D8E6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66" w:type="pct"/>
            <w:tcBorders>
              <w:tl2br w:val="nil"/>
              <w:tr2bl w:val="nil"/>
            </w:tcBorders>
            <w:vAlign w:val="center"/>
          </w:tcPr>
          <w:p w14:paraId="772D700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整体热镀锌</w:t>
            </w:r>
          </w:p>
        </w:tc>
      </w:tr>
      <w:tr w14:paraId="687863E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A0411E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021" w:type="pct"/>
            <w:tcBorders>
              <w:tl2br w:val="nil"/>
              <w:tr2bl w:val="nil"/>
            </w:tcBorders>
            <w:vAlign w:val="center"/>
          </w:tcPr>
          <w:p w14:paraId="224F746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饮水器</w:t>
            </w:r>
          </w:p>
        </w:tc>
        <w:tc>
          <w:tcPr>
            <w:tcW w:w="1142" w:type="pct"/>
            <w:tcBorders>
              <w:tl2br w:val="nil"/>
              <w:tr2bl w:val="nil"/>
            </w:tcBorders>
            <w:vAlign w:val="center"/>
          </w:tcPr>
          <w:p w14:paraId="0EB1B2C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电加热</w:t>
            </w:r>
          </w:p>
        </w:tc>
        <w:tc>
          <w:tcPr>
            <w:tcW w:w="587" w:type="pct"/>
            <w:tcBorders>
              <w:tl2br w:val="nil"/>
              <w:tr2bl w:val="nil"/>
            </w:tcBorders>
            <w:vAlign w:val="center"/>
          </w:tcPr>
          <w:p w14:paraId="5017BE8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3B4B00C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56</w:t>
            </w:r>
          </w:p>
        </w:tc>
        <w:tc>
          <w:tcPr>
            <w:tcW w:w="666" w:type="pct"/>
            <w:tcBorders>
              <w:tl2br w:val="nil"/>
              <w:tr2bl w:val="nil"/>
            </w:tcBorders>
            <w:vAlign w:val="center"/>
          </w:tcPr>
          <w:p w14:paraId="5F7A4EF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不锈钢</w:t>
            </w:r>
          </w:p>
        </w:tc>
      </w:tr>
      <w:tr w14:paraId="2681CA7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10F9D6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021" w:type="pct"/>
            <w:tcBorders>
              <w:tl2br w:val="nil"/>
              <w:tr2bl w:val="nil"/>
            </w:tcBorders>
            <w:vAlign w:val="center"/>
          </w:tcPr>
          <w:p w14:paraId="38BE591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舍内隔栏</w:t>
            </w:r>
          </w:p>
        </w:tc>
        <w:tc>
          <w:tcPr>
            <w:tcW w:w="1142" w:type="pct"/>
            <w:tcBorders>
              <w:tl2br w:val="nil"/>
              <w:tr2bl w:val="nil"/>
            </w:tcBorders>
            <w:vAlign w:val="center"/>
          </w:tcPr>
          <w:p w14:paraId="24339E1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5580E67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37B0664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66" w:type="pct"/>
            <w:tcBorders>
              <w:tl2br w:val="nil"/>
              <w:tr2bl w:val="nil"/>
            </w:tcBorders>
            <w:vAlign w:val="center"/>
          </w:tcPr>
          <w:p w14:paraId="64A9A81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热镀锌</w:t>
            </w:r>
          </w:p>
        </w:tc>
      </w:tr>
      <w:tr w14:paraId="276D74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9326EE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021" w:type="pct"/>
            <w:tcBorders>
              <w:tl2br w:val="nil"/>
              <w:tr2bl w:val="nil"/>
            </w:tcBorders>
            <w:vAlign w:val="center"/>
          </w:tcPr>
          <w:p w14:paraId="7D20B2D4">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隔栏门</w:t>
            </w:r>
          </w:p>
        </w:tc>
        <w:tc>
          <w:tcPr>
            <w:tcW w:w="1142" w:type="pct"/>
            <w:tcBorders>
              <w:tl2br w:val="nil"/>
              <w:tr2bl w:val="nil"/>
            </w:tcBorders>
            <w:vAlign w:val="center"/>
          </w:tcPr>
          <w:p w14:paraId="2A8CF3E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34D096A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2AC04F0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66" w:type="pct"/>
            <w:tcBorders>
              <w:tl2br w:val="nil"/>
              <w:tr2bl w:val="nil"/>
            </w:tcBorders>
            <w:vAlign w:val="center"/>
          </w:tcPr>
          <w:p w14:paraId="6EBBA574">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热镀锌</w:t>
            </w:r>
          </w:p>
        </w:tc>
      </w:tr>
      <w:tr w14:paraId="32CE4FC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270ED35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021" w:type="pct"/>
            <w:tcBorders>
              <w:tl2br w:val="nil"/>
              <w:tr2bl w:val="nil"/>
            </w:tcBorders>
            <w:vAlign w:val="center"/>
          </w:tcPr>
          <w:p w14:paraId="449C771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卧床栏杆</w:t>
            </w:r>
          </w:p>
        </w:tc>
        <w:tc>
          <w:tcPr>
            <w:tcW w:w="1142" w:type="pct"/>
            <w:tcBorders>
              <w:tl2br w:val="nil"/>
              <w:tr2bl w:val="nil"/>
            </w:tcBorders>
            <w:vAlign w:val="center"/>
          </w:tcPr>
          <w:p w14:paraId="5339E86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54F4E2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5E97297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66" w:type="pct"/>
            <w:tcBorders>
              <w:tl2br w:val="nil"/>
              <w:tr2bl w:val="nil"/>
            </w:tcBorders>
            <w:vAlign w:val="center"/>
          </w:tcPr>
          <w:p w14:paraId="59F3EEC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1D5A10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27E747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021" w:type="pct"/>
            <w:tcBorders>
              <w:tl2br w:val="nil"/>
              <w:tr2bl w:val="nil"/>
            </w:tcBorders>
            <w:vAlign w:val="center"/>
          </w:tcPr>
          <w:p w14:paraId="72DDC59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卷帘</w:t>
            </w:r>
          </w:p>
        </w:tc>
        <w:tc>
          <w:tcPr>
            <w:tcW w:w="1142" w:type="pct"/>
            <w:tcBorders>
              <w:tl2br w:val="nil"/>
              <w:tr2bl w:val="nil"/>
            </w:tcBorders>
            <w:vAlign w:val="center"/>
          </w:tcPr>
          <w:p w14:paraId="3C9AD1C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FD8FAE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477E403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66" w:type="pct"/>
            <w:tcBorders>
              <w:tl2br w:val="nil"/>
              <w:tr2bl w:val="nil"/>
            </w:tcBorders>
            <w:vAlign w:val="center"/>
          </w:tcPr>
          <w:p w14:paraId="538A403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9770BE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4D27C9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4416" w:type="pct"/>
            <w:gridSpan w:val="5"/>
            <w:tcBorders>
              <w:tl2br w:val="nil"/>
              <w:tr2bl w:val="nil"/>
            </w:tcBorders>
            <w:vAlign w:val="center"/>
          </w:tcPr>
          <w:p w14:paraId="1C0A86E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饲料加工及喂饲设备</w:t>
            </w:r>
          </w:p>
        </w:tc>
      </w:tr>
      <w:tr w14:paraId="332B24D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C87F60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21" w:type="pct"/>
            <w:tcBorders>
              <w:tl2br w:val="nil"/>
              <w:tr2bl w:val="nil"/>
            </w:tcBorders>
            <w:vAlign w:val="center"/>
          </w:tcPr>
          <w:p w14:paraId="7989A5F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TMR 搅拌车</w:t>
            </w:r>
          </w:p>
        </w:tc>
        <w:tc>
          <w:tcPr>
            <w:tcW w:w="1142" w:type="pct"/>
            <w:tcBorders>
              <w:tl2br w:val="nil"/>
              <w:tr2bl w:val="nil"/>
            </w:tcBorders>
            <w:vAlign w:val="center"/>
          </w:tcPr>
          <w:p w14:paraId="2A5779D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33立方固定</w:t>
            </w:r>
          </w:p>
        </w:tc>
        <w:tc>
          <w:tcPr>
            <w:tcW w:w="587" w:type="pct"/>
            <w:tcBorders>
              <w:tl2br w:val="nil"/>
              <w:tr2bl w:val="nil"/>
            </w:tcBorders>
            <w:vAlign w:val="center"/>
          </w:tcPr>
          <w:p w14:paraId="254A86E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bottom w:val="single" w:color="auto" w:sz="4" w:space="0"/>
              <w:tl2br w:val="nil"/>
              <w:tr2bl w:val="nil"/>
            </w:tcBorders>
            <w:vAlign w:val="center"/>
          </w:tcPr>
          <w:p w14:paraId="65E9991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666" w:type="pct"/>
            <w:tcBorders>
              <w:bottom w:val="single" w:color="auto" w:sz="4" w:space="0"/>
              <w:tl2br w:val="nil"/>
              <w:tr2bl w:val="nil"/>
            </w:tcBorders>
            <w:vAlign w:val="center"/>
          </w:tcPr>
          <w:p w14:paraId="2687C17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5DCC0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7709E2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021" w:type="pct"/>
            <w:tcBorders>
              <w:tl2br w:val="nil"/>
              <w:tr2bl w:val="nil"/>
            </w:tcBorders>
            <w:vAlign w:val="center"/>
          </w:tcPr>
          <w:p w14:paraId="58AF62D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撒料车</w:t>
            </w:r>
          </w:p>
        </w:tc>
        <w:tc>
          <w:tcPr>
            <w:tcW w:w="1142" w:type="pct"/>
            <w:tcBorders>
              <w:tl2br w:val="nil"/>
              <w:tr2bl w:val="nil"/>
            </w:tcBorders>
            <w:vAlign w:val="center"/>
          </w:tcPr>
          <w:p w14:paraId="05D80B7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33立方</w:t>
            </w:r>
          </w:p>
        </w:tc>
        <w:tc>
          <w:tcPr>
            <w:tcW w:w="587" w:type="pct"/>
            <w:tcBorders>
              <w:tl2br w:val="nil"/>
              <w:tr2bl w:val="nil"/>
            </w:tcBorders>
            <w:vAlign w:val="center"/>
          </w:tcPr>
          <w:p w14:paraId="1EC8F57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辆</w:t>
            </w:r>
          </w:p>
        </w:tc>
        <w:tc>
          <w:tcPr>
            <w:tcW w:w="998" w:type="pct"/>
            <w:tcBorders>
              <w:top w:val="single" w:color="auto" w:sz="4" w:space="0"/>
              <w:bottom w:val="single" w:color="auto" w:sz="4" w:space="0"/>
              <w:tl2br w:val="nil"/>
              <w:tr2bl w:val="nil"/>
            </w:tcBorders>
            <w:vAlign w:val="center"/>
          </w:tcPr>
          <w:p w14:paraId="0A0EBD0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666" w:type="pct"/>
            <w:tcBorders>
              <w:top w:val="single" w:color="auto" w:sz="4" w:space="0"/>
              <w:bottom w:val="single" w:color="auto" w:sz="4" w:space="0"/>
              <w:tl2br w:val="nil"/>
              <w:tr2bl w:val="nil"/>
            </w:tcBorders>
            <w:vAlign w:val="center"/>
          </w:tcPr>
          <w:p w14:paraId="3E5501B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48C390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D65CE9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021" w:type="pct"/>
            <w:tcBorders>
              <w:tl2br w:val="nil"/>
              <w:tr2bl w:val="nil"/>
            </w:tcBorders>
            <w:vAlign w:val="center"/>
          </w:tcPr>
          <w:p w14:paraId="0188276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精料系统</w:t>
            </w:r>
          </w:p>
        </w:tc>
        <w:tc>
          <w:tcPr>
            <w:tcW w:w="1142" w:type="pct"/>
            <w:tcBorders>
              <w:tl2br w:val="nil"/>
              <w:tr2bl w:val="nil"/>
            </w:tcBorders>
            <w:vAlign w:val="center"/>
          </w:tcPr>
          <w:p w14:paraId="23FB134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EFCD74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op w:val="single" w:color="auto" w:sz="4" w:space="0"/>
              <w:bottom w:val="single" w:color="auto" w:sz="4" w:space="0"/>
              <w:tl2br w:val="nil"/>
              <w:tr2bl w:val="nil"/>
            </w:tcBorders>
            <w:vAlign w:val="center"/>
          </w:tcPr>
          <w:p w14:paraId="3C8736E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op w:val="single" w:color="auto" w:sz="4" w:space="0"/>
              <w:bottom w:val="single" w:color="auto" w:sz="4" w:space="0"/>
              <w:tl2br w:val="nil"/>
              <w:tr2bl w:val="nil"/>
            </w:tcBorders>
            <w:vAlign w:val="center"/>
          </w:tcPr>
          <w:p w14:paraId="1FBE0D3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2336923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2250B407">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w:t>
            </w:r>
          </w:p>
        </w:tc>
        <w:tc>
          <w:tcPr>
            <w:tcW w:w="1021" w:type="pct"/>
            <w:tcBorders>
              <w:tl2br w:val="nil"/>
              <w:tr2bl w:val="nil"/>
            </w:tcBorders>
            <w:vAlign w:val="center"/>
          </w:tcPr>
          <w:p w14:paraId="3C50E7F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 铲车</w:t>
            </w:r>
          </w:p>
        </w:tc>
        <w:tc>
          <w:tcPr>
            <w:tcW w:w="1142" w:type="pct"/>
            <w:tcBorders>
              <w:tl2br w:val="nil"/>
              <w:tr2bl w:val="nil"/>
            </w:tcBorders>
            <w:vAlign w:val="center"/>
          </w:tcPr>
          <w:p w14:paraId="3C1C1E1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5850D9A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op w:val="single" w:color="auto" w:sz="4" w:space="0"/>
              <w:bottom w:val="single" w:color="auto" w:sz="4" w:space="0"/>
              <w:tl2br w:val="nil"/>
              <w:tr2bl w:val="nil"/>
            </w:tcBorders>
            <w:vAlign w:val="center"/>
          </w:tcPr>
          <w:p w14:paraId="4EF3520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666" w:type="pct"/>
            <w:tcBorders>
              <w:top w:val="single" w:color="auto" w:sz="4" w:space="0"/>
              <w:bottom w:val="single" w:color="auto" w:sz="4" w:space="0"/>
              <w:tl2br w:val="nil"/>
              <w:tr2bl w:val="nil"/>
            </w:tcBorders>
            <w:vAlign w:val="center"/>
          </w:tcPr>
          <w:p w14:paraId="577A938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E77406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6AA2560">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w:t>
            </w:r>
          </w:p>
        </w:tc>
        <w:tc>
          <w:tcPr>
            <w:tcW w:w="1021" w:type="pct"/>
            <w:tcBorders>
              <w:tl2br w:val="nil"/>
              <w:tr2bl w:val="nil"/>
            </w:tcBorders>
            <w:vAlign w:val="center"/>
          </w:tcPr>
          <w:p w14:paraId="0E541F9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 铲车</w:t>
            </w:r>
          </w:p>
        </w:tc>
        <w:tc>
          <w:tcPr>
            <w:tcW w:w="1142" w:type="pct"/>
            <w:tcBorders>
              <w:tl2br w:val="nil"/>
              <w:tr2bl w:val="nil"/>
            </w:tcBorders>
            <w:vAlign w:val="center"/>
          </w:tcPr>
          <w:p w14:paraId="0C1D66B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6A11D22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op w:val="single" w:color="auto" w:sz="4" w:space="0"/>
              <w:tl2br w:val="nil"/>
              <w:tr2bl w:val="nil"/>
            </w:tcBorders>
            <w:vAlign w:val="center"/>
          </w:tcPr>
          <w:p w14:paraId="10E3D7E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op w:val="single" w:color="auto" w:sz="4" w:space="0"/>
              <w:tl2br w:val="nil"/>
              <w:tr2bl w:val="nil"/>
            </w:tcBorders>
            <w:vAlign w:val="center"/>
          </w:tcPr>
          <w:p w14:paraId="3E3A363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31B68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3F45C63">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w:t>
            </w:r>
          </w:p>
        </w:tc>
        <w:tc>
          <w:tcPr>
            <w:tcW w:w="1021" w:type="pct"/>
            <w:tcBorders>
              <w:tl2br w:val="nil"/>
              <w:tr2bl w:val="nil"/>
            </w:tcBorders>
            <w:vAlign w:val="center"/>
          </w:tcPr>
          <w:p w14:paraId="794B1DB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饲料叉车</w:t>
            </w:r>
          </w:p>
        </w:tc>
        <w:tc>
          <w:tcPr>
            <w:tcW w:w="1142" w:type="pct"/>
            <w:tcBorders>
              <w:tl2br w:val="nil"/>
              <w:tr2bl w:val="nil"/>
            </w:tcBorders>
            <w:vAlign w:val="center"/>
          </w:tcPr>
          <w:p w14:paraId="47278CA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364F305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l2br w:val="nil"/>
              <w:tr2bl w:val="nil"/>
            </w:tcBorders>
            <w:vAlign w:val="center"/>
          </w:tcPr>
          <w:p w14:paraId="2904F70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038EF7F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5080EC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71A14B50">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w:t>
            </w:r>
          </w:p>
        </w:tc>
        <w:tc>
          <w:tcPr>
            <w:tcW w:w="1021" w:type="pct"/>
            <w:tcBorders>
              <w:tl2br w:val="nil"/>
              <w:tr2bl w:val="nil"/>
            </w:tcBorders>
            <w:vAlign w:val="center"/>
          </w:tcPr>
          <w:p w14:paraId="3726EB4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干草抱夹</w:t>
            </w:r>
          </w:p>
        </w:tc>
        <w:tc>
          <w:tcPr>
            <w:tcW w:w="1142" w:type="pct"/>
            <w:tcBorders>
              <w:tl2br w:val="nil"/>
              <w:tr2bl w:val="nil"/>
            </w:tcBorders>
            <w:vAlign w:val="center"/>
          </w:tcPr>
          <w:p w14:paraId="2AA4340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2F57018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l2br w:val="nil"/>
              <w:tr2bl w:val="nil"/>
            </w:tcBorders>
            <w:vAlign w:val="center"/>
          </w:tcPr>
          <w:p w14:paraId="3C2ABF6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7E404B0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70314A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31D31EDE">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w:t>
            </w:r>
          </w:p>
        </w:tc>
        <w:tc>
          <w:tcPr>
            <w:tcW w:w="1021" w:type="pct"/>
            <w:tcBorders>
              <w:tl2br w:val="nil"/>
              <w:tr2bl w:val="nil"/>
            </w:tcBorders>
            <w:vAlign w:val="center"/>
          </w:tcPr>
          <w:p w14:paraId="7E28804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小型扫料机</w:t>
            </w:r>
          </w:p>
        </w:tc>
        <w:tc>
          <w:tcPr>
            <w:tcW w:w="1142" w:type="pct"/>
            <w:tcBorders>
              <w:tl2br w:val="nil"/>
              <w:tr2bl w:val="nil"/>
            </w:tcBorders>
            <w:vAlign w:val="center"/>
          </w:tcPr>
          <w:p w14:paraId="59B3392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7EA5ED2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l2br w:val="nil"/>
              <w:tr2bl w:val="nil"/>
            </w:tcBorders>
            <w:vAlign w:val="center"/>
          </w:tcPr>
          <w:p w14:paraId="5688D38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0D78140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8A988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55BB3CDD">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w:t>
            </w:r>
          </w:p>
        </w:tc>
        <w:tc>
          <w:tcPr>
            <w:tcW w:w="1021" w:type="pct"/>
            <w:tcBorders>
              <w:tl2br w:val="nil"/>
              <w:tr2bl w:val="nil"/>
            </w:tcBorders>
            <w:vAlign w:val="center"/>
          </w:tcPr>
          <w:p w14:paraId="418E924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小型推料车</w:t>
            </w:r>
          </w:p>
        </w:tc>
        <w:tc>
          <w:tcPr>
            <w:tcW w:w="1142" w:type="pct"/>
            <w:tcBorders>
              <w:tl2br w:val="nil"/>
              <w:tr2bl w:val="nil"/>
            </w:tcBorders>
            <w:vAlign w:val="center"/>
          </w:tcPr>
          <w:p w14:paraId="7C329F4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3741A70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998" w:type="pct"/>
            <w:tcBorders>
              <w:tl2br w:val="nil"/>
              <w:tr2bl w:val="nil"/>
            </w:tcBorders>
            <w:vAlign w:val="center"/>
          </w:tcPr>
          <w:p w14:paraId="09D1CFF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3A564AC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DDA001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702C84E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4416" w:type="pct"/>
            <w:gridSpan w:val="5"/>
            <w:tcBorders>
              <w:tl2br w:val="nil"/>
              <w:tr2bl w:val="nil"/>
            </w:tcBorders>
            <w:vAlign w:val="center"/>
          </w:tcPr>
          <w:p w14:paraId="08ED3A8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粪污收集及处理设备</w:t>
            </w:r>
          </w:p>
        </w:tc>
      </w:tr>
      <w:tr w14:paraId="0DDB200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87F449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21" w:type="pct"/>
            <w:tcBorders>
              <w:tl2br w:val="nil"/>
              <w:tr2bl w:val="nil"/>
            </w:tcBorders>
            <w:vAlign w:val="center"/>
          </w:tcPr>
          <w:p w14:paraId="35809FA4">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槽车</w:t>
            </w:r>
          </w:p>
        </w:tc>
        <w:tc>
          <w:tcPr>
            <w:tcW w:w="1142" w:type="pct"/>
            <w:tcBorders>
              <w:tl2br w:val="nil"/>
              <w:tr2bl w:val="nil"/>
            </w:tcBorders>
            <w:vAlign w:val="center"/>
          </w:tcPr>
          <w:p w14:paraId="4A8B9B6F">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0CFF0FA0">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辆</w:t>
            </w:r>
          </w:p>
        </w:tc>
        <w:tc>
          <w:tcPr>
            <w:tcW w:w="998" w:type="pct"/>
            <w:tcBorders>
              <w:tl2br w:val="nil"/>
              <w:tr2bl w:val="nil"/>
            </w:tcBorders>
            <w:vAlign w:val="center"/>
          </w:tcPr>
          <w:p w14:paraId="5B14D27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68AF6B8C">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7684756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62C4746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021" w:type="pct"/>
            <w:tcBorders>
              <w:tl2br w:val="nil"/>
              <w:tr2bl w:val="nil"/>
            </w:tcBorders>
            <w:vAlign w:val="center"/>
          </w:tcPr>
          <w:p w14:paraId="3B28E18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 铲车</w:t>
            </w:r>
          </w:p>
        </w:tc>
        <w:tc>
          <w:tcPr>
            <w:tcW w:w="1142" w:type="pct"/>
            <w:tcBorders>
              <w:tl2br w:val="nil"/>
              <w:tr2bl w:val="nil"/>
            </w:tcBorders>
            <w:vAlign w:val="center"/>
          </w:tcPr>
          <w:p w14:paraId="04A50A47">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30C171D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998" w:type="pct"/>
            <w:tcBorders>
              <w:tl2br w:val="nil"/>
              <w:tr2bl w:val="nil"/>
            </w:tcBorders>
            <w:vAlign w:val="center"/>
          </w:tcPr>
          <w:p w14:paraId="42E8388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666" w:type="pct"/>
            <w:tcBorders>
              <w:tl2br w:val="nil"/>
              <w:tr2bl w:val="nil"/>
            </w:tcBorders>
            <w:vAlign w:val="center"/>
          </w:tcPr>
          <w:p w14:paraId="491CC424">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7FA473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3BDD50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1021" w:type="pct"/>
            <w:tcBorders>
              <w:tl2br w:val="nil"/>
              <w:tr2bl w:val="nil"/>
            </w:tcBorders>
            <w:vAlign w:val="center"/>
          </w:tcPr>
          <w:p w14:paraId="0838B3F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槽式翻抛机</w:t>
            </w:r>
          </w:p>
        </w:tc>
        <w:tc>
          <w:tcPr>
            <w:tcW w:w="1142" w:type="pct"/>
            <w:tcBorders>
              <w:tl2br w:val="nil"/>
              <w:tr2bl w:val="nil"/>
            </w:tcBorders>
            <w:vAlign w:val="center"/>
          </w:tcPr>
          <w:p w14:paraId="79E897FF">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56DFBEB5">
            <w:pPr>
              <w:pStyle w:val="146"/>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台</w:t>
            </w:r>
          </w:p>
        </w:tc>
        <w:tc>
          <w:tcPr>
            <w:tcW w:w="998" w:type="pct"/>
            <w:tcBorders>
              <w:tl2br w:val="nil"/>
              <w:tr2bl w:val="nil"/>
            </w:tcBorders>
            <w:vAlign w:val="center"/>
          </w:tcPr>
          <w:p w14:paraId="579F8CFE">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p>
        </w:tc>
        <w:tc>
          <w:tcPr>
            <w:tcW w:w="666" w:type="pct"/>
            <w:tcBorders>
              <w:tl2br w:val="nil"/>
              <w:tr2bl w:val="nil"/>
            </w:tcBorders>
            <w:vAlign w:val="center"/>
          </w:tcPr>
          <w:p w14:paraId="65919CF0">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78E4E0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A40BD4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1021" w:type="pct"/>
            <w:tcBorders>
              <w:tl2br w:val="nil"/>
              <w:tr2bl w:val="nil"/>
            </w:tcBorders>
            <w:vAlign w:val="center"/>
          </w:tcPr>
          <w:p w14:paraId="1D92F43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发酵床翻耙机</w:t>
            </w:r>
          </w:p>
        </w:tc>
        <w:tc>
          <w:tcPr>
            <w:tcW w:w="1142" w:type="pct"/>
            <w:tcBorders>
              <w:tl2br w:val="nil"/>
              <w:tr2bl w:val="nil"/>
            </w:tcBorders>
            <w:vAlign w:val="center"/>
          </w:tcPr>
          <w:p w14:paraId="6B05BAB5">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0D2C72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998" w:type="pct"/>
            <w:tcBorders>
              <w:tl2br w:val="nil"/>
              <w:tr2bl w:val="nil"/>
            </w:tcBorders>
            <w:vAlign w:val="center"/>
          </w:tcPr>
          <w:p w14:paraId="4B0ACCC5">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666" w:type="pct"/>
            <w:tcBorders>
              <w:tl2br w:val="nil"/>
              <w:tr2bl w:val="nil"/>
            </w:tcBorders>
            <w:vAlign w:val="center"/>
          </w:tcPr>
          <w:p w14:paraId="3972D507">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241993E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7A93F78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1021" w:type="pct"/>
            <w:tcBorders>
              <w:tl2br w:val="nil"/>
              <w:tr2bl w:val="nil"/>
            </w:tcBorders>
            <w:vAlign w:val="center"/>
          </w:tcPr>
          <w:p w14:paraId="3652A90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渗滤液收集泵</w:t>
            </w:r>
          </w:p>
        </w:tc>
        <w:tc>
          <w:tcPr>
            <w:tcW w:w="1142" w:type="pct"/>
            <w:tcBorders>
              <w:tl2br w:val="nil"/>
              <w:tr2bl w:val="nil"/>
            </w:tcBorders>
            <w:vAlign w:val="center"/>
          </w:tcPr>
          <w:p w14:paraId="275B3B73">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1987235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套</w:t>
            </w:r>
          </w:p>
        </w:tc>
        <w:tc>
          <w:tcPr>
            <w:tcW w:w="998" w:type="pct"/>
            <w:tcBorders>
              <w:tl2br w:val="nil"/>
              <w:tr2bl w:val="nil"/>
            </w:tcBorders>
            <w:vAlign w:val="center"/>
          </w:tcPr>
          <w:p w14:paraId="414B5B73">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p>
        </w:tc>
        <w:tc>
          <w:tcPr>
            <w:tcW w:w="666" w:type="pct"/>
            <w:tcBorders>
              <w:tl2br w:val="nil"/>
              <w:tr2bl w:val="nil"/>
            </w:tcBorders>
            <w:vAlign w:val="center"/>
          </w:tcPr>
          <w:p w14:paraId="72276728">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1B958F3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1674DCE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1021" w:type="pct"/>
            <w:tcBorders>
              <w:tl2br w:val="nil"/>
              <w:tr2bl w:val="nil"/>
            </w:tcBorders>
            <w:vAlign w:val="center"/>
          </w:tcPr>
          <w:p w14:paraId="3F095D7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渗滤液回流喷洒系统</w:t>
            </w:r>
          </w:p>
        </w:tc>
        <w:tc>
          <w:tcPr>
            <w:tcW w:w="1142" w:type="pct"/>
            <w:tcBorders>
              <w:tl2br w:val="nil"/>
              <w:tr2bl w:val="nil"/>
            </w:tcBorders>
            <w:vAlign w:val="center"/>
          </w:tcPr>
          <w:p w14:paraId="7A371B7B">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4F1851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套</w:t>
            </w:r>
          </w:p>
        </w:tc>
        <w:tc>
          <w:tcPr>
            <w:tcW w:w="998" w:type="pct"/>
            <w:tcBorders>
              <w:tl2br w:val="nil"/>
              <w:tr2bl w:val="nil"/>
            </w:tcBorders>
            <w:vAlign w:val="center"/>
          </w:tcPr>
          <w:p w14:paraId="42D3E343">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p>
        </w:tc>
        <w:tc>
          <w:tcPr>
            <w:tcW w:w="666" w:type="pct"/>
            <w:tcBorders>
              <w:tl2br w:val="nil"/>
              <w:tr2bl w:val="nil"/>
            </w:tcBorders>
            <w:vAlign w:val="center"/>
          </w:tcPr>
          <w:p w14:paraId="7B234667">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017DF31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74FFBE9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1021" w:type="pct"/>
            <w:tcBorders>
              <w:tl2br w:val="nil"/>
              <w:tr2bl w:val="nil"/>
            </w:tcBorders>
            <w:vAlign w:val="center"/>
          </w:tcPr>
          <w:p w14:paraId="0284E77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堆肥供氧风机</w:t>
            </w:r>
          </w:p>
        </w:tc>
        <w:tc>
          <w:tcPr>
            <w:tcW w:w="1142" w:type="pct"/>
            <w:tcBorders>
              <w:tl2br w:val="nil"/>
              <w:tr2bl w:val="nil"/>
            </w:tcBorders>
            <w:vAlign w:val="center"/>
          </w:tcPr>
          <w:p w14:paraId="63765A30">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48F195E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w:t>
            </w:r>
          </w:p>
        </w:tc>
        <w:tc>
          <w:tcPr>
            <w:tcW w:w="998" w:type="pct"/>
            <w:tcBorders>
              <w:tl2br w:val="nil"/>
              <w:tr2bl w:val="nil"/>
            </w:tcBorders>
            <w:vAlign w:val="center"/>
          </w:tcPr>
          <w:p w14:paraId="179BB6CB">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666" w:type="pct"/>
            <w:tcBorders>
              <w:tl2br w:val="nil"/>
              <w:tr2bl w:val="nil"/>
            </w:tcBorders>
            <w:vAlign w:val="center"/>
          </w:tcPr>
          <w:p w14:paraId="6E2ACF63">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3F34BA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5DFF7C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1021" w:type="pct"/>
            <w:tcBorders>
              <w:tl2br w:val="nil"/>
              <w:tr2bl w:val="nil"/>
            </w:tcBorders>
            <w:vAlign w:val="center"/>
          </w:tcPr>
          <w:p w14:paraId="399E00D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发酵温度监测仪</w:t>
            </w:r>
          </w:p>
        </w:tc>
        <w:tc>
          <w:tcPr>
            <w:tcW w:w="1142" w:type="pct"/>
            <w:tcBorders>
              <w:tl2br w:val="nil"/>
              <w:tr2bl w:val="nil"/>
            </w:tcBorders>
            <w:vAlign w:val="center"/>
          </w:tcPr>
          <w:p w14:paraId="4DEFE57D">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6C3A2B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套</w:t>
            </w:r>
          </w:p>
        </w:tc>
        <w:tc>
          <w:tcPr>
            <w:tcW w:w="998" w:type="pct"/>
            <w:tcBorders>
              <w:tl2br w:val="nil"/>
              <w:tr2bl w:val="nil"/>
            </w:tcBorders>
            <w:vAlign w:val="center"/>
          </w:tcPr>
          <w:p w14:paraId="07203079">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p>
        </w:tc>
        <w:tc>
          <w:tcPr>
            <w:tcW w:w="666" w:type="pct"/>
            <w:tcBorders>
              <w:tl2br w:val="nil"/>
              <w:tr2bl w:val="nil"/>
            </w:tcBorders>
            <w:vAlign w:val="center"/>
          </w:tcPr>
          <w:p w14:paraId="2FACAA1E">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w:t>
            </w:r>
          </w:p>
        </w:tc>
      </w:tr>
      <w:tr w14:paraId="3220AE8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2E1CFF09">
            <w:pPr>
              <w:pStyle w:val="146"/>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四</w:t>
            </w:r>
          </w:p>
        </w:tc>
        <w:tc>
          <w:tcPr>
            <w:tcW w:w="4416" w:type="pct"/>
            <w:gridSpan w:val="5"/>
            <w:tcBorders>
              <w:tl2br w:val="nil"/>
              <w:tr2bl w:val="nil"/>
            </w:tcBorders>
            <w:vAlign w:val="center"/>
          </w:tcPr>
          <w:p w14:paraId="630C861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其他设备</w:t>
            </w:r>
          </w:p>
        </w:tc>
      </w:tr>
      <w:tr w14:paraId="36A9F8D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BA1ECE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21" w:type="pct"/>
            <w:tcBorders>
              <w:tl2br w:val="nil"/>
              <w:tr2bl w:val="nil"/>
            </w:tcBorders>
            <w:vAlign w:val="center"/>
          </w:tcPr>
          <w:p w14:paraId="4206380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无塔供水设备</w:t>
            </w:r>
          </w:p>
        </w:tc>
        <w:tc>
          <w:tcPr>
            <w:tcW w:w="1142" w:type="pct"/>
            <w:tcBorders>
              <w:tl2br w:val="nil"/>
              <w:tr2bl w:val="nil"/>
            </w:tcBorders>
            <w:vAlign w:val="center"/>
          </w:tcPr>
          <w:p w14:paraId="57BBB62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2B778B0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7EA98A1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14535BB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78CD2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1BCA6343">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1021" w:type="pct"/>
            <w:tcBorders>
              <w:tl2br w:val="nil"/>
              <w:tr2bl w:val="nil"/>
            </w:tcBorders>
            <w:vAlign w:val="center"/>
          </w:tcPr>
          <w:p w14:paraId="1E13DAD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办公、生活用具</w:t>
            </w:r>
          </w:p>
        </w:tc>
        <w:tc>
          <w:tcPr>
            <w:tcW w:w="1142" w:type="pct"/>
            <w:tcBorders>
              <w:tl2br w:val="nil"/>
              <w:tr2bl w:val="nil"/>
            </w:tcBorders>
            <w:vAlign w:val="center"/>
          </w:tcPr>
          <w:p w14:paraId="686E474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2643C9F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0CA514D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2E0EAB1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CD0126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37BFDFBC">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p>
        </w:tc>
        <w:tc>
          <w:tcPr>
            <w:tcW w:w="1021" w:type="pct"/>
            <w:tcBorders>
              <w:tl2br w:val="nil"/>
              <w:tr2bl w:val="nil"/>
            </w:tcBorders>
            <w:vAlign w:val="center"/>
          </w:tcPr>
          <w:p w14:paraId="71A15BB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畜牧兽医设备</w:t>
            </w:r>
          </w:p>
        </w:tc>
        <w:tc>
          <w:tcPr>
            <w:tcW w:w="1142" w:type="pct"/>
            <w:tcBorders>
              <w:tl2br w:val="nil"/>
              <w:tr2bl w:val="nil"/>
            </w:tcBorders>
            <w:vAlign w:val="center"/>
          </w:tcPr>
          <w:p w14:paraId="226DA70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742934D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6EE3FB7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5DC7C39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F8CFC4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D018359">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w:t>
            </w:r>
          </w:p>
        </w:tc>
        <w:tc>
          <w:tcPr>
            <w:tcW w:w="1021" w:type="pct"/>
            <w:tcBorders>
              <w:tl2br w:val="nil"/>
              <w:tr2bl w:val="nil"/>
            </w:tcBorders>
            <w:vAlign w:val="center"/>
          </w:tcPr>
          <w:p w14:paraId="1AE6E0B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地磅</w:t>
            </w:r>
          </w:p>
        </w:tc>
        <w:tc>
          <w:tcPr>
            <w:tcW w:w="1142" w:type="pct"/>
            <w:tcBorders>
              <w:tl2br w:val="nil"/>
              <w:tr2bl w:val="nil"/>
            </w:tcBorders>
            <w:vAlign w:val="center"/>
          </w:tcPr>
          <w:p w14:paraId="247E36F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5322D20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127C983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6B360D04">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100吨</w:t>
            </w:r>
          </w:p>
        </w:tc>
      </w:tr>
      <w:tr w14:paraId="47CCF8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B7466EC">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w:t>
            </w:r>
          </w:p>
        </w:tc>
        <w:tc>
          <w:tcPr>
            <w:tcW w:w="1021" w:type="pct"/>
            <w:tcBorders>
              <w:tl2br w:val="nil"/>
              <w:tr2bl w:val="nil"/>
            </w:tcBorders>
            <w:vAlign w:val="center"/>
          </w:tcPr>
          <w:p w14:paraId="5E37583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牧场管理软件</w:t>
            </w:r>
          </w:p>
        </w:tc>
        <w:tc>
          <w:tcPr>
            <w:tcW w:w="1142" w:type="pct"/>
            <w:tcBorders>
              <w:tl2br w:val="nil"/>
              <w:tr2bl w:val="nil"/>
            </w:tcBorders>
            <w:vAlign w:val="center"/>
          </w:tcPr>
          <w:p w14:paraId="7DD0CE4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6B4126B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6B1E3D8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3FEDC72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B1FFF3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660048E5">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w:t>
            </w:r>
          </w:p>
        </w:tc>
        <w:tc>
          <w:tcPr>
            <w:tcW w:w="1021" w:type="pct"/>
            <w:tcBorders>
              <w:tl2br w:val="nil"/>
              <w:tr2bl w:val="nil"/>
            </w:tcBorders>
            <w:vAlign w:val="center"/>
          </w:tcPr>
          <w:p w14:paraId="3BEBFDB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牛只称重系统</w:t>
            </w:r>
          </w:p>
        </w:tc>
        <w:tc>
          <w:tcPr>
            <w:tcW w:w="1142" w:type="pct"/>
            <w:tcBorders>
              <w:tl2br w:val="nil"/>
              <w:tr2bl w:val="nil"/>
            </w:tcBorders>
            <w:vAlign w:val="center"/>
          </w:tcPr>
          <w:p w14:paraId="2610439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7237108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3AD61A7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5111FC9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4381DFF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1E3736C">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w:t>
            </w:r>
          </w:p>
        </w:tc>
        <w:tc>
          <w:tcPr>
            <w:tcW w:w="1021" w:type="pct"/>
            <w:tcBorders>
              <w:tl2br w:val="nil"/>
              <w:tr2bl w:val="nil"/>
            </w:tcBorders>
            <w:vAlign w:val="center"/>
          </w:tcPr>
          <w:p w14:paraId="469A3A0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耳标</w:t>
            </w:r>
          </w:p>
        </w:tc>
        <w:tc>
          <w:tcPr>
            <w:tcW w:w="1142" w:type="pct"/>
            <w:tcBorders>
              <w:tl2br w:val="nil"/>
              <w:tr2bl w:val="nil"/>
            </w:tcBorders>
            <w:vAlign w:val="center"/>
          </w:tcPr>
          <w:p w14:paraId="304A858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2503DBA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个</w:t>
            </w:r>
          </w:p>
        </w:tc>
        <w:tc>
          <w:tcPr>
            <w:tcW w:w="998" w:type="pct"/>
            <w:tcBorders>
              <w:tl2br w:val="nil"/>
              <w:tr2bl w:val="nil"/>
            </w:tcBorders>
            <w:vAlign w:val="center"/>
          </w:tcPr>
          <w:p w14:paraId="10F6334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10000</w:t>
            </w:r>
          </w:p>
        </w:tc>
        <w:tc>
          <w:tcPr>
            <w:tcW w:w="666" w:type="pct"/>
            <w:tcBorders>
              <w:tl2br w:val="nil"/>
              <w:tr2bl w:val="nil"/>
            </w:tcBorders>
            <w:vAlign w:val="center"/>
          </w:tcPr>
          <w:p w14:paraId="5591AB4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4DD2D11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7878125">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w:t>
            </w:r>
          </w:p>
        </w:tc>
        <w:tc>
          <w:tcPr>
            <w:tcW w:w="1021" w:type="pct"/>
            <w:tcBorders>
              <w:tl2br w:val="nil"/>
              <w:tr2bl w:val="nil"/>
            </w:tcBorders>
            <w:vAlign w:val="center"/>
          </w:tcPr>
          <w:p w14:paraId="725D59C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犊牛岛</w:t>
            </w:r>
          </w:p>
        </w:tc>
        <w:tc>
          <w:tcPr>
            <w:tcW w:w="1142" w:type="pct"/>
            <w:tcBorders>
              <w:tl2br w:val="nil"/>
              <w:tr2bl w:val="nil"/>
            </w:tcBorders>
            <w:vAlign w:val="center"/>
          </w:tcPr>
          <w:p w14:paraId="253AE48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5471297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个</w:t>
            </w:r>
          </w:p>
        </w:tc>
        <w:tc>
          <w:tcPr>
            <w:tcW w:w="998" w:type="pct"/>
            <w:tcBorders>
              <w:tl2br w:val="nil"/>
              <w:tr2bl w:val="nil"/>
            </w:tcBorders>
            <w:vAlign w:val="center"/>
          </w:tcPr>
          <w:p w14:paraId="165986D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150</w:t>
            </w:r>
          </w:p>
        </w:tc>
        <w:tc>
          <w:tcPr>
            <w:tcW w:w="666" w:type="pct"/>
            <w:tcBorders>
              <w:tl2br w:val="nil"/>
              <w:tr2bl w:val="nil"/>
            </w:tcBorders>
            <w:vAlign w:val="center"/>
          </w:tcPr>
          <w:p w14:paraId="3DA9598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78FA2A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0C98BA9E">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w:t>
            </w:r>
          </w:p>
        </w:tc>
        <w:tc>
          <w:tcPr>
            <w:tcW w:w="1021" w:type="pct"/>
            <w:tcBorders>
              <w:tl2br w:val="nil"/>
              <w:tr2bl w:val="nil"/>
            </w:tcBorders>
            <w:vAlign w:val="center"/>
          </w:tcPr>
          <w:p w14:paraId="21C6362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喷雾消毒设备</w:t>
            </w:r>
          </w:p>
        </w:tc>
        <w:tc>
          <w:tcPr>
            <w:tcW w:w="1142" w:type="pct"/>
            <w:tcBorders>
              <w:tl2br w:val="nil"/>
              <w:tr2bl w:val="nil"/>
            </w:tcBorders>
            <w:vAlign w:val="center"/>
          </w:tcPr>
          <w:p w14:paraId="796F133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3A8687C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998" w:type="pct"/>
            <w:tcBorders>
              <w:tl2br w:val="nil"/>
              <w:tr2bl w:val="nil"/>
            </w:tcBorders>
            <w:vAlign w:val="center"/>
          </w:tcPr>
          <w:p w14:paraId="692BA42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66" w:type="pct"/>
            <w:tcBorders>
              <w:tl2br w:val="nil"/>
              <w:tr2bl w:val="nil"/>
            </w:tcBorders>
            <w:vAlign w:val="center"/>
          </w:tcPr>
          <w:p w14:paraId="0DC9992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E3FAFD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3A2561A">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w:t>
            </w:r>
          </w:p>
        </w:tc>
        <w:tc>
          <w:tcPr>
            <w:tcW w:w="1021" w:type="pct"/>
            <w:tcBorders>
              <w:tl2br w:val="nil"/>
              <w:tr2bl w:val="nil"/>
            </w:tcBorders>
            <w:vAlign w:val="center"/>
          </w:tcPr>
          <w:p w14:paraId="7401D93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液氮罐</w:t>
            </w:r>
          </w:p>
        </w:tc>
        <w:tc>
          <w:tcPr>
            <w:tcW w:w="1142" w:type="pct"/>
            <w:tcBorders>
              <w:tl2br w:val="nil"/>
              <w:tr2bl w:val="nil"/>
            </w:tcBorders>
            <w:vAlign w:val="center"/>
          </w:tcPr>
          <w:p w14:paraId="6166E6C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87" w:type="pct"/>
            <w:tcBorders>
              <w:tl2br w:val="nil"/>
              <w:tr2bl w:val="nil"/>
            </w:tcBorders>
            <w:vAlign w:val="center"/>
          </w:tcPr>
          <w:p w14:paraId="2D8D522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个</w:t>
            </w:r>
          </w:p>
        </w:tc>
        <w:tc>
          <w:tcPr>
            <w:tcW w:w="998" w:type="pct"/>
            <w:tcBorders>
              <w:tl2br w:val="nil"/>
              <w:tr2bl w:val="nil"/>
            </w:tcBorders>
            <w:vAlign w:val="center"/>
          </w:tcPr>
          <w:p w14:paraId="3EB6AAD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666" w:type="pct"/>
            <w:tcBorders>
              <w:tl2br w:val="nil"/>
              <w:tr2bl w:val="nil"/>
            </w:tcBorders>
            <w:vAlign w:val="center"/>
          </w:tcPr>
          <w:p w14:paraId="73ECE3D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A86BC7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4A15780E">
            <w:pPr>
              <w:pStyle w:val="146"/>
              <w:jc w:val="center"/>
              <w:rPr>
                <w:rFonts w:hint="default" w:ascii="Times New Roman" w:hAnsi="Times New Roman" w:eastAsia="宋体" w:cs="Times New Roman"/>
                <w:color w:val="auto"/>
                <w:highlight w:val="none"/>
                <w:lang w:val="en-US" w:eastAsia="zh-CN"/>
              </w:rPr>
            </w:pPr>
            <w:bookmarkStart w:id="187" w:name="_Toc57713636"/>
            <w:r>
              <w:rPr>
                <w:rFonts w:hint="eastAsia" w:eastAsia="宋体" w:cs="Times New Roman"/>
                <w:color w:val="auto"/>
                <w:highlight w:val="none"/>
                <w:lang w:val="en-US" w:eastAsia="zh-CN"/>
              </w:rPr>
              <w:t>11</w:t>
            </w:r>
          </w:p>
        </w:tc>
        <w:tc>
          <w:tcPr>
            <w:tcW w:w="1021" w:type="pct"/>
            <w:tcBorders>
              <w:tl2br w:val="nil"/>
              <w:tr2bl w:val="nil"/>
            </w:tcBorders>
            <w:vAlign w:val="center"/>
          </w:tcPr>
          <w:p w14:paraId="021DC61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活性炭吸附装置</w:t>
            </w:r>
          </w:p>
        </w:tc>
        <w:tc>
          <w:tcPr>
            <w:tcW w:w="1142" w:type="pct"/>
            <w:tcBorders>
              <w:tl2br w:val="nil"/>
              <w:tr2bl w:val="nil"/>
            </w:tcBorders>
            <w:vAlign w:val="center"/>
          </w:tcPr>
          <w:p w14:paraId="55F5E469">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587" w:type="pct"/>
            <w:tcBorders>
              <w:tl2br w:val="nil"/>
              <w:tr2bl w:val="nil"/>
            </w:tcBorders>
            <w:vAlign w:val="center"/>
          </w:tcPr>
          <w:p w14:paraId="2B3AE908">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套</w:t>
            </w:r>
          </w:p>
        </w:tc>
        <w:tc>
          <w:tcPr>
            <w:tcW w:w="998" w:type="pct"/>
            <w:tcBorders>
              <w:tl2br w:val="nil"/>
              <w:tr2bl w:val="nil"/>
            </w:tcBorders>
            <w:vAlign w:val="center"/>
          </w:tcPr>
          <w:p w14:paraId="571ACDB6">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p>
        </w:tc>
        <w:tc>
          <w:tcPr>
            <w:tcW w:w="666" w:type="pct"/>
            <w:tcBorders>
              <w:tl2br w:val="nil"/>
              <w:tr2bl w:val="nil"/>
            </w:tcBorders>
            <w:vAlign w:val="center"/>
          </w:tcPr>
          <w:p w14:paraId="3A3567EF">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r>
      <w:tr w14:paraId="070C2B8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583" w:type="pct"/>
            <w:tcBorders>
              <w:tl2br w:val="nil"/>
              <w:tr2bl w:val="nil"/>
            </w:tcBorders>
            <w:vAlign w:val="center"/>
          </w:tcPr>
          <w:p w14:paraId="78392431">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12</w:t>
            </w:r>
          </w:p>
        </w:tc>
        <w:tc>
          <w:tcPr>
            <w:tcW w:w="1021" w:type="pct"/>
            <w:tcBorders>
              <w:tl2br w:val="nil"/>
              <w:tr2bl w:val="nil"/>
            </w:tcBorders>
            <w:vAlign w:val="center"/>
          </w:tcPr>
          <w:p w14:paraId="529B433E">
            <w:pPr>
              <w:pStyle w:val="146"/>
              <w:jc w:val="center"/>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植物除臭剂自动喷洒装置</w:t>
            </w:r>
          </w:p>
        </w:tc>
        <w:tc>
          <w:tcPr>
            <w:tcW w:w="1142" w:type="pct"/>
            <w:tcBorders>
              <w:tl2br w:val="nil"/>
              <w:tr2bl w:val="nil"/>
            </w:tcBorders>
            <w:vAlign w:val="center"/>
          </w:tcPr>
          <w:p w14:paraId="40F228CE">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587" w:type="pct"/>
            <w:tcBorders>
              <w:tl2br w:val="nil"/>
              <w:tr2bl w:val="nil"/>
            </w:tcBorders>
            <w:vAlign w:val="center"/>
          </w:tcPr>
          <w:p w14:paraId="40BFB146">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套</w:t>
            </w:r>
          </w:p>
        </w:tc>
        <w:tc>
          <w:tcPr>
            <w:tcW w:w="998" w:type="pct"/>
            <w:tcBorders>
              <w:tl2br w:val="nil"/>
              <w:tr2bl w:val="nil"/>
            </w:tcBorders>
            <w:vAlign w:val="center"/>
          </w:tcPr>
          <w:p w14:paraId="4A55969F">
            <w:pPr>
              <w:pStyle w:val="146"/>
              <w:jc w:val="center"/>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w:t>
            </w:r>
          </w:p>
        </w:tc>
        <w:tc>
          <w:tcPr>
            <w:tcW w:w="666" w:type="pct"/>
            <w:tcBorders>
              <w:tl2br w:val="nil"/>
              <w:tr2bl w:val="nil"/>
            </w:tcBorders>
            <w:vAlign w:val="center"/>
          </w:tcPr>
          <w:p w14:paraId="1E893FA8">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r>
      <w:bookmarkEnd w:id="186"/>
    </w:tbl>
    <w:p w14:paraId="2582731D">
      <w:pPr>
        <w:pStyle w:val="210"/>
        <w:jc w:val="left"/>
        <w:outlineLvl w:val="2"/>
        <w:rPr>
          <w:rFonts w:hint="default" w:ascii="Times New Roman" w:hAnsi="Times New Roman" w:eastAsia="黑体" w:cs="Times New Roman"/>
          <w:bCs/>
          <w:color w:val="auto"/>
          <w:kern w:val="2"/>
          <w:sz w:val="28"/>
          <w:szCs w:val="32"/>
          <w:highlight w:val="none"/>
          <w:lang w:val="en-US" w:eastAsia="zh-CN" w:bidi="ar-SA"/>
        </w:rPr>
      </w:pPr>
      <w:bookmarkStart w:id="188" w:name="_Toc11144"/>
      <w:r>
        <w:rPr>
          <w:rFonts w:hint="default" w:ascii="Times New Roman" w:hAnsi="Times New Roman" w:eastAsia="黑体" w:cs="Times New Roman"/>
          <w:bCs/>
          <w:color w:val="auto"/>
          <w:kern w:val="2"/>
          <w:sz w:val="28"/>
          <w:szCs w:val="32"/>
          <w:highlight w:val="none"/>
          <w:lang w:val="en-US" w:eastAsia="zh-CN" w:bidi="ar-SA"/>
        </w:rPr>
        <w:t>3.1.6项目总图布置及合理性</w:t>
      </w:r>
      <w:bookmarkEnd w:id="187"/>
      <w:bookmarkEnd w:id="188"/>
    </w:p>
    <w:p w14:paraId="4D7F555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本项目属于新建工程，场区总占地面积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万平方米</w:t>
      </w:r>
      <w:r>
        <w:rPr>
          <w:rFonts w:hint="default" w:ascii="Times New Roman" w:hAnsi="Times New Roman" w:eastAsia="宋体" w:cs="Times New Roman"/>
          <w:color w:val="auto"/>
          <w:highlight w:val="none"/>
        </w:rPr>
        <w:t>，总建筑面积</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万平方米</w:t>
      </w:r>
      <w:r>
        <w:rPr>
          <w:rFonts w:hint="default" w:ascii="Times New Roman" w:hAnsi="Times New Roman" w:eastAsia="宋体" w:cs="Times New Roman"/>
          <w:color w:val="auto"/>
          <w:highlight w:val="none"/>
        </w:rPr>
        <w:t>。场区平面布置见附图</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w:t>
      </w:r>
    </w:p>
    <w:p w14:paraId="63B9099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首先从人畜保健的角度出发，使区间建立最佳生产联系和环境卫生防疫条件，各区域之间设有林带隔开，再考虑地势和主导风向进行分区安排。本地区主导风向为</w:t>
      </w:r>
      <w:r>
        <w:rPr>
          <w:rFonts w:hint="default" w:ascii="Times New Roman" w:hAnsi="Times New Roman" w:eastAsia="宋体" w:cs="Times New Roman"/>
          <w:color w:val="auto"/>
          <w:highlight w:val="none"/>
          <w:lang w:val="en-US" w:eastAsia="zh-CN"/>
        </w:rPr>
        <w:t>西北北</w:t>
      </w:r>
      <w:r>
        <w:rPr>
          <w:rFonts w:hint="default" w:ascii="Times New Roman" w:hAnsi="Times New Roman" w:eastAsia="宋体" w:cs="Times New Roman"/>
          <w:color w:val="auto"/>
          <w:highlight w:val="none"/>
        </w:rPr>
        <w:t>。《畜禽养殖业污染防治技术规范》（HJ/T81-2001）中规定：“新建、改建、扩建的畜禽养殖场应实现生产区、生活管理区的隔离；粪便污水处理设施，应设在养殖场的生产区、生活管理区的常年主导风向的下风向或侧风向处”；“畜禽粪便的贮存设施的位置必须远离各类功能地表水体（距离不得小于400m），并设在养殖场生产及生活管理区的常年主导风向的下风向或侧风向处”。</w:t>
      </w:r>
    </w:p>
    <w:p w14:paraId="099F5CB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占地形状为由北至南的长条形，综合楼</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休息室、机械库</w:t>
      </w:r>
      <w:r>
        <w:rPr>
          <w:rFonts w:hint="default" w:ascii="Times New Roman" w:hAnsi="Times New Roman" w:eastAsia="宋体" w:cs="Times New Roman"/>
          <w:color w:val="auto"/>
          <w:highlight w:val="none"/>
        </w:rPr>
        <w:t>位于场区</w:t>
      </w:r>
      <w:r>
        <w:rPr>
          <w:rFonts w:hint="default" w:ascii="Times New Roman" w:hAnsi="Times New Roman" w:eastAsia="宋体" w:cs="Times New Roman"/>
          <w:color w:val="auto"/>
          <w:highlight w:val="none"/>
          <w:lang w:val="en-US" w:eastAsia="zh-CN"/>
        </w:rPr>
        <w:t>中部</w:t>
      </w:r>
      <w:r>
        <w:rPr>
          <w:rFonts w:hint="default" w:ascii="Times New Roman" w:hAnsi="Times New Roman" w:eastAsia="宋体" w:cs="Times New Roman"/>
          <w:color w:val="auto"/>
          <w:highlight w:val="none"/>
        </w:rPr>
        <w:t>，</w:t>
      </w:r>
      <w:bookmarkStart w:id="189" w:name="_Hlk19604791"/>
      <w:r>
        <w:rPr>
          <w:rFonts w:hint="default" w:ascii="Times New Roman" w:hAnsi="Times New Roman" w:eastAsia="宋体" w:cs="Times New Roman"/>
          <w:color w:val="auto"/>
          <w:highlight w:val="none"/>
          <w:lang w:val="en-US" w:eastAsia="zh-CN"/>
        </w:rPr>
        <w:t>牛舍分别位于厂区南侧，最南侧为粪污处理区（</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初期雨水池位于厂区南侧，</w:t>
      </w:r>
      <w:r>
        <w:rPr>
          <w:rFonts w:hint="default" w:ascii="Times New Roman" w:hAnsi="Times New Roman" w:eastAsia="宋体" w:cs="Times New Roman"/>
          <w:color w:val="auto"/>
          <w:highlight w:val="none"/>
          <w:lang w:val="en-US" w:eastAsia="zh-CN"/>
        </w:rPr>
        <w:t>干草棚、青贮窖及TMR车间精料库位于厂区东侧。本项目生活、生产区位于粪污处理区上风向，便于排通，远离生活区。医疗废物贮存库位于</w:t>
      </w:r>
      <w:r>
        <w:rPr>
          <w:rFonts w:hint="eastAsia" w:eastAsia="宋体" w:cs="Times New Roman"/>
          <w:color w:val="auto"/>
          <w:highlight w:val="none"/>
          <w:lang w:val="en-US" w:eastAsia="zh-CN"/>
        </w:rPr>
        <w:t>兽医室内，位于厂区北侧</w:t>
      </w:r>
      <w:r>
        <w:rPr>
          <w:rFonts w:hint="default" w:ascii="Times New Roman" w:hAnsi="Times New Roman" w:eastAsia="宋体" w:cs="Times New Roman"/>
          <w:color w:val="auto"/>
          <w:highlight w:val="none"/>
          <w:lang w:val="en-US" w:eastAsia="zh-CN"/>
        </w:rPr>
        <w:t>，本项目不设置填埋井或畜禽尸体焚烧炉。本项目场区平面布置图见</w:t>
      </w:r>
      <w:bookmarkEnd w:id="189"/>
      <w:r>
        <w:rPr>
          <w:rFonts w:hint="default" w:ascii="Times New Roman" w:hAnsi="Times New Roman" w:eastAsia="宋体" w:cs="Times New Roman"/>
          <w:color w:val="auto"/>
          <w:highlight w:val="none"/>
          <w:lang w:val="en-US" w:eastAsia="zh-CN"/>
        </w:rPr>
        <w:t>附图</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w:t>
      </w:r>
    </w:p>
    <w:p w14:paraId="754D47F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之，该项目在平面布置上保证各功能区布置相对独立，项目运行过程中通过合理组织功能分区，合理组织交通运输使物料运输方便快捷，保证生产工艺流程畅通。场区平面布置符合环境保护、安全生产、卫生防疫、绿化与工业企业卫生要求。</w:t>
      </w:r>
    </w:p>
    <w:p w14:paraId="1275DAA8">
      <w:pPr>
        <w:adjustRightInd w:val="0"/>
        <w:snapToGrid w:val="0"/>
        <w:spacing w:line="500" w:lineRule="exact"/>
        <w:ind w:firstLine="480" w:firstLineChars="200"/>
        <w:rPr>
          <w:rFonts w:hint="default" w:ascii="Times New Roman" w:hAnsi="Times New Roman" w:eastAsia="仿宋" w:cs="Times New Roman"/>
          <w:snapToGrid w:val="0"/>
          <w:color w:val="auto"/>
          <w:kern w:val="0"/>
          <w:sz w:val="24"/>
          <w:szCs w:val="22"/>
          <w:highlight w:val="none"/>
          <w:lang w:val="en-US" w:eastAsia="zh-CN" w:bidi="ar-SA"/>
        </w:rPr>
      </w:pPr>
      <w:bookmarkStart w:id="190" w:name="_Toc202081622"/>
      <w:bookmarkStart w:id="191" w:name="_Toc202411176"/>
      <w:bookmarkStart w:id="192" w:name="_Toc202067548"/>
      <w:bookmarkStart w:id="193" w:name="_Toc202067246"/>
      <w:bookmarkStart w:id="194" w:name="_Toc202285038"/>
      <w:bookmarkStart w:id="195" w:name="_Toc204228961"/>
      <w:bookmarkStart w:id="196" w:name="_Toc202067665"/>
      <w:bookmarkStart w:id="197" w:name="_Toc202068343"/>
      <w:r>
        <w:rPr>
          <w:rFonts w:hint="default" w:ascii="Times New Roman" w:hAnsi="Times New Roman" w:eastAsia="宋体" w:cs="Times New Roman"/>
          <w:snapToGrid w:val="0"/>
          <w:color w:val="auto"/>
          <w:kern w:val="0"/>
          <w:sz w:val="24"/>
          <w:szCs w:val="22"/>
          <w:highlight w:val="none"/>
          <w:lang w:val="en-US" w:eastAsia="zh-CN" w:bidi="ar-SA"/>
        </w:rPr>
        <w:t>综上所述，本项目场区平面布局合理，满足《畜禽养殖业污染防治技术规范》（HJ/T81-2001）中的要求。</w:t>
      </w:r>
    </w:p>
    <w:p w14:paraId="721159FD">
      <w:pPr>
        <w:pStyle w:val="5"/>
        <w:spacing w:line="500" w:lineRule="exact"/>
        <w:rPr>
          <w:rFonts w:hint="default" w:ascii="Times New Roman" w:hAnsi="Times New Roman" w:cs="Times New Roman"/>
          <w:color w:val="auto"/>
          <w:highlight w:val="none"/>
          <w:lang w:val="en-US"/>
        </w:rPr>
      </w:pPr>
      <w:bookmarkStart w:id="198" w:name="_Toc23863"/>
      <w:r>
        <w:rPr>
          <w:rFonts w:hint="default" w:ascii="Times New Roman" w:hAnsi="Times New Roman" w:cs="Times New Roman"/>
          <w:color w:val="auto"/>
          <w:highlight w:val="none"/>
        </w:rPr>
        <w:t>3.1.</w:t>
      </w:r>
      <w:r>
        <w:rPr>
          <w:rFonts w:hint="default" w:ascii="Times New Roman" w:hAnsi="Times New Roman" w:cs="Times New Roman"/>
          <w:color w:val="auto"/>
          <w:highlight w:val="none"/>
          <w:lang w:val="en-US" w:eastAsia="zh-CN"/>
        </w:rPr>
        <w:t>7土方平衡</w:t>
      </w:r>
      <w:bookmarkEnd w:id="198"/>
    </w:p>
    <w:p w14:paraId="304A7011">
      <w:pPr>
        <w:adjustRightInd w:val="0"/>
        <w:snapToGrid w:val="0"/>
        <w:spacing w:line="500" w:lineRule="exact"/>
        <w:ind w:firstLine="480" w:firstLineChars="200"/>
        <w:rPr>
          <w:rFonts w:hint="default" w:ascii="Times New Roman" w:hAnsi="Times New Roman" w:eastAsia="宋体" w:cs="Times New Roman"/>
          <w:snapToGrid w:val="0"/>
          <w:color w:val="auto"/>
          <w:kern w:val="0"/>
          <w:sz w:val="24"/>
          <w:szCs w:val="22"/>
          <w:highlight w:val="none"/>
          <w:lang w:val="en-US" w:eastAsia="zh-CN" w:bidi="ar-SA"/>
        </w:rPr>
      </w:pPr>
      <w:r>
        <w:rPr>
          <w:rFonts w:hint="default" w:ascii="Times New Roman" w:hAnsi="Times New Roman" w:eastAsia="宋体" w:cs="Times New Roman"/>
          <w:snapToGrid w:val="0"/>
          <w:color w:val="auto"/>
          <w:kern w:val="0"/>
          <w:sz w:val="24"/>
          <w:szCs w:val="22"/>
          <w:highlight w:val="none"/>
          <w:lang w:val="en-US" w:eastAsia="zh-CN" w:bidi="ar-SA"/>
        </w:rPr>
        <w:t>本工程土石方调运坚持尽量减少取、弃方量的原则，土石方工程主要集中在</w:t>
      </w:r>
      <w:r>
        <w:rPr>
          <w:rFonts w:hint="eastAsia" w:cs="Times New Roman"/>
          <w:snapToGrid w:val="0"/>
          <w:color w:val="auto"/>
          <w:kern w:val="0"/>
          <w:sz w:val="24"/>
          <w:szCs w:val="22"/>
          <w:highlight w:val="none"/>
          <w:lang w:val="en-US" w:eastAsia="zh-CN" w:bidi="ar-SA"/>
        </w:rPr>
        <w:t>初期雨水收集池、</w:t>
      </w:r>
      <w:r>
        <w:rPr>
          <w:rFonts w:hint="default" w:ascii="Times New Roman" w:hAnsi="Times New Roman" w:eastAsia="宋体" w:cs="Times New Roman"/>
          <w:snapToGrid w:val="0"/>
          <w:color w:val="auto"/>
          <w:kern w:val="0"/>
          <w:sz w:val="24"/>
          <w:szCs w:val="22"/>
          <w:highlight w:val="none"/>
          <w:lang w:val="en-US" w:eastAsia="zh-CN" w:bidi="ar-SA"/>
        </w:rPr>
        <w:t>青贮窖等工程，工程采用水平定向钻施工，大大减少临时占地面积及弃土量，缩短工期，因此开挖方</w:t>
      </w:r>
      <w:r>
        <w:rPr>
          <w:rFonts w:hint="default" w:ascii="Times New Roman" w:hAnsi="Times New Roman" w:eastAsia="宋体" w:cs="Times New Roman"/>
          <w:color w:val="auto"/>
          <w:highlight w:val="none"/>
          <w:lang w:val="en-US" w:eastAsia="zh-CN"/>
        </w:rPr>
        <w:t>105810.2</w:t>
      </w:r>
      <w:r>
        <w:rPr>
          <w:rFonts w:hint="default" w:ascii="Times New Roman" w:hAnsi="Times New Roman" w:eastAsia="宋体" w:cs="Times New Roman"/>
          <w:snapToGrid w:val="0"/>
          <w:color w:val="auto"/>
          <w:kern w:val="0"/>
          <w:sz w:val="24"/>
          <w:szCs w:val="22"/>
          <w:highlight w:val="none"/>
          <w:lang w:val="en-US" w:eastAsia="zh-CN" w:bidi="ar-SA"/>
        </w:rPr>
        <w:t>m</w:t>
      </w:r>
      <w:r>
        <w:rPr>
          <w:rFonts w:hint="default" w:ascii="Times New Roman" w:hAnsi="Times New Roman" w:eastAsia="宋体" w:cs="Times New Roman"/>
          <w:snapToGrid w:val="0"/>
          <w:color w:val="auto"/>
          <w:kern w:val="0"/>
          <w:sz w:val="24"/>
          <w:szCs w:val="22"/>
          <w:highlight w:val="none"/>
          <w:vertAlign w:val="superscript"/>
          <w:lang w:val="en-US" w:eastAsia="zh-CN" w:bidi="ar-SA"/>
        </w:rPr>
        <w:t>3</w:t>
      </w:r>
      <w:r>
        <w:rPr>
          <w:rFonts w:hint="default" w:ascii="Times New Roman" w:hAnsi="Times New Roman" w:eastAsia="宋体" w:cs="Times New Roman"/>
          <w:snapToGrid w:val="0"/>
          <w:color w:val="auto"/>
          <w:kern w:val="0"/>
          <w:sz w:val="24"/>
          <w:szCs w:val="22"/>
          <w:highlight w:val="none"/>
          <w:lang w:val="en-US" w:eastAsia="zh-CN" w:bidi="ar-SA"/>
        </w:rPr>
        <w:t>，回填土方</w:t>
      </w:r>
      <w:r>
        <w:rPr>
          <w:rFonts w:hint="default" w:ascii="Times New Roman" w:hAnsi="Times New Roman" w:eastAsia="宋体" w:cs="Times New Roman"/>
          <w:color w:val="auto"/>
          <w:highlight w:val="none"/>
          <w:lang w:val="en-US" w:eastAsia="zh-CN"/>
        </w:rPr>
        <w:t>255685.6</w:t>
      </w:r>
      <w:r>
        <w:rPr>
          <w:rFonts w:hint="default" w:ascii="Times New Roman" w:hAnsi="Times New Roman" w:eastAsia="宋体" w:cs="Times New Roman"/>
          <w:snapToGrid w:val="0"/>
          <w:color w:val="auto"/>
          <w:kern w:val="0"/>
          <w:sz w:val="24"/>
          <w:szCs w:val="22"/>
          <w:highlight w:val="none"/>
          <w:lang w:val="en-US" w:eastAsia="zh-CN" w:bidi="ar-SA"/>
        </w:rPr>
        <w:t>m</w:t>
      </w:r>
      <w:r>
        <w:rPr>
          <w:rFonts w:hint="default" w:ascii="Times New Roman" w:hAnsi="Times New Roman" w:eastAsia="宋体" w:cs="Times New Roman"/>
          <w:snapToGrid w:val="0"/>
          <w:color w:val="auto"/>
          <w:kern w:val="0"/>
          <w:sz w:val="24"/>
          <w:szCs w:val="22"/>
          <w:highlight w:val="none"/>
          <w:vertAlign w:val="superscript"/>
          <w:lang w:val="en-US" w:eastAsia="zh-CN" w:bidi="ar-SA"/>
        </w:rPr>
        <w:t>3</w:t>
      </w:r>
      <w:r>
        <w:rPr>
          <w:rFonts w:hint="default" w:ascii="Times New Roman" w:hAnsi="Times New Roman" w:eastAsia="宋体" w:cs="Times New Roman"/>
          <w:snapToGrid w:val="0"/>
          <w:color w:val="auto"/>
          <w:kern w:val="0"/>
          <w:sz w:val="24"/>
          <w:szCs w:val="22"/>
          <w:highlight w:val="none"/>
          <w:lang w:val="en-US" w:eastAsia="zh-CN" w:bidi="ar-SA"/>
        </w:rPr>
        <w:t>，表土剥离</w:t>
      </w:r>
      <w:r>
        <w:rPr>
          <w:rFonts w:hint="eastAsia" w:cs="Times New Roman"/>
          <w:snapToGrid w:val="0"/>
          <w:color w:val="auto"/>
          <w:kern w:val="0"/>
          <w:sz w:val="24"/>
          <w:szCs w:val="22"/>
          <w:highlight w:val="none"/>
          <w:lang w:val="en-US" w:eastAsia="zh-CN" w:bidi="ar-SA"/>
        </w:rPr>
        <w:t>厚度为30cm，</w:t>
      </w:r>
      <w:r>
        <w:rPr>
          <w:rFonts w:hint="default" w:ascii="Times New Roman" w:hAnsi="Times New Roman" w:eastAsia="宋体" w:cs="Times New Roman"/>
          <w:snapToGrid w:val="0"/>
          <w:color w:val="auto"/>
          <w:kern w:val="0"/>
          <w:sz w:val="24"/>
          <w:szCs w:val="22"/>
          <w:highlight w:val="none"/>
          <w:lang w:val="en-US" w:eastAsia="zh-CN" w:bidi="ar-SA"/>
        </w:rPr>
        <w:t>黑土地运往市政规定存储场所，利用率100%，无弃方。</w:t>
      </w:r>
    </w:p>
    <w:p w14:paraId="36622AA9">
      <w:pPr>
        <w:adjustRightInd w:val="0"/>
        <w:snapToGrid w:val="0"/>
        <w:spacing w:line="500" w:lineRule="exact"/>
        <w:ind w:firstLine="480" w:firstLineChars="200"/>
        <w:rPr>
          <w:rFonts w:hint="default" w:ascii="Times New Roman" w:hAnsi="Times New Roman" w:eastAsia="宋体" w:cs="Times New Roman"/>
          <w:snapToGrid w:val="0"/>
          <w:color w:val="auto"/>
          <w:kern w:val="0"/>
          <w:sz w:val="24"/>
          <w:szCs w:val="22"/>
          <w:highlight w:val="none"/>
          <w:lang w:val="en-US" w:eastAsia="zh-CN" w:bidi="ar-SA"/>
        </w:rPr>
      </w:pPr>
      <w:r>
        <w:rPr>
          <w:rFonts w:hint="default" w:ascii="Times New Roman" w:hAnsi="Times New Roman" w:eastAsia="宋体" w:cs="Times New Roman"/>
          <w:snapToGrid w:val="0"/>
          <w:color w:val="auto"/>
          <w:kern w:val="0"/>
          <w:sz w:val="24"/>
          <w:szCs w:val="22"/>
          <w:highlight w:val="none"/>
          <w:lang w:val="en-US" w:eastAsia="zh-CN" w:bidi="ar-SA"/>
        </w:rPr>
        <w:t>本项目挖方用于场地平整，本工程土石方平衡见下表。</w:t>
      </w:r>
    </w:p>
    <w:p w14:paraId="0B89DDC2">
      <w:pPr>
        <w:pStyle w:val="210"/>
        <w:rPr>
          <w:rFonts w:hint="default" w:ascii="Times New Roman" w:hAnsi="Times New Roman" w:cs="Times New Roman"/>
          <w:snapToGrid w:val="0"/>
          <w:color w:val="auto"/>
          <w:kern w:val="0"/>
          <w:highlight w:val="none"/>
          <w:vertAlign w:val="superscript"/>
        </w:rPr>
      </w:pPr>
      <w:bookmarkStart w:id="199" w:name="_Hlk77337319"/>
      <w:r>
        <w:rPr>
          <w:rFonts w:hint="default" w:ascii="Times New Roman" w:hAnsi="Times New Roman" w:cs="Times New Roman"/>
          <w:snapToGrid w:val="0"/>
          <w:color w:val="auto"/>
          <w:kern w:val="0"/>
          <w:highlight w:val="none"/>
        </w:rPr>
        <w:t>表3-</w:t>
      </w:r>
      <w:r>
        <w:rPr>
          <w:rFonts w:hint="eastAsia" w:cs="Times New Roman"/>
          <w:snapToGrid w:val="0"/>
          <w:color w:val="auto"/>
          <w:kern w:val="0"/>
          <w:highlight w:val="none"/>
          <w:lang w:val="en-US" w:eastAsia="zh-CN"/>
        </w:rPr>
        <w:t>1</w:t>
      </w:r>
      <w:r>
        <w:rPr>
          <w:rFonts w:hint="default" w:ascii="Times New Roman" w:hAnsi="Times New Roman" w:cs="Times New Roman"/>
          <w:snapToGrid w:val="0"/>
          <w:color w:val="auto"/>
          <w:kern w:val="0"/>
          <w:highlight w:val="none"/>
        </w:rPr>
        <w:t>-</w:t>
      </w:r>
      <w:r>
        <w:rPr>
          <w:rFonts w:hint="eastAsia" w:cs="Times New Roman"/>
          <w:snapToGrid w:val="0"/>
          <w:color w:val="auto"/>
          <w:kern w:val="0"/>
          <w:highlight w:val="none"/>
          <w:lang w:val="en-US" w:eastAsia="zh-CN"/>
        </w:rPr>
        <w:t>5</w:t>
      </w:r>
      <w:r>
        <w:rPr>
          <w:rFonts w:hint="default" w:ascii="Times New Roman" w:hAnsi="Times New Roman" w:cs="Times New Roman"/>
          <w:snapToGrid w:val="0"/>
          <w:color w:val="auto"/>
          <w:kern w:val="0"/>
          <w:highlight w:val="none"/>
        </w:rPr>
        <w:t>工程土石方平衡表    单位：m</w:t>
      </w:r>
      <w:r>
        <w:rPr>
          <w:rFonts w:hint="default" w:ascii="Times New Roman" w:hAnsi="Times New Roman" w:cs="Times New Roman"/>
          <w:snapToGrid w:val="0"/>
          <w:color w:val="auto"/>
          <w:kern w:val="0"/>
          <w:highlight w:val="none"/>
          <w:vertAlign w:val="superscript"/>
        </w:rPr>
        <w:t>3</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646"/>
        <w:gridCol w:w="640"/>
        <w:gridCol w:w="1125"/>
        <w:gridCol w:w="1049"/>
        <w:gridCol w:w="895"/>
        <w:gridCol w:w="1049"/>
        <w:gridCol w:w="1320"/>
        <w:gridCol w:w="706"/>
      </w:tblGrid>
      <w:tr w14:paraId="5C82C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970" w:type="dxa"/>
            <w:vMerge w:val="restart"/>
            <w:tcBorders>
              <w:tl2br w:val="nil"/>
              <w:tr2bl w:val="nil"/>
            </w:tcBorders>
            <w:noWrap w:val="0"/>
            <w:vAlign w:val="center"/>
          </w:tcPr>
          <w:p w14:paraId="41E6F94F">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w:t>
            </w:r>
          </w:p>
        </w:tc>
        <w:tc>
          <w:tcPr>
            <w:tcW w:w="1456" w:type="dxa"/>
            <w:gridSpan w:val="2"/>
            <w:vMerge w:val="restart"/>
            <w:tcBorders>
              <w:tl2br w:val="nil"/>
              <w:tr2bl w:val="nil"/>
            </w:tcBorders>
            <w:noWrap w:val="0"/>
            <w:vAlign w:val="center"/>
          </w:tcPr>
          <w:p w14:paraId="5B7E554D">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性质</w:t>
            </w:r>
          </w:p>
        </w:tc>
        <w:tc>
          <w:tcPr>
            <w:tcW w:w="5390" w:type="dxa"/>
            <w:gridSpan w:val="5"/>
            <w:tcBorders>
              <w:tl2br w:val="nil"/>
              <w:tr2bl w:val="nil"/>
            </w:tcBorders>
            <w:noWrap w:val="0"/>
            <w:vAlign w:val="center"/>
          </w:tcPr>
          <w:p w14:paraId="510A44B7">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土石方平衡量（</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w:t>
            </w:r>
          </w:p>
        </w:tc>
        <w:tc>
          <w:tcPr>
            <w:tcW w:w="0" w:type="auto"/>
            <w:vMerge w:val="restart"/>
            <w:tcBorders>
              <w:tl2br w:val="nil"/>
              <w:tr2bl w:val="nil"/>
            </w:tcBorders>
            <w:noWrap w:val="0"/>
            <w:vAlign w:val="center"/>
          </w:tcPr>
          <w:p w14:paraId="69392A60">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利用率</w:t>
            </w:r>
          </w:p>
        </w:tc>
      </w:tr>
      <w:tr w14:paraId="01F29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970" w:type="dxa"/>
            <w:vMerge w:val="continue"/>
            <w:tcBorders>
              <w:tl2br w:val="nil"/>
              <w:tr2bl w:val="nil"/>
            </w:tcBorders>
            <w:noWrap w:val="0"/>
            <w:vAlign w:val="center"/>
          </w:tcPr>
          <w:p w14:paraId="7A9E4719">
            <w:pPr>
              <w:pStyle w:val="146"/>
              <w:spacing w:line="240" w:lineRule="auto"/>
              <w:rPr>
                <w:rFonts w:hint="default" w:ascii="Times New Roman" w:hAnsi="Times New Roman" w:eastAsia="宋体" w:cs="Times New Roman"/>
                <w:color w:val="auto"/>
                <w:highlight w:val="none"/>
                <w:lang w:val="en-US" w:eastAsia="zh-CN"/>
              </w:rPr>
            </w:pPr>
          </w:p>
        </w:tc>
        <w:tc>
          <w:tcPr>
            <w:tcW w:w="1456" w:type="dxa"/>
            <w:gridSpan w:val="2"/>
            <w:vMerge w:val="continue"/>
            <w:tcBorders>
              <w:tl2br w:val="nil"/>
              <w:tr2bl w:val="nil"/>
            </w:tcBorders>
            <w:noWrap w:val="0"/>
            <w:vAlign w:val="center"/>
          </w:tcPr>
          <w:p w14:paraId="6513F086">
            <w:pPr>
              <w:pStyle w:val="146"/>
              <w:spacing w:line="240" w:lineRule="auto"/>
              <w:rPr>
                <w:rFonts w:hint="default" w:ascii="Times New Roman" w:hAnsi="Times New Roman" w:eastAsia="宋体" w:cs="Times New Roman"/>
                <w:color w:val="auto"/>
                <w:highlight w:val="none"/>
                <w:lang w:val="en-US" w:eastAsia="zh-CN"/>
              </w:rPr>
            </w:pPr>
          </w:p>
        </w:tc>
        <w:tc>
          <w:tcPr>
            <w:tcW w:w="1131" w:type="dxa"/>
            <w:tcBorders>
              <w:tl2br w:val="nil"/>
              <w:tr2bl w:val="nil"/>
            </w:tcBorders>
            <w:noWrap w:val="0"/>
            <w:vAlign w:val="center"/>
          </w:tcPr>
          <w:p w14:paraId="0363C40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挖方</w:t>
            </w:r>
          </w:p>
        </w:tc>
        <w:tc>
          <w:tcPr>
            <w:tcW w:w="1067" w:type="dxa"/>
            <w:tcBorders>
              <w:tl2br w:val="nil"/>
              <w:tr2bl w:val="nil"/>
            </w:tcBorders>
            <w:noWrap w:val="0"/>
            <w:vAlign w:val="center"/>
          </w:tcPr>
          <w:p w14:paraId="450F32E1">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填方</w:t>
            </w:r>
          </w:p>
        </w:tc>
        <w:tc>
          <w:tcPr>
            <w:tcW w:w="955" w:type="dxa"/>
            <w:tcBorders>
              <w:tl2br w:val="nil"/>
              <w:tr2bl w:val="nil"/>
            </w:tcBorders>
            <w:noWrap w:val="0"/>
            <w:vAlign w:val="center"/>
          </w:tcPr>
          <w:p w14:paraId="68DE2FDE">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利用方</w:t>
            </w:r>
          </w:p>
        </w:tc>
        <w:tc>
          <w:tcPr>
            <w:tcW w:w="1067" w:type="dxa"/>
            <w:tcBorders>
              <w:tl2br w:val="nil"/>
              <w:tr2bl w:val="nil"/>
            </w:tcBorders>
            <w:noWrap w:val="0"/>
            <w:vAlign w:val="center"/>
          </w:tcPr>
          <w:p w14:paraId="4DF74E64">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借方</w:t>
            </w:r>
          </w:p>
        </w:tc>
        <w:tc>
          <w:tcPr>
            <w:tcW w:w="0" w:type="auto"/>
            <w:tcBorders>
              <w:tl2br w:val="nil"/>
              <w:tr2bl w:val="nil"/>
            </w:tcBorders>
            <w:noWrap w:val="0"/>
            <w:vAlign w:val="center"/>
          </w:tcPr>
          <w:p w14:paraId="29568263">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利用部位</w:t>
            </w:r>
          </w:p>
        </w:tc>
        <w:tc>
          <w:tcPr>
            <w:tcW w:w="0" w:type="auto"/>
            <w:vMerge w:val="continue"/>
            <w:tcBorders>
              <w:tl2br w:val="nil"/>
              <w:tr2bl w:val="nil"/>
            </w:tcBorders>
            <w:noWrap w:val="0"/>
            <w:vAlign w:val="center"/>
          </w:tcPr>
          <w:p w14:paraId="13F8318B">
            <w:pPr>
              <w:pStyle w:val="146"/>
              <w:spacing w:line="240" w:lineRule="auto"/>
              <w:rPr>
                <w:rFonts w:hint="default" w:ascii="Times New Roman" w:hAnsi="Times New Roman" w:eastAsia="宋体" w:cs="Times New Roman"/>
                <w:color w:val="auto"/>
                <w:highlight w:val="none"/>
                <w:lang w:val="en-US" w:eastAsia="zh-CN"/>
              </w:rPr>
            </w:pPr>
          </w:p>
        </w:tc>
      </w:tr>
      <w:tr w14:paraId="557F0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970" w:type="dxa"/>
            <w:vMerge w:val="restart"/>
            <w:tcBorders>
              <w:tl2br w:val="nil"/>
              <w:tr2bl w:val="nil"/>
            </w:tcBorders>
            <w:noWrap w:val="0"/>
            <w:vAlign w:val="center"/>
          </w:tcPr>
          <w:p w14:paraId="4011D9D3">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初期雨水收集池</w:t>
            </w:r>
          </w:p>
        </w:tc>
        <w:tc>
          <w:tcPr>
            <w:tcW w:w="732" w:type="dxa"/>
            <w:vMerge w:val="restart"/>
            <w:tcBorders>
              <w:tl2br w:val="nil"/>
              <w:tr2bl w:val="nil"/>
            </w:tcBorders>
            <w:noWrap w:val="0"/>
            <w:vAlign w:val="center"/>
          </w:tcPr>
          <w:p w14:paraId="16A2BF06">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2CD6D529">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1B1FB2E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4022.493</w:t>
            </w:r>
          </w:p>
        </w:tc>
        <w:tc>
          <w:tcPr>
            <w:tcW w:w="1067" w:type="dxa"/>
            <w:tcBorders>
              <w:tl2br w:val="nil"/>
              <w:tr2bl w:val="nil"/>
            </w:tcBorders>
            <w:noWrap w:val="0"/>
            <w:vAlign w:val="center"/>
          </w:tcPr>
          <w:p w14:paraId="717BD83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658CD992">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7001514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604A8427">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0E8A484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26AF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970" w:type="dxa"/>
            <w:vMerge w:val="continue"/>
            <w:tcBorders>
              <w:tl2br w:val="nil"/>
              <w:tr2bl w:val="nil"/>
            </w:tcBorders>
            <w:noWrap w:val="0"/>
            <w:vAlign w:val="center"/>
          </w:tcPr>
          <w:p w14:paraId="34757BE7">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3535C600">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2C703A1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740DC4CB">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49610.747</w:t>
            </w:r>
          </w:p>
        </w:tc>
        <w:tc>
          <w:tcPr>
            <w:tcW w:w="1067" w:type="dxa"/>
            <w:tcBorders>
              <w:tl2br w:val="nil"/>
              <w:tr2bl w:val="nil"/>
            </w:tcBorders>
            <w:noWrap w:val="0"/>
            <w:vAlign w:val="center"/>
          </w:tcPr>
          <w:p w14:paraId="0D23F4B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2BA21B7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639C7FAF">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70965326">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厂区道路平整</w:t>
            </w:r>
          </w:p>
        </w:tc>
        <w:tc>
          <w:tcPr>
            <w:tcW w:w="0" w:type="auto"/>
            <w:tcBorders>
              <w:tl2br w:val="nil"/>
              <w:tr2bl w:val="nil"/>
            </w:tcBorders>
            <w:noWrap w:val="0"/>
            <w:vAlign w:val="center"/>
          </w:tcPr>
          <w:p w14:paraId="55D0A078">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w:t>
            </w:r>
          </w:p>
        </w:tc>
      </w:tr>
      <w:tr w14:paraId="7B6F7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0" w:type="dxa"/>
            <w:vMerge w:val="restart"/>
            <w:tcBorders>
              <w:tl2br w:val="nil"/>
              <w:tr2bl w:val="nil"/>
            </w:tcBorders>
            <w:noWrap w:val="0"/>
            <w:vAlign w:val="center"/>
          </w:tcPr>
          <w:p w14:paraId="3C1325D1">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青贮窖</w:t>
            </w:r>
          </w:p>
        </w:tc>
        <w:tc>
          <w:tcPr>
            <w:tcW w:w="732" w:type="dxa"/>
            <w:vMerge w:val="restart"/>
            <w:tcBorders>
              <w:tl2br w:val="nil"/>
              <w:tr2bl w:val="nil"/>
            </w:tcBorders>
            <w:noWrap w:val="0"/>
            <w:vAlign w:val="center"/>
          </w:tcPr>
          <w:p w14:paraId="13C46731">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0C12F4E7">
            <w:pPr>
              <w:pStyle w:val="146"/>
              <w:spacing w:line="240" w:lineRule="auto"/>
              <w:rPr>
                <w:rFonts w:hint="default"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2874EE57">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1920</w:t>
            </w:r>
          </w:p>
        </w:tc>
        <w:tc>
          <w:tcPr>
            <w:tcW w:w="1067" w:type="dxa"/>
            <w:tcBorders>
              <w:tl2br w:val="nil"/>
              <w:tr2bl w:val="nil"/>
            </w:tcBorders>
            <w:noWrap w:val="0"/>
            <w:vAlign w:val="center"/>
          </w:tcPr>
          <w:p w14:paraId="479B76E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72CFE61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1E106B6F">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49A0A456">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496EBCA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6E4C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970" w:type="dxa"/>
            <w:vMerge w:val="continue"/>
            <w:tcBorders>
              <w:tl2br w:val="nil"/>
              <w:tr2bl w:val="nil"/>
            </w:tcBorders>
            <w:noWrap w:val="0"/>
            <w:vAlign w:val="center"/>
          </w:tcPr>
          <w:p w14:paraId="5002959B">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17F669F5">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393C9BAF">
            <w:pPr>
              <w:pStyle w:val="146"/>
              <w:spacing w:line="240" w:lineRule="auto"/>
              <w:rPr>
                <w:rFonts w:hint="default"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7DCF6B3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16000</w:t>
            </w:r>
          </w:p>
        </w:tc>
        <w:tc>
          <w:tcPr>
            <w:tcW w:w="1067" w:type="dxa"/>
            <w:tcBorders>
              <w:tl2br w:val="nil"/>
              <w:tr2bl w:val="nil"/>
            </w:tcBorders>
            <w:noWrap w:val="0"/>
            <w:vAlign w:val="center"/>
          </w:tcPr>
          <w:p w14:paraId="56B68990">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0F013E8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077CB492">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409EDC58">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牛舍场地平整</w:t>
            </w:r>
          </w:p>
        </w:tc>
        <w:tc>
          <w:tcPr>
            <w:tcW w:w="0" w:type="auto"/>
            <w:tcBorders>
              <w:tl2br w:val="nil"/>
              <w:tr2bl w:val="nil"/>
            </w:tcBorders>
            <w:shd w:val="clear" w:color="auto" w:fill="auto"/>
            <w:noWrap w:val="0"/>
            <w:vAlign w:val="center"/>
          </w:tcPr>
          <w:p w14:paraId="369CD1CA">
            <w:pPr>
              <w:pStyle w:val="146"/>
              <w:spacing w:line="240" w:lineRule="auto"/>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100%</w:t>
            </w:r>
          </w:p>
        </w:tc>
      </w:tr>
      <w:tr w14:paraId="594C66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7107F1AC">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化粪池</w:t>
            </w:r>
          </w:p>
        </w:tc>
        <w:tc>
          <w:tcPr>
            <w:tcW w:w="732" w:type="dxa"/>
            <w:vMerge w:val="restart"/>
            <w:tcBorders>
              <w:tl2br w:val="nil"/>
              <w:tr2bl w:val="nil"/>
            </w:tcBorders>
            <w:shd w:val="clear" w:color="auto" w:fill="auto"/>
            <w:noWrap w:val="0"/>
            <w:vAlign w:val="center"/>
          </w:tcPr>
          <w:p w14:paraId="5228206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2CC40C39">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4DB88B37">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w:t>
            </w:r>
          </w:p>
        </w:tc>
        <w:tc>
          <w:tcPr>
            <w:tcW w:w="1067" w:type="dxa"/>
            <w:tcBorders>
              <w:tl2br w:val="nil"/>
              <w:tr2bl w:val="nil"/>
            </w:tcBorders>
            <w:noWrap w:val="0"/>
            <w:vAlign w:val="center"/>
          </w:tcPr>
          <w:p w14:paraId="5117E1C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382D5A7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2E770A8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0D349EA9">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6BCE9EAF">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2D575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5D493325">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6300F9F4">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669B2D72">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07D2368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w:t>
            </w:r>
          </w:p>
        </w:tc>
        <w:tc>
          <w:tcPr>
            <w:tcW w:w="1067" w:type="dxa"/>
            <w:tcBorders>
              <w:tl2br w:val="nil"/>
              <w:tr2bl w:val="nil"/>
            </w:tcBorders>
            <w:noWrap w:val="0"/>
            <w:vAlign w:val="center"/>
          </w:tcPr>
          <w:p w14:paraId="566AE56F">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023D430D">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759FA95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76ACF492">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厂区平整</w:t>
            </w:r>
          </w:p>
        </w:tc>
        <w:tc>
          <w:tcPr>
            <w:tcW w:w="0" w:type="auto"/>
            <w:tcBorders>
              <w:tl2br w:val="nil"/>
              <w:tr2bl w:val="nil"/>
            </w:tcBorders>
            <w:noWrap w:val="0"/>
            <w:vAlign w:val="center"/>
          </w:tcPr>
          <w:p w14:paraId="2D57B8E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100%</w:t>
            </w:r>
          </w:p>
        </w:tc>
      </w:tr>
      <w:tr w14:paraId="26EFD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6DA2BD97">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牛舍</w:t>
            </w:r>
          </w:p>
        </w:tc>
        <w:tc>
          <w:tcPr>
            <w:tcW w:w="732" w:type="dxa"/>
            <w:vMerge w:val="restart"/>
            <w:tcBorders>
              <w:tl2br w:val="nil"/>
              <w:tr2bl w:val="nil"/>
            </w:tcBorders>
            <w:shd w:val="clear" w:color="auto" w:fill="auto"/>
            <w:noWrap w:val="0"/>
            <w:vAlign w:val="center"/>
          </w:tcPr>
          <w:p w14:paraId="06C59298">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71B0B8F0">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14F68078">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15648.276</w:t>
            </w:r>
          </w:p>
        </w:tc>
        <w:tc>
          <w:tcPr>
            <w:tcW w:w="1067" w:type="dxa"/>
            <w:tcBorders>
              <w:tl2br w:val="nil"/>
              <w:tr2bl w:val="nil"/>
            </w:tcBorders>
            <w:noWrap w:val="0"/>
            <w:vAlign w:val="center"/>
          </w:tcPr>
          <w:p w14:paraId="743FC140">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5881230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30EEC54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shd w:val="clear" w:color="auto" w:fill="auto"/>
            <w:noWrap w:val="0"/>
            <w:vAlign w:val="center"/>
          </w:tcPr>
          <w:p w14:paraId="2A05709E">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shd w:val="clear" w:color="auto" w:fill="auto"/>
            <w:noWrap w:val="0"/>
            <w:vAlign w:val="center"/>
          </w:tcPr>
          <w:p w14:paraId="3112F0E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4481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5C0B5AEB">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11C49ADE">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699772C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2B28B1E7">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748418E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52694</w:t>
            </w:r>
          </w:p>
        </w:tc>
        <w:tc>
          <w:tcPr>
            <w:tcW w:w="955" w:type="dxa"/>
            <w:tcBorders>
              <w:tl2br w:val="nil"/>
              <w:tr2bl w:val="nil"/>
            </w:tcBorders>
            <w:noWrap w:val="0"/>
            <w:vAlign w:val="center"/>
          </w:tcPr>
          <w:p w14:paraId="5381EFA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52694</w:t>
            </w:r>
          </w:p>
        </w:tc>
        <w:tc>
          <w:tcPr>
            <w:tcW w:w="1067" w:type="dxa"/>
            <w:tcBorders>
              <w:tl2br w:val="nil"/>
              <w:tr2bl w:val="nil"/>
            </w:tcBorders>
            <w:noWrap w:val="0"/>
            <w:vAlign w:val="center"/>
          </w:tcPr>
          <w:p w14:paraId="2B2D362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058BE9C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50DF5B4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DBAC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0" w:type="dxa"/>
            <w:vMerge w:val="restart"/>
            <w:tcBorders>
              <w:tl2br w:val="nil"/>
              <w:tr2bl w:val="nil"/>
            </w:tcBorders>
            <w:noWrap w:val="0"/>
            <w:vAlign w:val="center"/>
          </w:tcPr>
          <w:p w14:paraId="34C4179F">
            <w:pPr>
              <w:pStyle w:val="146"/>
              <w:spacing w:line="240" w:lineRule="auto"/>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储粪间</w:t>
            </w:r>
          </w:p>
        </w:tc>
        <w:tc>
          <w:tcPr>
            <w:tcW w:w="732" w:type="dxa"/>
            <w:vMerge w:val="restart"/>
            <w:tcBorders>
              <w:tl2br w:val="nil"/>
              <w:tr2bl w:val="nil"/>
            </w:tcBorders>
            <w:shd w:val="clear" w:color="auto" w:fill="auto"/>
            <w:noWrap w:val="0"/>
            <w:vAlign w:val="center"/>
          </w:tcPr>
          <w:p w14:paraId="7CB75697">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41530F73">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47368D4C">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810</w:t>
            </w:r>
          </w:p>
        </w:tc>
        <w:tc>
          <w:tcPr>
            <w:tcW w:w="1067" w:type="dxa"/>
            <w:tcBorders>
              <w:tl2br w:val="nil"/>
              <w:tr2bl w:val="nil"/>
            </w:tcBorders>
            <w:noWrap w:val="0"/>
            <w:vAlign w:val="center"/>
          </w:tcPr>
          <w:p w14:paraId="13003D8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shd w:val="clear" w:color="auto" w:fill="auto"/>
            <w:noWrap w:val="0"/>
            <w:vAlign w:val="center"/>
          </w:tcPr>
          <w:p w14:paraId="203020B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3F2C3B0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shd w:val="clear" w:color="auto" w:fill="auto"/>
            <w:noWrap w:val="0"/>
            <w:vAlign w:val="center"/>
          </w:tcPr>
          <w:p w14:paraId="520352B8">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75215340">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64A6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13FBFE8D">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0425AA04">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0B418DF1">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2C87A65A">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10912CE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540</w:t>
            </w:r>
          </w:p>
        </w:tc>
        <w:tc>
          <w:tcPr>
            <w:tcW w:w="955" w:type="dxa"/>
            <w:tcBorders>
              <w:tl2br w:val="nil"/>
              <w:tr2bl w:val="nil"/>
            </w:tcBorders>
            <w:noWrap w:val="0"/>
            <w:vAlign w:val="center"/>
          </w:tcPr>
          <w:p w14:paraId="7C7F679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540</w:t>
            </w:r>
          </w:p>
        </w:tc>
        <w:tc>
          <w:tcPr>
            <w:tcW w:w="1067" w:type="dxa"/>
            <w:tcBorders>
              <w:tl2br w:val="nil"/>
              <w:tr2bl w:val="nil"/>
            </w:tcBorders>
            <w:noWrap w:val="0"/>
            <w:vAlign w:val="center"/>
          </w:tcPr>
          <w:p w14:paraId="6BBF3CE8">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366710A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4F51F99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10F9B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527C871D">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发酵区</w:t>
            </w:r>
          </w:p>
        </w:tc>
        <w:tc>
          <w:tcPr>
            <w:tcW w:w="732" w:type="dxa"/>
            <w:vMerge w:val="restart"/>
            <w:tcBorders>
              <w:tl2br w:val="nil"/>
              <w:tr2bl w:val="nil"/>
            </w:tcBorders>
            <w:shd w:val="clear" w:color="auto" w:fill="auto"/>
            <w:noWrap w:val="0"/>
            <w:vAlign w:val="center"/>
          </w:tcPr>
          <w:p w14:paraId="74BC5FE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7A98F55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3E56BAE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810</w:t>
            </w:r>
          </w:p>
        </w:tc>
        <w:tc>
          <w:tcPr>
            <w:tcW w:w="1067" w:type="dxa"/>
            <w:tcBorders>
              <w:tl2br w:val="nil"/>
              <w:tr2bl w:val="nil"/>
            </w:tcBorders>
            <w:noWrap w:val="0"/>
            <w:vAlign w:val="center"/>
          </w:tcPr>
          <w:p w14:paraId="672F6CAD">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0AE29F1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1DF5E23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2E572F6E">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20713F2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B7971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42D2809F">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7F44AD23">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1219C0BD">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30191BA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2343931B">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540</w:t>
            </w:r>
          </w:p>
        </w:tc>
        <w:tc>
          <w:tcPr>
            <w:tcW w:w="955" w:type="dxa"/>
            <w:tcBorders>
              <w:tl2br w:val="nil"/>
              <w:tr2bl w:val="nil"/>
            </w:tcBorders>
            <w:noWrap w:val="0"/>
            <w:vAlign w:val="center"/>
          </w:tcPr>
          <w:p w14:paraId="303B240D">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540</w:t>
            </w:r>
          </w:p>
        </w:tc>
        <w:tc>
          <w:tcPr>
            <w:tcW w:w="1067" w:type="dxa"/>
            <w:tcBorders>
              <w:tl2br w:val="nil"/>
              <w:tr2bl w:val="nil"/>
            </w:tcBorders>
            <w:noWrap w:val="0"/>
            <w:vAlign w:val="center"/>
          </w:tcPr>
          <w:p w14:paraId="79E990F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533D7F7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4A639152">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FD6A6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799D0BC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精料库</w:t>
            </w:r>
          </w:p>
        </w:tc>
        <w:tc>
          <w:tcPr>
            <w:tcW w:w="732" w:type="dxa"/>
            <w:vMerge w:val="restart"/>
            <w:tcBorders>
              <w:tl2br w:val="nil"/>
              <w:tr2bl w:val="nil"/>
            </w:tcBorders>
            <w:shd w:val="clear" w:color="auto" w:fill="auto"/>
            <w:noWrap w:val="0"/>
            <w:vAlign w:val="center"/>
          </w:tcPr>
          <w:p w14:paraId="57C28BF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2DA02E75">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59B0A80D">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1296</w:t>
            </w:r>
          </w:p>
        </w:tc>
        <w:tc>
          <w:tcPr>
            <w:tcW w:w="1067" w:type="dxa"/>
            <w:tcBorders>
              <w:tl2br w:val="nil"/>
              <w:tr2bl w:val="nil"/>
            </w:tcBorders>
            <w:noWrap w:val="0"/>
            <w:vAlign w:val="center"/>
          </w:tcPr>
          <w:p w14:paraId="16BA0128">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448193E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46337A9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shd w:val="clear" w:color="auto" w:fill="auto"/>
            <w:noWrap w:val="0"/>
            <w:vAlign w:val="center"/>
          </w:tcPr>
          <w:p w14:paraId="5C77AF4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3955E3A6">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2C04D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0361DCDE">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186F19BB">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shd w:val="clear" w:color="auto" w:fill="auto"/>
            <w:noWrap w:val="0"/>
            <w:vAlign w:val="center"/>
          </w:tcPr>
          <w:p w14:paraId="766C8811">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70CE45C0">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7C91E6C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720</w:t>
            </w:r>
          </w:p>
        </w:tc>
        <w:tc>
          <w:tcPr>
            <w:tcW w:w="955" w:type="dxa"/>
            <w:tcBorders>
              <w:tl2br w:val="nil"/>
              <w:tr2bl w:val="nil"/>
            </w:tcBorders>
            <w:noWrap w:val="0"/>
            <w:vAlign w:val="center"/>
          </w:tcPr>
          <w:p w14:paraId="1DD997C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720</w:t>
            </w:r>
          </w:p>
        </w:tc>
        <w:tc>
          <w:tcPr>
            <w:tcW w:w="1067" w:type="dxa"/>
            <w:tcBorders>
              <w:tl2br w:val="nil"/>
              <w:tr2bl w:val="nil"/>
            </w:tcBorders>
            <w:noWrap w:val="0"/>
            <w:vAlign w:val="center"/>
          </w:tcPr>
          <w:p w14:paraId="42030ABC">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110C9FE8">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23B97F1B">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7B965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0A738A53">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干草棚</w:t>
            </w:r>
          </w:p>
        </w:tc>
        <w:tc>
          <w:tcPr>
            <w:tcW w:w="732" w:type="dxa"/>
            <w:vMerge w:val="restart"/>
            <w:tcBorders>
              <w:tl2br w:val="nil"/>
              <w:tr2bl w:val="nil"/>
            </w:tcBorders>
            <w:shd w:val="clear" w:color="auto" w:fill="auto"/>
            <w:noWrap w:val="0"/>
            <w:vAlign w:val="center"/>
          </w:tcPr>
          <w:p w14:paraId="00C006C6">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07642E9F">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7822DEDA">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2592</w:t>
            </w:r>
          </w:p>
        </w:tc>
        <w:tc>
          <w:tcPr>
            <w:tcW w:w="1067" w:type="dxa"/>
            <w:tcBorders>
              <w:tl2br w:val="nil"/>
              <w:tr2bl w:val="nil"/>
            </w:tcBorders>
            <w:noWrap w:val="0"/>
            <w:vAlign w:val="center"/>
          </w:tcPr>
          <w:p w14:paraId="20B6B3E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0134D34A">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1BA5CEA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shd w:val="clear" w:color="auto" w:fill="auto"/>
            <w:noWrap w:val="0"/>
            <w:vAlign w:val="center"/>
          </w:tcPr>
          <w:p w14:paraId="0DD9A8C8">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49D3B5DF">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E712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0F5729B7">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64FBF43E">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2E03DF23">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55CB1BD5">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58CCE00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1200</w:t>
            </w:r>
          </w:p>
        </w:tc>
        <w:tc>
          <w:tcPr>
            <w:tcW w:w="955" w:type="dxa"/>
            <w:tcBorders>
              <w:tl2br w:val="nil"/>
              <w:tr2bl w:val="nil"/>
            </w:tcBorders>
            <w:noWrap w:val="0"/>
            <w:vAlign w:val="center"/>
          </w:tcPr>
          <w:p w14:paraId="31C8037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1200</w:t>
            </w:r>
          </w:p>
        </w:tc>
        <w:tc>
          <w:tcPr>
            <w:tcW w:w="1067" w:type="dxa"/>
            <w:tcBorders>
              <w:tl2br w:val="nil"/>
              <w:tr2bl w:val="nil"/>
            </w:tcBorders>
            <w:noWrap w:val="0"/>
            <w:vAlign w:val="center"/>
          </w:tcPr>
          <w:p w14:paraId="4F4577E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noWrap w:val="0"/>
            <w:vAlign w:val="center"/>
          </w:tcPr>
          <w:p w14:paraId="5F7D3D20">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4A60F5E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3CC7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restart"/>
            <w:tcBorders>
              <w:tl2br w:val="nil"/>
              <w:tr2bl w:val="nil"/>
            </w:tcBorders>
            <w:noWrap w:val="0"/>
            <w:vAlign w:val="center"/>
          </w:tcPr>
          <w:p w14:paraId="4F664272">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办公区、兽医室、机械库及厂区道路</w:t>
            </w:r>
          </w:p>
        </w:tc>
        <w:tc>
          <w:tcPr>
            <w:tcW w:w="732" w:type="dxa"/>
            <w:vMerge w:val="restart"/>
            <w:tcBorders>
              <w:tl2br w:val="nil"/>
              <w:tr2bl w:val="nil"/>
            </w:tcBorders>
            <w:shd w:val="clear" w:color="auto" w:fill="auto"/>
            <w:noWrap w:val="0"/>
            <w:vAlign w:val="center"/>
          </w:tcPr>
          <w:p w14:paraId="4DCF28B8">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土方开挖</w:t>
            </w:r>
          </w:p>
        </w:tc>
        <w:tc>
          <w:tcPr>
            <w:tcW w:w="724" w:type="dxa"/>
            <w:tcBorders>
              <w:tl2br w:val="nil"/>
              <w:tr2bl w:val="nil"/>
            </w:tcBorders>
            <w:noWrap w:val="0"/>
            <w:vAlign w:val="center"/>
          </w:tcPr>
          <w:p w14:paraId="1FD94ADA">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表土剥离</w:t>
            </w:r>
          </w:p>
        </w:tc>
        <w:tc>
          <w:tcPr>
            <w:tcW w:w="1131" w:type="dxa"/>
            <w:tcBorders>
              <w:tl2br w:val="nil"/>
              <w:tr2bl w:val="nil"/>
            </w:tcBorders>
            <w:noWrap w:val="0"/>
            <w:vAlign w:val="center"/>
          </w:tcPr>
          <w:p w14:paraId="1EABDE8A">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13070.673</w:t>
            </w:r>
          </w:p>
        </w:tc>
        <w:tc>
          <w:tcPr>
            <w:tcW w:w="1067" w:type="dxa"/>
            <w:tcBorders>
              <w:tl2br w:val="nil"/>
              <w:tr2bl w:val="nil"/>
            </w:tcBorders>
            <w:noWrap w:val="0"/>
            <w:vAlign w:val="center"/>
          </w:tcPr>
          <w:p w14:paraId="1C7CF86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955" w:type="dxa"/>
            <w:tcBorders>
              <w:tl2br w:val="nil"/>
              <w:tr2bl w:val="nil"/>
            </w:tcBorders>
            <w:noWrap w:val="0"/>
            <w:vAlign w:val="center"/>
          </w:tcPr>
          <w:p w14:paraId="539ECC2B">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7733F4C3">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0" w:type="auto"/>
            <w:tcBorders>
              <w:tl2br w:val="nil"/>
              <w:tr2bl w:val="nil"/>
            </w:tcBorders>
            <w:shd w:val="clear" w:color="auto" w:fill="auto"/>
            <w:noWrap w:val="0"/>
            <w:vAlign w:val="center"/>
          </w:tcPr>
          <w:p w14:paraId="6CBCB4EE">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市政规定存储场所</w:t>
            </w:r>
          </w:p>
        </w:tc>
        <w:tc>
          <w:tcPr>
            <w:tcW w:w="0" w:type="auto"/>
            <w:tcBorders>
              <w:tl2br w:val="nil"/>
              <w:tr2bl w:val="nil"/>
            </w:tcBorders>
            <w:noWrap w:val="0"/>
            <w:vAlign w:val="center"/>
          </w:tcPr>
          <w:p w14:paraId="29FE7625">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37C52D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970" w:type="dxa"/>
            <w:vMerge w:val="continue"/>
            <w:tcBorders>
              <w:tl2br w:val="nil"/>
              <w:tr2bl w:val="nil"/>
            </w:tcBorders>
            <w:noWrap w:val="0"/>
            <w:vAlign w:val="center"/>
          </w:tcPr>
          <w:p w14:paraId="43EDE304">
            <w:pPr>
              <w:pStyle w:val="146"/>
              <w:spacing w:line="240" w:lineRule="auto"/>
              <w:rPr>
                <w:rFonts w:hint="default" w:ascii="Times New Roman" w:hAnsi="Times New Roman" w:eastAsia="宋体" w:cs="Times New Roman"/>
                <w:color w:val="auto"/>
                <w:highlight w:val="none"/>
                <w:lang w:val="en-US" w:eastAsia="zh-CN"/>
              </w:rPr>
            </w:pPr>
          </w:p>
        </w:tc>
        <w:tc>
          <w:tcPr>
            <w:tcW w:w="732" w:type="dxa"/>
            <w:vMerge w:val="continue"/>
            <w:tcBorders>
              <w:tl2br w:val="nil"/>
              <w:tr2bl w:val="nil"/>
            </w:tcBorders>
            <w:noWrap w:val="0"/>
            <w:vAlign w:val="center"/>
          </w:tcPr>
          <w:p w14:paraId="2D5A4534">
            <w:pPr>
              <w:pStyle w:val="146"/>
              <w:spacing w:line="240" w:lineRule="auto"/>
              <w:rPr>
                <w:rFonts w:hint="default" w:ascii="Times New Roman" w:hAnsi="Times New Roman" w:eastAsia="宋体" w:cs="Times New Roman"/>
                <w:color w:val="auto"/>
                <w:highlight w:val="none"/>
                <w:lang w:val="en-US" w:eastAsia="zh-CN"/>
              </w:rPr>
            </w:pPr>
          </w:p>
        </w:tc>
        <w:tc>
          <w:tcPr>
            <w:tcW w:w="724" w:type="dxa"/>
            <w:tcBorders>
              <w:tl2br w:val="nil"/>
              <w:tr2bl w:val="nil"/>
            </w:tcBorders>
            <w:noWrap w:val="0"/>
            <w:vAlign w:val="center"/>
          </w:tcPr>
          <w:p w14:paraId="2FEA15FF">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土方</w:t>
            </w:r>
          </w:p>
        </w:tc>
        <w:tc>
          <w:tcPr>
            <w:tcW w:w="1131" w:type="dxa"/>
            <w:tcBorders>
              <w:tl2br w:val="nil"/>
              <w:tr2bl w:val="nil"/>
            </w:tcBorders>
            <w:noWrap w:val="0"/>
            <w:vAlign w:val="center"/>
          </w:tcPr>
          <w:p w14:paraId="346FC029">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067" w:type="dxa"/>
            <w:tcBorders>
              <w:tl2br w:val="nil"/>
              <w:tr2bl w:val="nil"/>
            </w:tcBorders>
            <w:noWrap w:val="0"/>
            <w:vAlign w:val="center"/>
          </w:tcPr>
          <w:p w14:paraId="3089C4DC">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199991.6</w:t>
            </w:r>
          </w:p>
        </w:tc>
        <w:tc>
          <w:tcPr>
            <w:tcW w:w="955" w:type="dxa"/>
            <w:tcBorders>
              <w:tl2br w:val="nil"/>
              <w:tr2bl w:val="nil"/>
            </w:tcBorders>
            <w:noWrap w:val="0"/>
            <w:vAlign w:val="center"/>
          </w:tcPr>
          <w:p w14:paraId="4EB59DA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13860</w:t>
            </w:r>
          </w:p>
        </w:tc>
        <w:tc>
          <w:tcPr>
            <w:tcW w:w="1067" w:type="dxa"/>
            <w:tcBorders>
              <w:tl2br w:val="nil"/>
              <w:tr2bl w:val="nil"/>
            </w:tcBorders>
            <w:noWrap w:val="0"/>
            <w:vAlign w:val="center"/>
          </w:tcPr>
          <w:p w14:paraId="68491236">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186131.6</w:t>
            </w:r>
          </w:p>
        </w:tc>
        <w:tc>
          <w:tcPr>
            <w:tcW w:w="0" w:type="auto"/>
            <w:tcBorders>
              <w:tl2br w:val="nil"/>
              <w:tr2bl w:val="nil"/>
            </w:tcBorders>
            <w:noWrap w:val="0"/>
            <w:vAlign w:val="center"/>
          </w:tcPr>
          <w:p w14:paraId="58CB5FC5">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外购</w:t>
            </w:r>
          </w:p>
        </w:tc>
        <w:tc>
          <w:tcPr>
            <w:tcW w:w="0" w:type="auto"/>
            <w:tcBorders>
              <w:tl2br w:val="nil"/>
              <w:tr2bl w:val="nil"/>
            </w:tcBorders>
            <w:noWrap w:val="0"/>
            <w:vAlign w:val="center"/>
          </w:tcPr>
          <w:p w14:paraId="19BB0D6A">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DCFA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2426" w:type="dxa"/>
            <w:gridSpan w:val="3"/>
            <w:tcBorders>
              <w:tl2br w:val="nil"/>
              <w:tr2bl w:val="nil"/>
            </w:tcBorders>
            <w:noWrap w:val="0"/>
            <w:vAlign w:val="center"/>
          </w:tcPr>
          <w:p w14:paraId="5B8E5C1B">
            <w:pPr>
              <w:pStyle w:val="146"/>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总计土石方</w:t>
            </w:r>
          </w:p>
        </w:tc>
        <w:tc>
          <w:tcPr>
            <w:tcW w:w="1131" w:type="dxa"/>
            <w:tcBorders>
              <w:tl2br w:val="nil"/>
              <w:tr2bl w:val="nil"/>
            </w:tcBorders>
            <w:noWrap w:val="0"/>
            <w:vAlign w:val="center"/>
          </w:tcPr>
          <w:p w14:paraId="1856555F">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105810.2</w:t>
            </w:r>
          </w:p>
        </w:tc>
        <w:tc>
          <w:tcPr>
            <w:tcW w:w="1067" w:type="dxa"/>
            <w:tcBorders>
              <w:tl2br w:val="nil"/>
              <w:tr2bl w:val="nil"/>
            </w:tcBorders>
            <w:noWrap w:val="0"/>
            <w:vAlign w:val="center"/>
          </w:tcPr>
          <w:p w14:paraId="5D0F9A3E">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255685.6</w:t>
            </w:r>
          </w:p>
        </w:tc>
        <w:tc>
          <w:tcPr>
            <w:tcW w:w="955" w:type="dxa"/>
            <w:tcBorders>
              <w:tl2br w:val="nil"/>
              <w:tr2bl w:val="nil"/>
            </w:tcBorders>
            <w:noWrap w:val="0"/>
            <w:vAlign w:val="center"/>
          </w:tcPr>
          <w:p w14:paraId="56F5C5C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69554</w:t>
            </w:r>
          </w:p>
        </w:tc>
        <w:tc>
          <w:tcPr>
            <w:tcW w:w="1067" w:type="dxa"/>
            <w:tcBorders>
              <w:tl2br w:val="nil"/>
              <w:tr2bl w:val="nil"/>
            </w:tcBorders>
            <w:noWrap w:val="0"/>
            <w:vAlign w:val="center"/>
          </w:tcPr>
          <w:p w14:paraId="2F19D67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186131.6</w:t>
            </w:r>
          </w:p>
        </w:tc>
        <w:tc>
          <w:tcPr>
            <w:tcW w:w="0" w:type="auto"/>
            <w:tcBorders>
              <w:tl2br w:val="nil"/>
              <w:tr2bl w:val="nil"/>
            </w:tcBorders>
            <w:noWrap w:val="0"/>
            <w:vAlign w:val="center"/>
          </w:tcPr>
          <w:p w14:paraId="779BB821">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0" w:type="auto"/>
            <w:tcBorders>
              <w:tl2br w:val="nil"/>
              <w:tr2bl w:val="nil"/>
            </w:tcBorders>
            <w:noWrap w:val="0"/>
            <w:vAlign w:val="center"/>
          </w:tcPr>
          <w:p w14:paraId="74669344">
            <w:pPr>
              <w:pStyle w:val="146"/>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bookmarkEnd w:id="199"/>
    </w:tbl>
    <w:p w14:paraId="6A08099D">
      <w:pPr>
        <w:pStyle w:val="4"/>
        <w:rPr>
          <w:rFonts w:hint="default" w:ascii="Times New Roman" w:hAnsi="Times New Roman" w:cs="Times New Roman"/>
          <w:snapToGrid w:val="0"/>
          <w:color w:val="auto"/>
          <w:kern w:val="0"/>
          <w:highlight w:val="none"/>
        </w:rPr>
      </w:pPr>
      <w:bookmarkStart w:id="200" w:name="_Toc57713637"/>
      <w:bookmarkStart w:id="201" w:name="_Toc7429"/>
      <w:r>
        <w:rPr>
          <w:rFonts w:hint="default" w:ascii="Times New Roman" w:hAnsi="Times New Roman" w:cs="Times New Roman"/>
          <w:snapToGrid w:val="0"/>
          <w:color w:val="auto"/>
          <w:kern w:val="0"/>
          <w:highlight w:val="none"/>
        </w:rPr>
        <w:t>3.2</w:t>
      </w:r>
      <w:bookmarkEnd w:id="190"/>
      <w:bookmarkEnd w:id="191"/>
      <w:bookmarkEnd w:id="192"/>
      <w:bookmarkEnd w:id="193"/>
      <w:bookmarkEnd w:id="194"/>
      <w:bookmarkEnd w:id="195"/>
      <w:bookmarkEnd w:id="196"/>
      <w:bookmarkEnd w:id="197"/>
      <w:r>
        <w:rPr>
          <w:rFonts w:hint="default" w:ascii="Times New Roman" w:hAnsi="Times New Roman" w:cs="Times New Roman"/>
          <w:snapToGrid w:val="0"/>
          <w:color w:val="auto"/>
          <w:kern w:val="0"/>
          <w:highlight w:val="none"/>
        </w:rPr>
        <w:t>公用及辅助工程</w:t>
      </w:r>
      <w:bookmarkEnd w:id="200"/>
      <w:bookmarkEnd w:id="201"/>
    </w:p>
    <w:p w14:paraId="5DC38B1D">
      <w:pPr>
        <w:pStyle w:val="5"/>
        <w:spacing w:line="500" w:lineRule="exact"/>
        <w:rPr>
          <w:rFonts w:hint="default" w:ascii="Times New Roman" w:hAnsi="Times New Roman" w:cs="Times New Roman"/>
          <w:color w:val="auto"/>
          <w:highlight w:val="none"/>
        </w:rPr>
      </w:pPr>
      <w:bookmarkStart w:id="202" w:name="_Toc57713638"/>
      <w:bookmarkStart w:id="203" w:name="_Toc13558"/>
      <w:r>
        <w:rPr>
          <w:rFonts w:hint="default" w:ascii="Times New Roman" w:hAnsi="Times New Roman" w:cs="Times New Roman"/>
          <w:color w:val="auto"/>
          <w:highlight w:val="none"/>
        </w:rPr>
        <w:t>3.2.1给水工程</w:t>
      </w:r>
      <w:bookmarkEnd w:id="202"/>
      <w:bookmarkEnd w:id="203"/>
    </w:p>
    <w:p w14:paraId="1D40E7B5">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厂区自打水井</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眼，</w:t>
      </w:r>
      <w:r>
        <w:rPr>
          <w:rFonts w:hint="eastAsia" w:eastAsia="宋体" w:cs="Times New Roman"/>
          <w:color w:val="auto"/>
          <w:highlight w:val="none"/>
          <w:lang w:val="en-US" w:eastAsia="zh-CN"/>
        </w:rPr>
        <w:t>2用1备，出水量60m</w:t>
      </w:r>
      <w:r>
        <w:rPr>
          <w:rFonts w:hint="eastAsia" w:eastAsia="宋体" w:cs="Times New Roman"/>
          <w:color w:val="auto"/>
          <w:highlight w:val="none"/>
          <w:vertAlign w:val="superscript"/>
          <w:lang w:val="en-US" w:eastAsia="zh-CN"/>
        </w:rPr>
        <w:t>3</w:t>
      </w:r>
      <w:r>
        <w:rPr>
          <w:rFonts w:hint="eastAsia" w:eastAsia="宋体" w:cs="Times New Roman"/>
          <w:color w:val="auto"/>
          <w:highlight w:val="none"/>
          <w:lang w:val="en-US" w:eastAsia="zh-CN"/>
        </w:rPr>
        <w:t>/h，</w:t>
      </w:r>
      <w:r>
        <w:rPr>
          <w:rFonts w:hint="default" w:ascii="Times New Roman" w:hAnsi="Times New Roman" w:eastAsia="宋体" w:cs="Times New Roman"/>
          <w:color w:val="auto"/>
          <w:highlight w:val="none"/>
        </w:rPr>
        <w:t>满足项目</w:t>
      </w:r>
      <w:r>
        <w:rPr>
          <w:rFonts w:hint="eastAsia" w:eastAsia="宋体" w:cs="Times New Roman"/>
          <w:color w:val="auto"/>
          <w:highlight w:val="none"/>
          <w:lang w:val="en-US" w:eastAsia="zh-CN"/>
        </w:rPr>
        <w:t>生活、</w:t>
      </w:r>
      <w:r>
        <w:rPr>
          <w:rFonts w:hint="default" w:ascii="Times New Roman" w:hAnsi="Times New Roman" w:eastAsia="宋体" w:cs="Times New Roman"/>
          <w:color w:val="auto"/>
          <w:highlight w:val="none"/>
        </w:rPr>
        <w:t>生产用水需求</w:t>
      </w:r>
      <w:r>
        <w:rPr>
          <w:rFonts w:hint="default" w:ascii="Times New Roman" w:hAnsi="Times New Roman" w:eastAsia="宋体" w:cs="Times New Roman"/>
          <w:color w:val="auto"/>
          <w:highlight w:val="none"/>
          <w:lang w:eastAsia="zh-CN"/>
        </w:rPr>
        <w:t>。</w:t>
      </w:r>
    </w:p>
    <w:p w14:paraId="3ABD988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（1）牛饮用水</w:t>
      </w:r>
    </w:p>
    <w:p w14:paraId="2B4ACC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w:t>
      </w:r>
      <w:r>
        <w:rPr>
          <w:rFonts w:hint="default" w:ascii="Times New Roman" w:hAnsi="Times New Roman" w:eastAsia="宋体" w:cs="Times New Roman"/>
          <w:color w:val="auto"/>
          <w:highlight w:val="none"/>
          <w:lang w:val="en-US" w:eastAsia="zh-CN"/>
        </w:rPr>
        <w:t>肉</w:t>
      </w:r>
      <w:r>
        <w:rPr>
          <w:rFonts w:hint="default" w:ascii="Times New Roman" w:hAnsi="Times New Roman" w:eastAsia="宋体" w:cs="Times New Roman"/>
          <w:color w:val="auto"/>
          <w:highlight w:val="none"/>
        </w:rPr>
        <w:t>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存栏肉牛</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w:t>
      </w:r>
      <w:r>
        <w:rPr>
          <w:rFonts w:hint="default" w:ascii="Times New Roman" w:hAnsi="Times New Roman" w:eastAsia="宋体" w:cs="Times New Roman"/>
          <w:color w:val="auto"/>
          <w:highlight w:val="none"/>
        </w:rPr>
        <w:t>。根据黑龙江省地方标准《用水定额》（DB23/T727-20</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）附录D畜牧业用水定额A0311牛的饲养中，肉牛取先进值48L/头·d；则肉牛饮水水量为</w:t>
      </w:r>
      <w:r>
        <w:rPr>
          <w:rFonts w:hint="eastAsia" w:eastAsia="宋体" w:cs="Times New Roman"/>
          <w:color w:val="auto"/>
          <w:highlight w:val="none"/>
          <w:lang w:val="en-US" w:eastAsia="zh-CN"/>
        </w:rPr>
        <w:t>288</w:t>
      </w:r>
      <w:r>
        <w:rPr>
          <w:rFonts w:hint="default" w:ascii="Times New Roman" w:hAnsi="Times New Roman" w:eastAsia="宋体" w:cs="Times New Roman"/>
          <w:color w:val="auto"/>
          <w:highlight w:val="none"/>
        </w:rPr>
        <w:t>t/d，</w:t>
      </w:r>
      <w:r>
        <w:rPr>
          <w:rFonts w:hint="eastAsia" w:eastAsia="宋体" w:cs="Times New Roman"/>
          <w:color w:val="auto"/>
          <w:highlight w:val="none"/>
          <w:lang w:val="en-US" w:eastAsia="zh-CN"/>
        </w:rPr>
        <w:t>105120</w:t>
      </w:r>
      <w:r>
        <w:rPr>
          <w:rFonts w:hint="default" w:ascii="Times New Roman" w:hAnsi="Times New Roman" w:eastAsia="宋体" w:cs="Times New Roman"/>
          <w:color w:val="auto"/>
          <w:highlight w:val="none"/>
        </w:rPr>
        <w:t>t/a。</w:t>
      </w:r>
    </w:p>
    <w:p w14:paraId="5CD2B9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（2）职工生活用水</w:t>
      </w:r>
    </w:p>
    <w:p w14:paraId="47DF5EB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本项目建成后共有工作人员</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w:t>
      </w:r>
      <w:bookmarkStart w:id="204" w:name="_Hlk43397258"/>
      <w:r>
        <w:rPr>
          <w:rFonts w:hint="default" w:ascii="Times New Roman" w:hAnsi="Times New Roman" w:eastAsia="宋体" w:cs="Times New Roman"/>
          <w:color w:val="auto"/>
          <w:highlight w:val="none"/>
        </w:rPr>
        <w:t>根据</w:t>
      </w:r>
      <w:bookmarkEnd w:id="204"/>
      <w:r>
        <w:rPr>
          <w:rFonts w:hint="default" w:ascii="Times New Roman" w:hAnsi="Times New Roman" w:eastAsia="宋体" w:cs="Times New Roman"/>
          <w:color w:val="auto"/>
          <w:highlight w:val="none"/>
        </w:rPr>
        <w:t>黑龙江省地方标准《用水定额》（DB23/T727-202</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），生活用水按每人80L/d计，则生活总用水量为</w:t>
      </w:r>
      <w:r>
        <w:rPr>
          <w:rFonts w:hint="default" w:ascii="Times New Roman" w:hAnsi="Times New Roman" w:eastAsia="宋体" w:cs="Times New Roman"/>
          <w:color w:val="auto"/>
          <w:highlight w:val="none"/>
          <w:lang w:val="en-US" w:eastAsia="zh-CN"/>
        </w:rPr>
        <w:t>6.4</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2336</w:t>
      </w:r>
      <w:r>
        <w:rPr>
          <w:rFonts w:hint="default" w:ascii="Times New Roman" w:hAnsi="Times New Roman" w:eastAsia="宋体" w:cs="Times New Roman"/>
          <w:color w:val="auto"/>
          <w:highlight w:val="none"/>
        </w:rPr>
        <w:t>t/a。</w:t>
      </w:r>
    </w:p>
    <w:p w14:paraId="5C91FAC4">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（3）消毒剂配制用水</w:t>
      </w:r>
    </w:p>
    <w:p w14:paraId="708BF710">
      <w:pPr>
        <w:pStyle w:val="67"/>
        <w:ind w:firstLine="480"/>
        <w:rPr>
          <w:rFonts w:hint="default" w:ascii="Times New Roman" w:hAnsi="Times New Roman" w:eastAsia="宋体" w:cs="Times New Roman"/>
          <w:color w:val="auto"/>
          <w:kern w:val="1"/>
          <w:szCs w:val="24"/>
          <w:highlight w:val="none"/>
        </w:rPr>
      </w:pPr>
      <w:r>
        <w:rPr>
          <w:rFonts w:hint="default" w:ascii="Times New Roman" w:hAnsi="Times New Roman" w:eastAsia="宋体" w:cs="Times New Roman"/>
          <w:color w:val="auto"/>
          <w:szCs w:val="24"/>
          <w:highlight w:val="none"/>
        </w:rPr>
        <w:t>本项目牛舍消毒需要使用消毒剂与水配制而成，消毒剂用量为</w:t>
      </w:r>
      <w:r>
        <w:rPr>
          <w:rFonts w:hint="default" w:ascii="Times New Roman" w:hAnsi="Times New Roman" w:eastAsia="宋体" w:cs="Times New Roman"/>
          <w:color w:val="auto"/>
          <w:szCs w:val="24"/>
          <w:highlight w:val="none"/>
          <w:lang w:val="en-US" w:eastAsia="zh-CN"/>
        </w:rPr>
        <w:t>12.0</w:t>
      </w:r>
      <w:r>
        <w:rPr>
          <w:rFonts w:hint="default" w:ascii="Times New Roman" w:hAnsi="Times New Roman" w:eastAsia="宋体" w:cs="Times New Roman"/>
          <w:color w:val="auto"/>
          <w:szCs w:val="24"/>
          <w:highlight w:val="none"/>
        </w:rPr>
        <w:t>t/a，配比为1:100，则消毒用水量约</w:t>
      </w:r>
      <w:r>
        <w:rPr>
          <w:rFonts w:hint="default" w:ascii="Times New Roman" w:hAnsi="Times New Roman" w:eastAsia="宋体" w:cs="Times New Roman"/>
          <w:color w:val="auto"/>
          <w:szCs w:val="24"/>
          <w:highlight w:val="none"/>
          <w:lang w:val="en-US" w:eastAsia="zh-CN"/>
        </w:rPr>
        <w:t>3.29</w:t>
      </w:r>
      <w:r>
        <w:rPr>
          <w:rFonts w:hint="default" w:ascii="Times New Roman" w:hAnsi="Times New Roman" w:eastAsia="宋体" w:cs="Times New Roman"/>
          <w:color w:val="auto"/>
          <w:szCs w:val="24"/>
          <w:highlight w:val="none"/>
        </w:rPr>
        <w:t>t/d，</w:t>
      </w:r>
      <w:r>
        <w:rPr>
          <w:rFonts w:hint="default" w:ascii="Times New Roman" w:hAnsi="Times New Roman" w:eastAsia="宋体" w:cs="Times New Roman"/>
          <w:color w:val="auto"/>
          <w:szCs w:val="24"/>
          <w:highlight w:val="none"/>
          <w:lang w:val="en-US" w:eastAsia="zh-CN"/>
        </w:rPr>
        <w:t>1200</w:t>
      </w:r>
      <w:r>
        <w:rPr>
          <w:rFonts w:hint="default" w:ascii="Times New Roman" w:hAnsi="Times New Roman" w:eastAsia="宋体" w:cs="Times New Roman"/>
          <w:color w:val="auto"/>
          <w:szCs w:val="24"/>
          <w:highlight w:val="none"/>
        </w:rPr>
        <w:t>t/a，此部分水分自然蒸发。</w:t>
      </w:r>
    </w:p>
    <w:p w14:paraId="6F82D55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表3-2-</w:t>
      </w:r>
      <w:r>
        <w:rPr>
          <w:rFonts w:hint="default" w:ascii="Times New Roman" w:hAnsi="Times New Roman" w:cs="Times New Roman"/>
          <w:color w:val="auto"/>
          <w:highlight w:val="none"/>
          <w:lang w:val="en-US"/>
        </w:rPr>
        <w:t>1</w:t>
      </w:r>
      <w:r>
        <w:rPr>
          <w:rFonts w:hint="default" w:ascii="Times New Roman" w:hAnsi="Times New Roman" w:cs="Times New Roman"/>
          <w:color w:val="auto"/>
          <w:highlight w:val="none"/>
        </w:rPr>
        <w:t>项目用水一览表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68"/>
        <w:gridCol w:w="2769"/>
        <w:gridCol w:w="2769"/>
      </w:tblGrid>
      <w:tr w14:paraId="5085D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shd w:val="clear" w:color="auto" w:fill="auto"/>
            <w:vAlign w:val="center"/>
          </w:tcPr>
          <w:p w14:paraId="3E591F3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1667" w:type="pct"/>
            <w:vAlign w:val="center"/>
          </w:tcPr>
          <w:p w14:paraId="52CC64E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日最大用水量（t/d）</w:t>
            </w:r>
          </w:p>
        </w:tc>
        <w:tc>
          <w:tcPr>
            <w:tcW w:w="1667" w:type="pct"/>
            <w:shd w:val="clear" w:color="auto" w:fill="auto"/>
            <w:vAlign w:val="center"/>
          </w:tcPr>
          <w:p w14:paraId="5A8217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年用水量（t/a）</w:t>
            </w:r>
          </w:p>
        </w:tc>
      </w:tr>
      <w:tr w14:paraId="0E7D4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shd w:val="clear" w:color="auto" w:fill="auto"/>
            <w:vAlign w:val="center"/>
          </w:tcPr>
          <w:p w14:paraId="23C6F1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牛饮用水</w:t>
            </w:r>
          </w:p>
        </w:tc>
        <w:tc>
          <w:tcPr>
            <w:tcW w:w="1667" w:type="pct"/>
            <w:shd w:val="clear" w:color="auto" w:fill="auto"/>
            <w:vAlign w:val="center"/>
          </w:tcPr>
          <w:p w14:paraId="7EECDE0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288</w:t>
            </w:r>
          </w:p>
        </w:tc>
        <w:tc>
          <w:tcPr>
            <w:tcW w:w="1667" w:type="pct"/>
            <w:shd w:val="clear" w:color="auto" w:fill="auto"/>
            <w:vAlign w:val="center"/>
          </w:tcPr>
          <w:p w14:paraId="1DFBBDE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105120</w:t>
            </w:r>
          </w:p>
        </w:tc>
      </w:tr>
      <w:tr w14:paraId="0CFCD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shd w:val="clear" w:color="auto" w:fill="auto"/>
            <w:vAlign w:val="center"/>
          </w:tcPr>
          <w:p w14:paraId="7E3C7CE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职工生活用水</w:t>
            </w:r>
          </w:p>
        </w:tc>
        <w:tc>
          <w:tcPr>
            <w:tcW w:w="1667" w:type="pct"/>
            <w:vAlign w:val="center"/>
          </w:tcPr>
          <w:p w14:paraId="0C96369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w:t>
            </w:r>
          </w:p>
        </w:tc>
        <w:tc>
          <w:tcPr>
            <w:tcW w:w="1667" w:type="pct"/>
            <w:shd w:val="clear" w:color="auto" w:fill="auto"/>
            <w:vAlign w:val="center"/>
          </w:tcPr>
          <w:p w14:paraId="659C06A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2336</w:t>
            </w:r>
          </w:p>
        </w:tc>
      </w:tr>
      <w:tr w14:paraId="7794F7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shd w:val="clear" w:color="auto" w:fill="auto"/>
            <w:vAlign w:val="center"/>
          </w:tcPr>
          <w:p w14:paraId="11908A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消毒剂配制用水</w:t>
            </w:r>
          </w:p>
        </w:tc>
        <w:tc>
          <w:tcPr>
            <w:tcW w:w="1667" w:type="pct"/>
            <w:vAlign w:val="center"/>
          </w:tcPr>
          <w:p w14:paraId="333438F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3.29</w:t>
            </w:r>
          </w:p>
        </w:tc>
        <w:tc>
          <w:tcPr>
            <w:tcW w:w="1667" w:type="pct"/>
            <w:shd w:val="clear" w:color="auto" w:fill="auto"/>
            <w:vAlign w:val="center"/>
          </w:tcPr>
          <w:p w14:paraId="43CBEA8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1200</w:t>
            </w:r>
          </w:p>
        </w:tc>
      </w:tr>
      <w:tr w14:paraId="18936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shd w:val="clear" w:color="auto" w:fill="auto"/>
            <w:vAlign w:val="center"/>
          </w:tcPr>
          <w:p w14:paraId="7C51948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总计</w:t>
            </w:r>
          </w:p>
        </w:tc>
        <w:tc>
          <w:tcPr>
            <w:tcW w:w="1667" w:type="pct"/>
            <w:vAlign w:val="center"/>
          </w:tcPr>
          <w:p w14:paraId="681F2DB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297.69</w:t>
            </w:r>
          </w:p>
        </w:tc>
        <w:tc>
          <w:tcPr>
            <w:tcW w:w="1667" w:type="pct"/>
            <w:shd w:val="clear" w:color="auto" w:fill="auto"/>
            <w:vAlign w:val="center"/>
          </w:tcPr>
          <w:p w14:paraId="0637C6C7">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108656</w:t>
            </w:r>
          </w:p>
        </w:tc>
      </w:tr>
    </w:tbl>
    <w:p w14:paraId="758DC617">
      <w:pPr>
        <w:pStyle w:val="67"/>
        <w:ind w:firstLine="480"/>
        <w:rPr>
          <w:rFonts w:hint="default" w:ascii="Times New Roman" w:hAnsi="Times New Roman" w:cs="Times New Roman"/>
          <w:color w:val="auto"/>
          <w:szCs w:val="24"/>
          <w:highlight w:val="none"/>
        </w:rPr>
      </w:pPr>
      <w:r>
        <w:rPr>
          <w:rFonts w:hint="default" w:ascii="Times New Roman" w:hAnsi="Times New Roman" w:eastAsia="宋体" w:cs="Times New Roman"/>
          <w:color w:val="auto"/>
          <w:szCs w:val="24"/>
          <w:highlight w:val="none"/>
        </w:rPr>
        <w:t>综上，本工程运营期日最大用水量</w:t>
      </w:r>
      <w:r>
        <w:rPr>
          <w:rFonts w:hint="eastAsia" w:eastAsia="宋体" w:cs="Times New Roman"/>
          <w:color w:val="auto"/>
          <w:szCs w:val="24"/>
          <w:highlight w:val="none"/>
          <w:lang w:val="en-US" w:eastAsia="zh-CN"/>
        </w:rPr>
        <w:t>297.69</w:t>
      </w:r>
      <w:r>
        <w:rPr>
          <w:rFonts w:hint="default" w:ascii="Times New Roman" w:hAnsi="Times New Roman" w:eastAsia="宋体" w:cs="Times New Roman"/>
          <w:color w:val="auto"/>
          <w:szCs w:val="24"/>
          <w:highlight w:val="none"/>
        </w:rPr>
        <w:t>t/d，全年总用水量为</w:t>
      </w:r>
      <w:r>
        <w:rPr>
          <w:rFonts w:hint="eastAsia" w:eastAsia="宋体" w:cs="Times New Roman"/>
          <w:color w:val="auto"/>
          <w:szCs w:val="24"/>
          <w:highlight w:val="none"/>
          <w:lang w:val="en-US" w:eastAsia="zh-CN"/>
        </w:rPr>
        <w:t>108656</w:t>
      </w:r>
      <w:r>
        <w:rPr>
          <w:rFonts w:hint="default" w:ascii="Times New Roman" w:hAnsi="Times New Roman" w:eastAsia="宋体" w:cs="Times New Roman"/>
          <w:color w:val="auto"/>
          <w:szCs w:val="24"/>
          <w:highlight w:val="none"/>
        </w:rPr>
        <w:t>t/a。</w:t>
      </w:r>
    </w:p>
    <w:p w14:paraId="79E13EDB">
      <w:pPr>
        <w:pStyle w:val="5"/>
        <w:spacing w:line="500" w:lineRule="exact"/>
        <w:rPr>
          <w:rFonts w:hint="default" w:ascii="Times New Roman" w:hAnsi="Times New Roman" w:cs="Times New Roman"/>
          <w:color w:val="auto"/>
          <w:highlight w:val="none"/>
        </w:rPr>
      </w:pPr>
      <w:bookmarkStart w:id="205" w:name="_Toc9542"/>
      <w:bookmarkStart w:id="206" w:name="_Toc57713639"/>
      <w:r>
        <w:rPr>
          <w:rFonts w:hint="default" w:ascii="Times New Roman" w:hAnsi="Times New Roman" w:cs="Times New Roman"/>
          <w:color w:val="auto"/>
          <w:highlight w:val="none"/>
        </w:rPr>
        <w:t>3.2.2排水工程</w:t>
      </w:r>
      <w:bookmarkEnd w:id="205"/>
      <w:bookmarkEnd w:id="206"/>
    </w:p>
    <w:p w14:paraId="3A177DED">
      <w:pPr>
        <w:pStyle w:val="67"/>
        <w:numPr>
          <w:ilvl w:val="0"/>
          <w:numId w:val="5"/>
        </w:numPr>
        <w:ind w:firstLine="48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养殖废水</w:t>
      </w:r>
    </w:p>
    <w:p w14:paraId="7B375BC8">
      <w:pPr>
        <w:pStyle w:val="67"/>
        <w:numPr>
          <w:ilvl w:val="0"/>
          <w:numId w:val="0"/>
        </w:num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消毒用水全部损耗，不产生</w:t>
      </w:r>
      <w:r>
        <w:rPr>
          <w:rFonts w:hint="eastAsia" w:eastAsia="宋体" w:cs="Times New Roman"/>
          <w:color w:val="auto"/>
          <w:sz w:val="24"/>
          <w:szCs w:val="24"/>
          <w:highlight w:val="none"/>
          <w:lang w:val="en-US" w:eastAsia="zh-CN"/>
        </w:rPr>
        <w:t>养殖</w:t>
      </w:r>
      <w:r>
        <w:rPr>
          <w:rFonts w:hint="default" w:ascii="Times New Roman" w:hAnsi="Times New Roman" w:eastAsia="宋体" w:cs="Times New Roman"/>
          <w:color w:val="auto"/>
          <w:sz w:val="24"/>
          <w:szCs w:val="24"/>
          <w:highlight w:val="none"/>
          <w:lang w:val="en-US" w:eastAsia="zh-CN"/>
        </w:rPr>
        <w:t>废水。</w:t>
      </w:r>
      <w:r>
        <w:rPr>
          <w:rFonts w:hint="default" w:ascii="Times New Roman" w:hAnsi="Times New Roman" w:eastAsia="宋体" w:cs="Times New Roman"/>
          <w:color w:val="auto"/>
          <w:highlight w:val="none"/>
        </w:rPr>
        <w:t>根据《畜禽养殖业污染治理工程技术规范》</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"https://www.mee.gov.cn/ywgz/fgbz/bz/bzwb/other/hjbhgc/200910/W020111114548449997495.pdf"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（HJ497－2009）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的资料性附录A“畜禽养殖废水水质和粪污产生量”，牛尿液量为10kg/</w:t>
      </w:r>
      <w:r>
        <w:rPr>
          <w:rFonts w:hint="default" w:ascii="Times New Roman" w:hAnsi="Times New Roman" w:eastAsia="宋体" w:cs="Times New Roman"/>
          <w:color w:val="auto"/>
          <w:highlight w:val="none"/>
          <w:lang w:val="en-US" w:eastAsia="zh-CN"/>
        </w:rPr>
        <w:t>头</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szCs w:val="24"/>
          <w:highlight w:val="none"/>
        </w:rPr>
        <w:t>，</w:t>
      </w:r>
      <w:r>
        <w:rPr>
          <w:rFonts w:hint="eastAsia" w:eastAsia="宋体" w:cs="Times New Roman"/>
          <w:color w:val="auto"/>
          <w:szCs w:val="24"/>
          <w:highlight w:val="none"/>
          <w:lang w:val="en-US" w:eastAsia="zh-CN"/>
        </w:rPr>
        <w:t>则本项目牛尿产生量为</w:t>
      </w:r>
      <w:r>
        <w:rPr>
          <w:rFonts w:hint="eastAsia" w:eastAsia="宋体" w:cs="Times New Roman"/>
          <w:color w:val="auto"/>
          <w:highlight w:val="none"/>
          <w:lang w:val="en-US" w:eastAsia="zh-CN"/>
        </w:rPr>
        <w:t>219</w:t>
      </w:r>
      <w:r>
        <w:rPr>
          <w:rFonts w:hint="default" w:ascii="Times New Roman" w:hAnsi="Times New Roman" w:eastAsia="宋体" w:cs="Times New Roman"/>
          <w:color w:val="auto"/>
          <w:highlight w:val="none"/>
          <w:lang w:val="en-US" w:eastAsia="zh-CN"/>
        </w:rPr>
        <w:t>00</w:t>
      </w:r>
      <w:r>
        <w:rPr>
          <w:rFonts w:hint="eastAsia" w:eastAsia="宋体" w:cs="Times New Roman"/>
          <w:color w:val="auto"/>
          <w:highlight w:val="none"/>
          <w:lang w:val="en-US" w:eastAsia="zh-CN"/>
        </w:rPr>
        <w:t>t/a，60t/d。</w:t>
      </w:r>
      <w:r>
        <w:rPr>
          <w:rFonts w:hint="default" w:ascii="Times New Roman" w:hAnsi="Times New Roman" w:eastAsia="宋体" w:cs="Times New Roman"/>
          <w:color w:val="auto"/>
          <w:sz w:val="24"/>
          <w:szCs w:val="24"/>
          <w:highlight w:val="none"/>
          <w:lang w:val="en-US" w:eastAsia="zh-CN"/>
        </w:rPr>
        <w:t>牛饮水大部分被牛只吸收，其余以牛尿形式排出，牛舍采用垫草垫料工艺，牛尿经垫草垫料吸收后，一部分转化为无臭气体（如二氧化碳、水蒸气等）蒸发，剩余被垫草吸收，牛尿液可实现零排放。</w:t>
      </w:r>
    </w:p>
    <w:p w14:paraId="5476E79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）生活污水</w:t>
      </w:r>
    </w:p>
    <w:p w14:paraId="6AAA30F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本项目生活用水量为</w:t>
      </w:r>
      <w:r>
        <w:rPr>
          <w:rFonts w:hint="default" w:ascii="Times New Roman" w:hAnsi="Times New Roman" w:eastAsia="宋体" w:cs="Times New Roman"/>
          <w:color w:val="auto"/>
          <w:highlight w:val="none"/>
          <w:lang w:val="en-US" w:eastAsia="zh-CN"/>
        </w:rPr>
        <w:t>6.4</w:t>
      </w:r>
      <w:r>
        <w:rPr>
          <w:rFonts w:hint="default" w:ascii="Times New Roman" w:hAnsi="Times New Roman" w:eastAsia="宋体" w:cs="Times New Roman"/>
          <w:color w:val="auto"/>
          <w:highlight w:val="none"/>
        </w:rPr>
        <w:t>t/d，生活污水量按用水量的80%计，则生活污水的产生量为</w:t>
      </w:r>
      <w:r>
        <w:rPr>
          <w:rFonts w:hint="default" w:ascii="Times New Roman" w:hAnsi="Times New Roman" w:eastAsia="宋体" w:cs="Times New Roman"/>
          <w:color w:val="auto"/>
          <w:highlight w:val="none"/>
          <w:lang w:val="en-US" w:eastAsia="zh-CN"/>
        </w:rPr>
        <w:t>5.12</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1868.8</w:t>
      </w:r>
      <w:r>
        <w:rPr>
          <w:rFonts w:hint="default" w:ascii="Times New Roman" w:hAnsi="Times New Roman" w:eastAsia="宋体" w:cs="Times New Roman"/>
          <w:color w:val="auto"/>
          <w:highlight w:val="none"/>
        </w:rPr>
        <w:t>t/a。</w:t>
      </w:r>
    </w:p>
    <w:p w14:paraId="5A45774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渗滤液</w:t>
      </w:r>
    </w:p>
    <w:p w14:paraId="72539D89">
      <w:pPr>
        <w:pStyle w:val="67"/>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本项目</w:t>
      </w:r>
      <w:r>
        <w:rPr>
          <w:rFonts w:hint="default" w:ascii="Times New Roman" w:hAnsi="Times New Roman" w:eastAsia="宋体" w:cs="Times New Roman"/>
          <w:color w:val="auto"/>
          <w:sz w:val="24"/>
          <w:szCs w:val="24"/>
          <w:highlight w:val="none"/>
          <w:lang w:eastAsia="zh-CN"/>
        </w:rPr>
        <w:t>废垫草垫料（含粪尿）产生量为</w:t>
      </w:r>
      <w:r>
        <w:rPr>
          <w:rFonts w:hint="eastAsia" w:cs="Times New Roman"/>
          <w:color w:val="auto"/>
          <w:sz w:val="24"/>
          <w:szCs w:val="24"/>
          <w:highlight w:val="none"/>
          <w:lang w:val="en-US" w:eastAsia="zh-CN"/>
        </w:rPr>
        <w:t>26018.2</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全部收集后运输至堆肥间进行好氧堆肥，</w:t>
      </w:r>
      <w:r>
        <w:rPr>
          <w:rFonts w:hint="default" w:ascii="Times New Roman" w:hAnsi="Times New Roman" w:eastAsia="宋体" w:cs="Times New Roman"/>
          <w:color w:val="auto"/>
          <w:highlight w:val="none"/>
          <w:lang w:val="en-US" w:eastAsia="zh-CN"/>
        </w:rPr>
        <w:t>堆肥间</w:t>
      </w:r>
      <w:r>
        <w:rPr>
          <w:rFonts w:hint="eastAsia" w:eastAsia="宋体" w:cs="Times New Roman"/>
          <w:color w:val="auto"/>
          <w:highlight w:val="none"/>
          <w:lang w:val="en-US" w:eastAsia="zh-CN"/>
        </w:rPr>
        <w:t>平均2天用翻堆机翻堆一次，</w:t>
      </w:r>
      <w:r>
        <w:rPr>
          <w:rFonts w:hint="default" w:ascii="Times New Roman" w:hAnsi="Times New Roman" w:eastAsia="宋体" w:cs="Times New Roman"/>
          <w:color w:val="auto"/>
          <w:highlight w:val="none"/>
        </w:rPr>
        <w:t>内部周围设置导流槽收集渗滤液</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设置一处渗滤液收集池（</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进行收集，依据企业经验值，结合</w:t>
      </w:r>
      <w:r>
        <w:rPr>
          <w:rFonts w:ascii="宋体" w:hAnsi="宋体" w:eastAsia="宋体" w:cs="宋体"/>
          <w:color w:val="auto"/>
          <w:sz w:val="24"/>
          <w:szCs w:val="24"/>
          <w:highlight w:val="none"/>
        </w:rPr>
        <w:t>本项目原料特性、堆肥工艺与防雨防渗措施，</w:t>
      </w:r>
      <w:r>
        <w:rPr>
          <w:rFonts w:hint="eastAsia" w:ascii="宋体" w:hAnsi="宋体" w:eastAsia="宋体" w:cs="宋体"/>
          <w:color w:val="auto"/>
          <w:sz w:val="24"/>
          <w:szCs w:val="24"/>
          <w:highlight w:val="none"/>
          <w:lang w:val="en-US" w:eastAsia="zh-CN"/>
        </w:rPr>
        <w:t>垫料中污水渗</w:t>
      </w:r>
      <w:r>
        <w:rPr>
          <w:rFonts w:hint="default" w:ascii="Times New Roman" w:hAnsi="Times New Roman" w:eastAsia="宋体" w:cs="Times New Roman"/>
          <w:color w:val="auto"/>
          <w:sz w:val="24"/>
          <w:szCs w:val="24"/>
          <w:highlight w:val="none"/>
          <w:lang w:val="en-US" w:eastAsia="zh-CN"/>
        </w:rPr>
        <w:t>透系数取值0.235m³/t原料。</w:t>
      </w:r>
      <w:r>
        <w:rPr>
          <w:rFonts w:hint="eastAsia" w:ascii="Times New Roman" w:hAnsi="Times New Roman" w:eastAsia="宋体" w:cs="Times New Roman"/>
          <w:color w:val="auto"/>
          <w:sz w:val="24"/>
          <w:szCs w:val="24"/>
          <w:highlight w:val="none"/>
          <w:lang w:val="en-US" w:eastAsia="zh-CN"/>
        </w:rPr>
        <w:t>则本项目堆肥间渗滤液产生量为</w:t>
      </w:r>
      <w:r>
        <w:rPr>
          <w:rFonts w:hint="eastAsia" w:eastAsia="宋体" w:cs="Times New Roman"/>
          <w:color w:val="auto"/>
          <w:sz w:val="24"/>
          <w:szCs w:val="24"/>
          <w:highlight w:val="none"/>
          <w:lang w:val="en-US" w:eastAsia="zh-CN"/>
        </w:rPr>
        <w:t>6114.3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/a，</w:t>
      </w:r>
      <w:r>
        <w:rPr>
          <w:rFonts w:hint="eastAsia" w:eastAsia="宋体" w:cs="Times New Roman"/>
          <w:color w:val="auto"/>
          <w:sz w:val="24"/>
          <w:szCs w:val="24"/>
          <w:highlight w:val="none"/>
          <w:lang w:val="en-US" w:eastAsia="zh-CN"/>
        </w:rPr>
        <w:t>16.8</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w:t>
      </w:r>
    </w:p>
    <w:p w14:paraId="5E7DBD9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w:t>
      </w:r>
    </w:p>
    <w:p w14:paraId="6D35046F">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在玉米秸秆青贮过程中将会有青贮渗滤液产生，根据《全株玉米青贮渗出液资源的开发利用》（陕西农业科学，2010（2），第98页），青贮渗滤液产生量约为172L/t青贮料。本项目玉米秸秆青贮量为</w:t>
      </w:r>
      <w:r>
        <w:rPr>
          <w:rFonts w:hint="eastAsia" w:eastAsia="宋体" w:cs="Times New Roman"/>
          <w:color w:val="auto"/>
          <w:highlight w:val="none"/>
          <w:lang w:val="en-US" w:eastAsia="zh-CN"/>
        </w:rPr>
        <w:t>96</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t/a，青贮时间约为30d，则青贮池渗滤液产生量为</w:t>
      </w:r>
      <w:r>
        <w:rPr>
          <w:rFonts w:hint="eastAsia" w:eastAsia="宋体" w:cs="Times New Roman"/>
          <w:color w:val="auto"/>
          <w:highlight w:val="none"/>
          <w:lang w:val="en-US" w:eastAsia="zh-CN"/>
        </w:rPr>
        <w:t>16512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eastAsia" w:eastAsia="宋体" w:cs="Times New Roman"/>
          <w:color w:val="auto"/>
          <w:highlight w:val="none"/>
          <w:lang w:val="en-US" w:eastAsia="zh-CN"/>
        </w:rPr>
        <w:t>45.2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/d。本项目在青贮窑底设置排水管道，渗滤液排入青贮液接收池中。采取将青贮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渗滤液与精料按比例配合饲喂肉牛，其味道酸甜，可促进食欲，但须随配随用，以免发霉。冬季不进行玉米秸秆青贮发酵生产，无渗滤液产生。</w:t>
      </w:r>
    </w:p>
    <w:p w14:paraId="29F8975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初期雨水</w:t>
      </w:r>
    </w:p>
    <w:p w14:paraId="40BBEDC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初期雨水的估算方法，以暴雨量的前15min雨量作为初期雨水量。本评价采用暴雨强度及雨水流量计算公式进行估算，计算公式如下</w:t>
      </w:r>
    </w:p>
    <w:p w14:paraId="4E0C353B">
      <w:pPr>
        <w:pStyle w:val="67"/>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V=q×ψ×F×t×60/1000</w:t>
      </w:r>
    </w:p>
    <w:p w14:paraId="2B220E5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7A3E6D3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t——降雨历时，min，取15；</w:t>
      </w:r>
    </w:p>
    <w:p w14:paraId="332BD096">
      <w:pPr>
        <w:pStyle w:val="6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F——汇水面积，hm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，本项目厂区占地面积为</w:t>
      </w:r>
      <w:r>
        <w:rPr>
          <w:rFonts w:hint="eastAsia" w:eastAsia="宋体" w:cs="Times New Roman"/>
          <w:color w:val="auto"/>
          <w:highlight w:val="none"/>
          <w:lang w:val="en-US" w:eastAsia="zh-CN"/>
        </w:rPr>
        <w:t>56.4161万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经与企业</w:t>
      </w:r>
      <w:r>
        <w:rPr>
          <w:rFonts w:hint="eastAsia" w:ascii="Times New Roman" w:hAnsi="Times New Roman" w:eastAsia="宋体" w:cs="Times New Roman"/>
          <w:color w:val="auto"/>
          <w:highlight w:val="none"/>
          <w:lang w:val="en-US" w:eastAsia="zh-CN"/>
        </w:rPr>
        <w:t>核实，道路硬化面积为</w:t>
      </w:r>
      <w:r>
        <w:rPr>
          <w:rFonts w:hint="eastAsia" w:eastAsia="宋体" w:cs="Times New Roman"/>
          <w:color w:val="auto"/>
          <w:highlight w:val="none"/>
          <w:lang w:val="en-US" w:eastAsia="zh-CN"/>
        </w:rPr>
        <w:t>66300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lang w:eastAsia="zh-CN"/>
        </w:rPr>
        <w:t>。</w:t>
      </w:r>
    </w:p>
    <w:p w14:paraId="7BDB2FC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ψ——径流系数，取0.</w:t>
      </w:r>
      <w:r>
        <w:rPr>
          <w:rFonts w:hint="eastAsia" w:eastAsia="宋体" w:cs="Times New Roman"/>
          <w:color w:val="auto"/>
          <w:highlight w:val="none"/>
          <w:lang w:val="en-US" w:eastAsia="zh-CN"/>
        </w:rPr>
        <w:t>9</w:t>
      </w:r>
      <w:r>
        <w:rPr>
          <w:rFonts w:hint="default" w:ascii="Times New Roman" w:hAnsi="Times New Roman" w:eastAsia="宋体" w:cs="Times New Roman"/>
          <w:color w:val="auto"/>
          <w:highlight w:val="none"/>
        </w:rPr>
        <w:t>；</w:t>
      </w:r>
    </w:p>
    <w:p w14:paraId="6DCCB5A8">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q——设计暴雨强度，L/(s·hm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)，当地暴雨强度：q＝</w:t>
      </w:r>
      <w:r>
        <w:rPr>
          <w:rFonts w:hint="default" w:ascii="Times New Roman" w:hAnsi="Times New Roman" w:eastAsia="宋体" w:cs="Times New Roman"/>
          <w:color w:val="auto"/>
          <w:highlight w:val="none"/>
          <w:lang w:val="en-US" w:eastAsia="zh-CN"/>
        </w:rPr>
        <w:t>2806</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en-US" w:eastAsia="zh-CN"/>
        </w:rPr>
        <w:t>831</w:t>
      </w:r>
      <w:r>
        <w:rPr>
          <w:rFonts w:hint="default" w:ascii="Times New Roman" w:hAnsi="Times New Roman" w:eastAsia="宋体" w:cs="Times New Roman"/>
          <w:color w:val="auto"/>
          <w:highlight w:val="none"/>
        </w:rPr>
        <w:t>lgP)/(t+</w:t>
      </w:r>
      <w:r>
        <w:rPr>
          <w:rFonts w:hint="default" w:ascii="Times New Roman" w:hAnsi="Times New Roman" w:eastAsia="宋体" w:cs="Times New Roman"/>
          <w:color w:val="auto"/>
          <w:highlight w:val="none"/>
          <w:lang w:val="en-US" w:eastAsia="zh-CN"/>
        </w:rPr>
        <w:t>8.5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vertAlign w:val="superscript"/>
        </w:rPr>
        <w:t>0.</w:t>
      </w:r>
      <w:r>
        <w:rPr>
          <w:rFonts w:hint="default" w:ascii="Times New Roman" w:hAnsi="Times New Roman" w:eastAsia="宋体" w:cs="Times New Roman"/>
          <w:color w:val="auto"/>
          <w:highlight w:val="none"/>
          <w:vertAlign w:val="superscript"/>
          <w:lang w:val="en-US" w:eastAsia="zh-CN"/>
        </w:rPr>
        <w:t>93</w:t>
      </w:r>
      <w:r>
        <w:rPr>
          <w:rFonts w:hint="default" w:ascii="Times New Roman" w:hAnsi="Times New Roman" w:eastAsia="宋体" w:cs="Times New Roman"/>
          <w:color w:val="auto"/>
          <w:highlight w:val="none"/>
        </w:rPr>
        <w:t>，其中P为设计重现期，取</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a，t为降雨历时，取15min，计算可得q值为</w:t>
      </w:r>
      <w:r>
        <w:rPr>
          <w:rFonts w:hint="eastAsia" w:ascii="Times New Roman" w:hAnsi="Times New Roman" w:eastAsia="宋体" w:cs="Times New Roman"/>
          <w:color w:val="auto"/>
          <w:highlight w:val="none"/>
          <w:lang w:val="en-US" w:eastAsia="zh-CN"/>
        </w:rPr>
        <w:t>186.15</w:t>
      </w:r>
      <w:r>
        <w:rPr>
          <w:rFonts w:hint="default" w:ascii="Times New Roman" w:hAnsi="Times New Roman" w:eastAsia="宋体" w:cs="Times New Roman"/>
          <w:color w:val="auto"/>
          <w:highlight w:val="none"/>
        </w:rPr>
        <w:t>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雨水流量Q值为</w:t>
      </w:r>
      <w:r>
        <w:rPr>
          <w:rFonts w:hint="eastAsia" w:eastAsia="宋体" w:cs="Times New Roman"/>
          <w:color w:val="auto"/>
          <w:highlight w:val="none"/>
          <w:lang w:val="en-US" w:eastAsia="zh-CN"/>
        </w:rPr>
        <w:t>1110.73</w:t>
      </w:r>
      <w:r>
        <w:rPr>
          <w:rFonts w:hint="default" w:ascii="Times New Roman" w:hAnsi="Times New Roman" w:eastAsia="宋体" w:cs="Times New Roman"/>
          <w:color w:val="auto"/>
          <w:highlight w:val="none"/>
          <w:lang w:val="en-US" w:eastAsia="zh-CN"/>
        </w:rPr>
        <w:t>L/s。</w:t>
      </w:r>
    </w:p>
    <w:p w14:paraId="37FC908D">
      <w:pPr>
        <w:bidi w:val="0"/>
        <w:rPr>
          <w:rFonts w:hint="default"/>
          <w:color w:val="auto"/>
          <w:highlight w:val="none"/>
          <w:lang w:val="en-US" w:eastAsia="zh-CN"/>
        </w:rPr>
      </w:pPr>
    </w:p>
    <w:p w14:paraId="58B209EF">
      <w:pPr>
        <w:pStyle w:val="38"/>
        <w:rPr>
          <w:rFonts w:hint="default"/>
          <w:color w:val="auto"/>
          <w:highlight w:val="none"/>
          <w:lang w:val="en-US" w:eastAsia="zh-CN"/>
        </w:rPr>
      </w:pPr>
    </w:p>
    <w:p w14:paraId="65F845C7">
      <w:pPr>
        <w:rPr>
          <w:rFonts w:hint="default"/>
          <w:color w:val="auto"/>
          <w:highlight w:val="none"/>
          <w:lang w:val="en-US" w:eastAsia="zh-CN"/>
        </w:rPr>
      </w:pPr>
    </w:p>
    <w:p w14:paraId="5108BD8F">
      <w:pPr>
        <w:pStyle w:val="38"/>
        <w:rPr>
          <w:rFonts w:hint="default"/>
          <w:color w:val="auto"/>
          <w:highlight w:val="none"/>
          <w:lang w:val="en-US" w:eastAsia="zh-CN"/>
        </w:rPr>
      </w:pPr>
      <w:r>
        <w:rPr>
          <w:color w:val="auto"/>
          <w:highlight w:val="none"/>
        </w:rPr>
        <w:drawing>
          <wp:anchor distT="0" distB="0" distL="114300" distR="114300" simplePos="0" relativeHeight="251683840" behindDoc="0" locked="0" layoutInCell="1" allowOverlap="1">
            <wp:simplePos x="0" y="0"/>
            <wp:positionH relativeFrom="column">
              <wp:posOffset>542290</wp:posOffset>
            </wp:positionH>
            <wp:positionV relativeFrom="paragraph">
              <wp:posOffset>11430</wp:posOffset>
            </wp:positionV>
            <wp:extent cx="4163060" cy="4053205"/>
            <wp:effectExtent l="0" t="0" r="8890" b="4445"/>
            <wp:wrapNone/>
            <wp:docPr id="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
                    <pic:cNvPicPr>
                      <a:picLocks noChangeAspect="1"/>
                    </pic:cNvPicPr>
                  </pic:nvPicPr>
                  <pic:blipFill>
                    <a:blip r:embed="rId34"/>
                    <a:stretch>
                      <a:fillRect/>
                    </a:stretch>
                  </pic:blipFill>
                  <pic:spPr>
                    <a:xfrm>
                      <a:off x="0" y="0"/>
                      <a:ext cx="4163060" cy="4053205"/>
                    </a:xfrm>
                    <a:prstGeom prst="rect">
                      <a:avLst/>
                    </a:prstGeom>
                    <a:noFill/>
                    <a:ln>
                      <a:noFill/>
                    </a:ln>
                  </pic:spPr>
                </pic:pic>
              </a:graphicData>
            </a:graphic>
          </wp:anchor>
        </w:drawing>
      </w:r>
    </w:p>
    <w:p w14:paraId="47EFAF54">
      <w:pPr>
        <w:pStyle w:val="67"/>
        <w:ind w:firstLine="480"/>
        <w:rPr>
          <w:rFonts w:hint="default" w:ascii="Times New Roman" w:hAnsi="Times New Roman" w:eastAsia="宋体" w:cs="Times New Roman"/>
          <w:color w:val="auto"/>
          <w:highlight w:val="none"/>
          <w:lang w:val="en-US" w:eastAsia="zh-CN"/>
        </w:rPr>
      </w:pPr>
    </w:p>
    <w:p w14:paraId="7278EF25">
      <w:pPr>
        <w:pStyle w:val="67"/>
        <w:ind w:firstLine="480"/>
        <w:rPr>
          <w:rFonts w:hint="default" w:ascii="Times New Roman" w:hAnsi="Times New Roman" w:eastAsia="宋体" w:cs="Times New Roman"/>
          <w:color w:val="auto"/>
          <w:highlight w:val="none"/>
          <w:lang w:val="en-US" w:eastAsia="zh-CN"/>
        </w:rPr>
      </w:pPr>
    </w:p>
    <w:p w14:paraId="3CFD6486">
      <w:pPr>
        <w:pStyle w:val="67"/>
        <w:ind w:firstLine="480"/>
        <w:rPr>
          <w:rFonts w:hint="default" w:ascii="Times New Roman" w:hAnsi="Times New Roman" w:eastAsia="宋体" w:cs="Times New Roman"/>
          <w:color w:val="auto"/>
          <w:highlight w:val="none"/>
          <w:lang w:val="en-US" w:eastAsia="zh-CN"/>
        </w:rPr>
      </w:pPr>
    </w:p>
    <w:p w14:paraId="25302CBC">
      <w:pPr>
        <w:pStyle w:val="67"/>
        <w:ind w:firstLine="480"/>
        <w:rPr>
          <w:rFonts w:hint="default" w:ascii="Times New Roman" w:hAnsi="Times New Roman" w:eastAsia="宋体" w:cs="Times New Roman"/>
          <w:color w:val="auto"/>
          <w:highlight w:val="none"/>
          <w:lang w:val="en-US" w:eastAsia="zh-CN"/>
        </w:rPr>
      </w:pPr>
    </w:p>
    <w:p w14:paraId="01FA902C">
      <w:pPr>
        <w:pStyle w:val="67"/>
        <w:ind w:firstLine="480"/>
        <w:rPr>
          <w:rFonts w:hint="default" w:ascii="Times New Roman" w:hAnsi="Times New Roman" w:eastAsia="宋体" w:cs="Times New Roman"/>
          <w:color w:val="auto"/>
          <w:highlight w:val="none"/>
          <w:lang w:val="en-US" w:eastAsia="zh-CN"/>
        </w:rPr>
      </w:pPr>
    </w:p>
    <w:p w14:paraId="6DF55F8A">
      <w:pPr>
        <w:pStyle w:val="67"/>
        <w:ind w:firstLine="480"/>
        <w:rPr>
          <w:rFonts w:hint="default" w:ascii="Times New Roman" w:hAnsi="Times New Roman" w:eastAsia="宋体" w:cs="Times New Roman"/>
          <w:color w:val="auto"/>
          <w:highlight w:val="none"/>
          <w:lang w:val="en-US" w:eastAsia="zh-CN"/>
        </w:rPr>
      </w:pPr>
    </w:p>
    <w:p w14:paraId="22447413">
      <w:pPr>
        <w:pStyle w:val="67"/>
        <w:ind w:firstLine="480"/>
        <w:rPr>
          <w:rFonts w:hint="default" w:ascii="Times New Roman" w:hAnsi="Times New Roman" w:eastAsia="宋体" w:cs="Times New Roman"/>
          <w:color w:val="auto"/>
          <w:highlight w:val="none"/>
          <w:lang w:val="en-US" w:eastAsia="zh-CN"/>
        </w:rPr>
      </w:pPr>
    </w:p>
    <w:p w14:paraId="2A0E068B">
      <w:pPr>
        <w:pStyle w:val="67"/>
        <w:ind w:firstLine="480"/>
        <w:rPr>
          <w:rFonts w:hint="default" w:ascii="Times New Roman" w:hAnsi="Times New Roman" w:eastAsia="宋体" w:cs="Times New Roman"/>
          <w:color w:val="auto"/>
          <w:highlight w:val="none"/>
          <w:lang w:val="en-US" w:eastAsia="zh-CN"/>
        </w:rPr>
      </w:pPr>
    </w:p>
    <w:p w14:paraId="6024AD2D">
      <w:pPr>
        <w:pStyle w:val="67"/>
        <w:ind w:firstLine="480"/>
        <w:rPr>
          <w:rFonts w:hint="default" w:ascii="Times New Roman" w:hAnsi="Times New Roman" w:eastAsia="宋体" w:cs="Times New Roman"/>
          <w:color w:val="auto"/>
          <w:highlight w:val="none"/>
          <w:lang w:val="en-US" w:eastAsia="zh-CN"/>
        </w:rPr>
      </w:pPr>
    </w:p>
    <w:p w14:paraId="4F78DE28">
      <w:pPr>
        <w:pStyle w:val="67"/>
        <w:ind w:firstLine="480"/>
        <w:rPr>
          <w:rFonts w:hint="default" w:ascii="Times New Roman" w:hAnsi="Times New Roman" w:eastAsia="宋体" w:cs="Times New Roman"/>
          <w:color w:val="auto"/>
          <w:highlight w:val="none"/>
          <w:lang w:val="en-US" w:eastAsia="zh-CN"/>
        </w:rPr>
      </w:pPr>
    </w:p>
    <w:p w14:paraId="1D09DD84">
      <w:pPr>
        <w:pStyle w:val="67"/>
        <w:ind w:firstLine="480"/>
        <w:rPr>
          <w:rFonts w:hint="default" w:ascii="Times New Roman" w:hAnsi="Times New Roman" w:eastAsia="宋体" w:cs="Times New Roman"/>
          <w:color w:val="auto"/>
          <w:highlight w:val="none"/>
          <w:lang w:val="en-US" w:eastAsia="zh-CN"/>
        </w:rPr>
      </w:pPr>
    </w:p>
    <w:p w14:paraId="0C66CEA2">
      <w:pPr>
        <w:pStyle w:val="67"/>
        <w:ind w:firstLine="480"/>
        <w:rPr>
          <w:rFonts w:hint="default" w:ascii="Times New Roman" w:hAnsi="Times New Roman" w:eastAsia="宋体" w:cs="Times New Roman"/>
          <w:color w:val="auto"/>
          <w:highlight w:val="none"/>
          <w:lang w:val="en-US" w:eastAsia="zh-CN"/>
        </w:rPr>
      </w:pPr>
    </w:p>
    <w:p w14:paraId="3D9387B7">
      <w:pPr>
        <w:pStyle w:val="67"/>
        <w:ind w:firstLine="480"/>
        <w:jc w:val="center"/>
        <w:rPr>
          <w:rFonts w:hint="default" w:ascii="Times New Roman" w:hAnsi="Times New Roman" w:eastAsia="宋体" w:cs="Times New Roman"/>
          <w:color w:val="auto"/>
          <w:highlight w:val="none"/>
        </w:rPr>
      </w:pPr>
      <w:r>
        <w:rPr>
          <w:rFonts w:hint="default" w:ascii="Times New Roman" w:hAnsi="Times New Roman" w:eastAsia="黑体" w:cs="Times New Roman"/>
          <w:color w:val="auto"/>
          <w:highlight w:val="none"/>
          <w:lang w:val="en-US" w:eastAsia="zh-CN"/>
        </w:rPr>
        <w:t>图3.2-1 初期雨水计算图</w:t>
      </w:r>
      <w:r>
        <w:rPr>
          <w:rFonts w:hint="eastAsia" w:eastAsia="黑体" w:cs="Times New Roman"/>
          <w:color w:val="auto"/>
          <w:highlight w:val="none"/>
          <w:lang w:val="en-US" w:eastAsia="zh-CN"/>
        </w:rPr>
        <w:t>（一）</w:t>
      </w:r>
    </w:p>
    <w:p w14:paraId="67FEF229">
      <w:pPr>
        <w:pStyle w:val="67"/>
        <w:ind w:firstLine="48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厂区绿化用地、活动场地及预留空地</w:t>
      </w:r>
      <w:r>
        <w:rPr>
          <w:rFonts w:hint="eastAsia" w:ascii="Times New Roman" w:hAnsi="Times New Roman" w:eastAsia="宋体" w:cs="Times New Roman"/>
          <w:color w:val="auto"/>
          <w:highlight w:val="none"/>
          <w:lang w:val="en-US" w:eastAsia="zh-CN"/>
        </w:rPr>
        <w:t>汇水面积为</w:t>
      </w:r>
      <w:r>
        <w:rPr>
          <w:rFonts w:hint="eastAsia" w:eastAsia="宋体" w:cs="Times New Roman"/>
          <w:color w:val="auto"/>
          <w:highlight w:val="none"/>
          <w:lang w:val="en-US" w:eastAsia="zh-CN"/>
        </w:rPr>
        <w:t>404135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应根据不同地貌分别计算其暴雨强度。</w:t>
      </w:r>
    </w:p>
    <w:p w14:paraId="435BAAE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ψ——径流系数，取0.</w:t>
      </w:r>
      <w:r>
        <w:rPr>
          <w:rFonts w:hint="eastAsia" w:eastAsia="宋体" w:cs="Times New Roman"/>
          <w:color w:val="auto"/>
          <w:highlight w:val="none"/>
          <w:lang w:val="en-US" w:eastAsia="zh-CN"/>
        </w:rPr>
        <w:t>15</w:t>
      </w:r>
      <w:r>
        <w:rPr>
          <w:rFonts w:hint="default" w:ascii="Times New Roman" w:hAnsi="Times New Roman" w:eastAsia="宋体" w:cs="Times New Roman"/>
          <w:color w:val="auto"/>
          <w:highlight w:val="none"/>
        </w:rPr>
        <w:t>；</w:t>
      </w:r>
    </w:p>
    <w:p w14:paraId="58FC93D8">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q——设计暴雨强度，L/(s·hm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)，当地暴雨强度：q＝</w:t>
      </w:r>
      <w:r>
        <w:rPr>
          <w:rFonts w:hint="default" w:ascii="Times New Roman" w:hAnsi="Times New Roman" w:eastAsia="宋体" w:cs="Times New Roman"/>
          <w:color w:val="auto"/>
          <w:highlight w:val="none"/>
          <w:lang w:val="en-US" w:eastAsia="zh-CN"/>
        </w:rPr>
        <w:t>2806</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en-US" w:eastAsia="zh-CN"/>
        </w:rPr>
        <w:t>831</w:t>
      </w:r>
      <w:r>
        <w:rPr>
          <w:rFonts w:hint="default" w:ascii="Times New Roman" w:hAnsi="Times New Roman" w:eastAsia="宋体" w:cs="Times New Roman"/>
          <w:color w:val="auto"/>
          <w:highlight w:val="none"/>
        </w:rPr>
        <w:t>lgP)/(t+</w:t>
      </w:r>
      <w:r>
        <w:rPr>
          <w:rFonts w:hint="default" w:ascii="Times New Roman" w:hAnsi="Times New Roman" w:eastAsia="宋体" w:cs="Times New Roman"/>
          <w:color w:val="auto"/>
          <w:highlight w:val="none"/>
          <w:lang w:val="en-US" w:eastAsia="zh-CN"/>
        </w:rPr>
        <w:t>8.5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vertAlign w:val="superscript"/>
        </w:rPr>
        <w:t>0.</w:t>
      </w:r>
      <w:r>
        <w:rPr>
          <w:rFonts w:hint="default" w:ascii="Times New Roman" w:hAnsi="Times New Roman" w:eastAsia="宋体" w:cs="Times New Roman"/>
          <w:color w:val="auto"/>
          <w:highlight w:val="none"/>
          <w:vertAlign w:val="superscript"/>
          <w:lang w:val="en-US" w:eastAsia="zh-CN"/>
        </w:rPr>
        <w:t>93</w:t>
      </w:r>
      <w:r>
        <w:rPr>
          <w:rFonts w:hint="default" w:ascii="Times New Roman" w:hAnsi="Times New Roman" w:eastAsia="宋体" w:cs="Times New Roman"/>
          <w:color w:val="auto"/>
          <w:highlight w:val="none"/>
        </w:rPr>
        <w:t>，其中P为设计重现期，取</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a，t为降雨历时，取15min，计算可得q值为</w:t>
      </w:r>
      <w:r>
        <w:rPr>
          <w:rFonts w:hint="eastAsia" w:ascii="Times New Roman" w:hAnsi="Times New Roman" w:eastAsia="宋体" w:cs="Times New Roman"/>
          <w:color w:val="auto"/>
          <w:highlight w:val="none"/>
          <w:lang w:val="en-US" w:eastAsia="zh-CN"/>
        </w:rPr>
        <w:t>186.15</w:t>
      </w:r>
      <w:r>
        <w:rPr>
          <w:rFonts w:hint="default" w:ascii="Times New Roman" w:hAnsi="Times New Roman" w:eastAsia="宋体" w:cs="Times New Roman"/>
          <w:color w:val="auto"/>
          <w:highlight w:val="none"/>
        </w:rPr>
        <w:t>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雨水流量Q值为</w:t>
      </w:r>
      <w:r>
        <w:rPr>
          <w:rFonts w:hint="eastAsia" w:eastAsia="宋体" w:cs="Times New Roman"/>
          <w:color w:val="auto"/>
          <w:highlight w:val="none"/>
          <w:lang w:val="en-US" w:eastAsia="zh-CN"/>
        </w:rPr>
        <w:t>1128.42</w:t>
      </w:r>
      <w:r>
        <w:rPr>
          <w:rFonts w:hint="default" w:ascii="Times New Roman" w:hAnsi="Times New Roman" w:eastAsia="宋体" w:cs="Times New Roman"/>
          <w:color w:val="auto"/>
          <w:highlight w:val="none"/>
          <w:lang w:val="en-US" w:eastAsia="zh-CN"/>
        </w:rPr>
        <w:t>L/s。</w:t>
      </w:r>
    </w:p>
    <w:p w14:paraId="610570A4">
      <w:pPr>
        <w:pStyle w:val="67"/>
        <w:ind w:firstLine="480"/>
        <w:rPr>
          <w:rFonts w:hint="default" w:ascii="Times New Roman" w:hAnsi="Times New Roman" w:eastAsia="宋体" w:cs="Times New Roman"/>
          <w:color w:val="auto"/>
          <w:highlight w:val="none"/>
        </w:rPr>
      </w:pPr>
    </w:p>
    <w:p w14:paraId="018A1795">
      <w:pPr>
        <w:pStyle w:val="67"/>
        <w:ind w:firstLine="480"/>
        <w:rPr>
          <w:rFonts w:hint="default" w:ascii="Times New Roman" w:hAnsi="Times New Roman" w:eastAsia="宋体" w:cs="Times New Roman"/>
          <w:color w:val="auto"/>
          <w:highlight w:val="none"/>
        </w:rPr>
      </w:pPr>
    </w:p>
    <w:p w14:paraId="75D0AACF">
      <w:pPr>
        <w:pStyle w:val="67"/>
        <w:ind w:firstLine="480"/>
        <w:rPr>
          <w:rFonts w:hint="default" w:ascii="Times New Roman" w:hAnsi="Times New Roman" w:eastAsia="宋体" w:cs="Times New Roman"/>
          <w:color w:val="auto"/>
          <w:highlight w:val="none"/>
        </w:rPr>
      </w:pPr>
    </w:p>
    <w:p w14:paraId="04CA54A2">
      <w:pPr>
        <w:pStyle w:val="67"/>
        <w:ind w:firstLine="480"/>
        <w:rPr>
          <w:rFonts w:hint="default" w:ascii="Times New Roman" w:hAnsi="Times New Roman" w:eastAsia="宋体" w:cs="Times New Roman"/>
          <w:color w:val="auto"/>
          <w:highlight w:val="none"/>
        </w:rPr>
      </w:pPr>
    </w:p>
    <w:p w14:paraId="581DAC30">
      <w:pPr>
        <w:pStyle w:val="67"/>
        <w:ind w:firstLine="480"/>
        <w:rPr>
          <w:rFonts w:hint="default" w:ascii="Times New Roman" w:hAnsi="Times New Roman" w:eastAsia="宋体" w:cs="Times New Roman"/>
          <w:color w:val="auto"/>
          <w:highlight w:val="none"/>
        </w:rPr>
      </w:pPr>
    </w:p>
    <w:p w14:paraId="36C26591">
      <w:pPr>
        <w:pStyle w:val="67"/>
        <w:ind w:firstLine="480"/>
        <w:rPr>
          <w:rFonts w:hint="default" w:ascii="Times New Roman" w:hAnsi="Times New Roman" w:eastAsia="宋体" w:cs="Times New Roman"/>
          <w:color w:val="auto"/>
          <w:highlight w:val="none"/>
        </w:rPr>
      </w:pPr>
    </w:p>
    <w:p w14:paraId="5A1C4565">
      <w:pPr>
        <w:pStyle w:val="67"/>
        <w:ind w:firstLine="480"/>
        <w:rPr>
          <w:rFonts w:hint="default" w:ascii="Times New Roman" w:hAnsi="Times New Roman" w:eastAsia="宋体" w:cs="Times New Roman"/>
          <w:color w:val="auto"/>
          <w:highlight w:val="none"/>
        </w:rPr>
      </w:pPr>
    </w:p>
    <w:p w14:paraId="21AC7CB7">
      <w:pPr>
        <w:pStyle w:val="67"/>
        <w:ind w:firstLine="480"/>
        <w:rPr>
          <w:rFonts w:hint="default" w:ascii="Times New Roman" w:hAnsi="Times New Roman" w:eastAsia="宋体" w:cs="Times New Roman"/>
          <w:color w:val="auto"/>
          <w:highlight w:val="none"/>
        </w:rPr>
      </w:pPr>
    </w:p>
    <w:p w14:paraId="76B3456D">
      <w:pPr>
        <w:pStyle w:val="67"/>
        <w:ind w:firstLine="480"/>
        <w:rPr>
          <w:rFonts w:hint="default" w:ascii="Times New Roman" w:hAnsi="Times New Roman" w:eastAsia="宋体" w:cs="Times New Roman"/>
          <w:color w:val="auto"/>
          <w:highlight w:val="none"/>
        </w:rPr>
      </w:pPr>
      <w:r>
        <w:rPr>
          <w:color w:val="auto"/>
          <w:highlight w:val="none"/>
        </w:rPr>
        <w:drawing>
          <wp:anchor distT="0" distB="0" distL="114300" distR="114300" simplePos="0" relativeHeight="251684864" behindDoc="0" locked="0" layoutInCell="1" allowOverlap="1">
            <wp:simplePos x="0" y="0"/>
            <wp:positionH relativeFrom="column">
              <wp:posOffset>578485</wp:posOffset>
            </wp:positionH>
            <wp:positionV relativeFrom="paragraph">
              <wp:posOffset>22225</wp:posOffset>
            </wp:positionV>
            <wp:extent cx="4150995" cy="4008755"/>
            <wp:effectExtent l="0" t="0" r="1905" b="10795"/>
            <wp:wrapNone/>
            <wp:docPr id="1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9"/>
                    <pic:cNvPicPr>
                      <a:picLocks noChangeAspect="1"/>
                    </pic:cNvPicPr>
                  </pic:nvPicPr>
                  <pic:blipFill>
                    <a:blip r:embed="rId35"/>
                    <a:stretch>
                      <a:fillRect/>
                    </a:stretch>
                  </pic:blipFill>
                  <pic:spPr>
                    <a:xfrm>
                      <a:off x="0" y="0"/>
                      <a:ext cx="4150995" cy="4008755"/>
                    </a:xfrm>
                    <a:prstGeom prst="rect">
                      <a:avLst/>
                    </a:prstGeom>
                    <a:noFill/>
                    <a:ln>
                      <a:noFill/>
                    </a:ln>
                  </pic:spPr>
                </pic:pic>
              </a:graphicData>
            </a:graphic>
          </wp:anchor>
        </w:drawing>
      </w:r>
    </w:p>
    <w:p w14:paraId="793C8EC9">
      <w:pPr>
        <w:pStyle w:val="67"/>
        <w:ind w:firstLine="480"/>
        <w:rPr>
          <w:rFonts w:hint="default" w:ascii="Times New Roman" w:hAnsi="Times New Roman" w:eastAsia="宋体" w:cs="Times New Roman"/>
          <w:color w:val="auto"/>
          <w:highlight w:val="none"/>
        </w:rPr>
      </w:pPr>
    </w:p>
    <w:p w14:paraId="2FC1D9F9">
      <w:pPr>
        <w:pStyle w:val="67"/>
        <w:ind w:firstLine="480"/>
        <w:rPr>
          <w:rFonts w:hint="default" w:ascii="Times New Roman" w:hAnsi="Times New Roman" w:eastAsia="宋体" w:cs="Times New Roman"/>
          <w:color w:val="auto"/>
          <w:highlight w:val="none"/>
        </w:rPr>
      </w:pPr>
    </w:p>
    <w:p w14:paraId="4FAEDB13">
      <w:pPr>
        <w:pStyle w:val="67"/>
        <w:ind w:firstLine="480"/>
        <w:rPr>
          <w:rFonts w:hint="default" w:ascii="Times New Roman" w:hAnsi="Times New Roman" w:eastAsia="宋体" w:cs="Times New Roman"/>
          <w:color w:val="auto"/>
          <w:highlight w:val="none"/>
        </w:rPr>
      </w:pPr>
    </w:p>
    <w:p w14:paraId="675AFB81">
      <w:pPr>
        <w:pStyle w:val="67"/>
        <w:ind w:firstLine="480"/>
        <w:rPr>
          <w:rFonts w:hint="default" w:ascii="Times New Roman" w:hAnsi="Times New Roman" w:eastAsia="宋体" w:cs="Times New Roman"/>
          <w:color w:val="auto"/>
          <w:highlight w:val="none"/>
        </w:rPr>
      </w:pPr>
    </w:p>
    <w:p w14:paraId="1417454C">
      <w:pPr>
        <w:pStyle w:val="67"/>
        <w:ind w:firstLine="480"/>
        <w:rPr>
          <w:rFonts w:hint="default" w:ascii="Times New Roman" w:hAnsi="Times New Roman" w:eastAsia="宋体" w:cs="Times New Roman"/>
          <w:color w:val="auto"/>
          <w:highlight w:val="none"/>
        </w:rPr>
      </w:pPr>
    </w:p>
    <w:p w14:paraId="6B354D06">
      <w:pPr>
        <w:pStyle w:val="67"/>
        <w:ind w:firstLine="480"/>
        <w:rPr>
          <w:rFonts w:hint="default" w:ascii="Times New Roman" w:hAnsi="Times New Roman" w:eastAsia="宋体" w:cs="Times New Roman"/>
          <w:color w:val="auto"/>
          <w:highlight w:val="none"/>
        </w:rPr>
      </w:pPr>
    </w:p>
    <w:p w14:paraId="54A33125">
      <w:pPr>
        <w:pStyle w:val="67"/>
        <w:ind w:firstLine="480"/>
        <w:rPr>
          <w:rFonts w:hint="default" w:ascii="Times New Roman" w:hAnsi="Times New Roman" w:eastAsia="宋体" w:cs="Times New Roman"/>
          <w:color w:val="auto"/>
          <w:highlight w:val="none"/>
        </w:rPr>
      </w:pPr>
    </w:p>
    <w:p w14:paraId="7D95E4A9">
      <w:pPr>
        <w:pStyle w:val="67"/>
        <w:ind w:firstLine="480"/>
        <w:rPr>
          <w:rFonts w:hint="default" w:ascii="Times New Roman" w:hAnsi="Times New Roman" w:eastAsia="宋体" w:cs="Times New Roman"/>
          <w:color w:val="auto"/>
          <w:highlight w:val="none"/>
        </w:rPr>
      </w:pPr>
    </w:p>
    <w:p w14:paraId="3CF8FACD">
      <w:pPr>
        <w:pStyle w:val="67"/>
        <w:ind w:firstLine="480"/>
        <w:rPr>
          <w:rFonts w:hint="default" w:ascii="Times New Roman" w:hAnsi="Times New Roman" w:eastAsia="宋体" w:cs="Times New Roman"/>
          <w:color w:val="auto"/>
          <w:highlight w:val="none"/>
        </w:rPr>
      </w:pPr>
    </w:p>
    <w:p w14:paraId="74DEF167">
      <w:pPr>
        <w:pStyle w:val="67"/>
        <w:ind w:firstLine="480"/>
        <w:jc w:val="center"/>
        <w:rPr>
          <w:rFonts w:hint="default" w:ascii="Times New Roman" w:hAnsi="Times New Roman" w:eastAsia="黑体" w:cs="Times New Roman"/>
          <w:color w:val="auto"/>
          <w:highlight w:val="none"/>
          <w:lang w:val="en-US" w:eastAsia="zh-CN"/>
        </w:rPr>
      </w:pPr>
    </w:p>
    <w:p w14:paraId="2832A1D6">
      <w:pPr>
        <w:pStyle w:val="67"/>
        <w:ind w:firstLine="480"/>
        <w:jc w:val="center"/>
        <w:rPr>
          <w:rFonts w:hint="default" w:ascii="Times New Roman" w:hAnsi="Times New Roman" w:eastAsia="黑体" w:cs="Times New Roman"/>
          <w:color w:val="auto"/>
          <w:highlight w:val="none"/>
          <w:lang w:val="en-US" w:eastAsia="zh-CN"/>
        </w:rPr>
      </w:pPr>
    </w:p>
    <w:p w14:paraId="7180DF81">
      <w:pPr>
        <w:bidi w:val="0"/>
        <w:rPr>
          <w:rFonts w:hint="default"/>
          <w:color w:val="auto"/>
          <w:highlight w:val="none"/>
          <w:lang w:val="en-US" w:eastAsia="zh-CN"/>
        </w:rPr>
      </w:pPr>
    </w:p>
    <w:p w14:paraId="201CC14A">
      <w:pPr>
        <w:pStyle w:val="67"/>
        <w:ind w:firstLine="480"/>
        <w:jc w:val="center"/>
        <w:rPr>
          <w:rFonts w:hint="default" w:ascii="Times New Roman" w:hAnsi="Times New Roman" w:eastAsia="宋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图3.2-</w:t>
      </w:r>
      <w:r>
        <w:rPr>
          <w:rFonts w:hint="eastAsia" w:eastAsia="黑体" w:cs="Times New Roman"/>
          <w:color w:val="auto"/>
          <w:highlight w:val="none"/>
          <w:lang w:val="en-US" w:eastAsia="zh-CN"/>
        </w:rPr>
        <w:t>2</w:t>
      </w:r>
      <w:r>
        <w:rPr>
          <w:rFonts w:hint="default" w:ascii="Times New Roman" w:hAnsi="Times New Roman" w:eastAsia="黑体" w:cs="Times New Roman"/>
          <w:color w:val="auto"/>
          <w:highlight w:val="none"/>
          <w:lang w:val="en-US" w:eastAsia="zh-CN"/>
        </w:rPr>
        <w:t xml:space="preserve"> 初期雨水计算图</w:t>
      </w:r>
      <w:r>
        <w:rPr>
          <w:rFonts w:hint="eastAsia" w:eastAsia="黑体" w:cs="Times New Roman"/>
          <w:color w:val="auto"/>
          <w:highlight w:val="none"/>
          <w:lang w:val="en-US" w:eastAsia="zh-CN"/>
        </w:rPr>
        <w:t>（二）</w:t>
      </w:r>
    </w:p>
    <w:p w14:paraId="69CAA489">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经以上公式计算得出厂区场地15min内收集的</w:t>
      </w:r>
      <w:r>
        <w:rPr>
          <w:rFonts w:hint="eastAsia" w:eastAsia="宋体" w:cs="Times New Roman"/>
          <w:color w:val="auto"/>
          <w:highlight w:val="none"/>
          <w:lang w:val="en-US" w:eastAsia="zh-CN"/>
        </w:rPr>
        <w:t>总</w:t>
      </w:r>
      <w:r>
        <w:rPr>
          <w:rFonts w:hint="default" w:ascii="Times New Roman" w:hAnsi="Times New Roman" w:eastAsia="宋体" w:cs="Times New Roman"/>
          <w:color w:val="auto"/>
          <w:highlight w:val="none"/>
        </w:rPr>
        <w:t>初期雨水量为</w:t>
      </w:r>
      <w:r>
        <w:rPr>
          <w:rFonts w:hint="eastAsia" w:eastAsia="宋体" w:cs="Times New Roman"/>
          <w:color w:val="auto"/>
          <w:highlight w:val="none"/>
          <w:lang w:val="en-US" w:eastAsia="zh-CN"/>
        </w:rPr>
        <w:t>2239.15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。则初期雨水经厂区排水沟汇入厂区一座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初期雨水收集池内，雨水收集后用于厂区</w:t>
      </w:r>
      <w:r>
        <w:rPr>
          <w:rFonts w:hint="eastAsia" w:eastAsia="宋体" w:cs="Times New Roman"/>
          <w:color w:val="auto"/>
          <w:highlight w:val="none"/>
          <w:lang w:val="en-US" w:eastAsia="zh-CN"/>
        </w:rPr>
        <w:t>绿化及</w:t>
      </w:r>
      <w:r>
        <w:rPr>
          <w:rFonts w:hint="default" w:ascii="Times New Roman" w:hAnsi="Times New Roman" w:eastAsia="宋体" w:cs="Times New Roman"/>
          <w:color w:val="auto"/>
          <w:highlight w:val="none"/>
        </w:rPr>
        <w:t>洒水降尘，不外排。</w:t>
      </w:r>
      <w:r>
        <w:rPr>
          <w:rFonts w:hint="eastAsia" w:eastAsia="宋体" w:cs="Times New Roman"/>
          <w:color w:val="auto"/>
          <w:highlight w:val="none"/>
          <w:lang w:val="en-US" w:eastAsia="zh-CN"/>
        </w:rPr>
        <w:t>未建设场地的初期雨水，待规划完成后，根据地面具体设计方案计算初期雨水量产生情况，设置独立的初期雨水池。</w:t>
      </w:r>
    </w:p>
    <w:p w14:paraId="64C04B4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项目水量平衡见下图。</w:t>
      </w:r>
    </w:p>
    <w:p w14:paraId="66FC3B14">
      <w:pPr>
        <w:pStyle w:val="67"/>
        <w:spacing w:line="240" w:lineRule="auto"/>
        <w:ind w:firstLine="0" w:firstLineChars="0"/>
        <w:jc w:val="center"/>
        <w:rPr>
          <w:rFonts w:hint="default" w:ascii="Times New Roman" w:hAnsi="Times New Roman" w:cs="Times New Roman"/>
          <w:color w:val="auto"/>
          <w:highlight w:val="none"/>
        </w:rPr>
      </w:pPr>
      <w:r>
        <w:rPr>
          <w:color w:val="auto"/>
          <w:highlight w:val="none"/>
        </w:rPr>
        <w:drawing>
          <wp:inline distT="0" distB="0" distL="114300" distR="114300">
            <wp:extent cx="5266690" cy="3678555"/>
            <wp:effectExtent l="0" t="0" r="10160" b="1714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6"/>
                    <a:stretch>
                      <a:fillRect/>
                    </a:stretch>
                  </pic:blipFill>
                  <pic:spPr>
                    <a:xfrm>
                      <a:off x="0" y="0"/>
                      <a:ext cx="5266690" cy="3678555"/>
                    </a:xfrm>
                    <a:prstGeom prst="rect">
                      <a:avLst/>
                    </a:prstGeom>
                    <a:noFill/>
                    <a:ln>
                      <a:noFill/>
                    </a:ln>
                  </pic:spPr>
                </pic:pic>
              </a:graphicData>
            </a:graphic>
          </wp:inline>
        </w:drawing>
      </w:r>
    </w:p>
    <w:p w14:paraId="2EAF8C69">
      <w:pPr>
        <w:pStyle w:val="67"/>
        <w:ind w:firstLine="0" w:firstLineChars="0"/>
        <w:jc w:val="center"/>
        <w:rPr>
          <w:rFonts w:hint="default" w:ascii="Times New Roman" w:hAnsi="Times New Roman" w:cs="Times New Roman"/>
          <w:color w:val="auto"/>
          <w:highlight w:val="none"/>
        </w:rPr>
      </w:pPr>
      <w:r>
        <w:rPr>
          <w:rFonts w:hint="default" w:ascii="Times New Roman" w:hAnsi="Times New Roman" w:eastAsia="黑体" w:cs="Times New Roman"/>
          <w:color w:val="auto"/>
          <w:highlight w:val="none"/>
          <w:lang w:val="zh-CN"/>
        </w:rPr>
        <w:t>图3</w:t>
      </w:r>
      <w:r>
        <w:rPr>
          <w:rFonts w:hint="eastAsia" w:eastAsia="黑体" w:cs="Times New Roman"/>
          <w:color w:val="auto"/>
          <w:highlight w:val="none"/>
          <w:lang w:val="en-US" w:eastAsia="zh-CN"/>
        </w:rPr>
        <w:t>.</w:t>
      </w:r>
      <w:r>
        <w:rPr>
          <w:rFonts w:hint="default" w:ascii="Times New Roman" w:hAnsi="Times New Roman" w:eastAsia="黑体" w:cs="Times New Roman"/>
          <w:color w:val="auto"/>
          <w:highlight w:val="none"/>
          <w:lang w:val="zh-CN"/>
        </w:rPr>
        <w:t>2-</w:t>
      </w:r>
      <w:r>
        <w:rPr>
          <w:rFonts w:hint="eastAsia" w:eastAsia="黑体" w:cs="Times New Roman"/>
          <w:color w:val="auto"/>
          <w:highlight w:val="none"/>
          <w:lang w:val="en-US" w:eastAsia="zh-CN"/>
        </w:rPr>
        <w:t>3</w:t>
      </w:r>
      <w:r>
        <w:rPr>
          <w:rFonts w:hint="default" w:ascii="Times New Roman" w:hAnsi="Times New Roman" w:eastAsia="黑体" w:cs="Times New Roman"/>
          <w:color w:val="auto"/>
          <w:highlight w:val="none"/>
          <w:lang w:val="zh-CN"/>
        </w:rPr>
        <w:t>水</w:t>
      </w:r>
      <w:r>
        <w:rPr>
          <w:rFonts w:hint="default" w:ascii="Times New Roman" w:hAnsi="Times New Roman" w:eastAsia="黑体" w:cs="Times New Roman"/>
          <w:color w:val="auto"/>
          <w:highlight w:val="none"/>
        </w:rPr>
        <w:t>量</w:t>
      </w:r>
      <w:r>
        <w:rPr>
          <w:rFonts w:hint="default" w:ascii="Times New Roman" w:hAnsi="Times New Roman" w:eastAsia="黑体" w:cs="Times New Roman"/>
          <w:color w:val="auto"/>
          <w:highlight w:val="none"/>
          <w:lang w:val="zh-CN"/>
        </w:rPr>
        <w:t>平衡图（t/d）</w:t>
      </w:r>
    </w:p>
    <w:p w14:paraId="6967D79E">
      <w:pPr>
        <w:pStyle w:val="5"/>
        <w:spacing w:line="500" w:lineRule="exact"/>
        <w:rPr>
          <w:rFonts w:hint="default" w:ascii="Times New Roman" w:hAnsi="Times New Roman" w:cs="Times New Roman"/>
          <w:color w:val="auto"/>
          <w:highlight w:val="none"/>
        </w:rPr>
      </w:pPr>
      <w:bookmarkStart w:id="207" w:name="_Toc12639"/>
      <w:bookmarkStart w:id="208" w:name="_Toc57713640"/>
      <w:r>
        <w:rPr>
          <w:rFonts w:hint="default" w:ascii="Times New Roman" w:hAnsi="Times New Roman" w:cs="Times New Roman"/>
          <w:color w:val="auto"/>
          <w:highlight w:val="none"/>
        </w:rPr>
        <w:t>3.2.3供热工程</w:t>
      </w:r>
      <w:bookmarkEnd w:id="207"/>
      <w:bookmarkEnd w:id="208"/>
    </w:p>
    <w:p w14:paraId="176D471C">
      <w:pPr>
        <w:pStyle w:val="67"/>
        <w:ind w:firstLine="46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办公室冬季取暖采用电取暖。</w:t>
      </w:r>
    </w:p>
    <w:p w14:paraId="74FB9187">
      <w:pPr>
        <w:pStyle w:val="5"/>
        <w:spacing w:line="500" w:lineRule="exact"/>
        <w:rPr>
          <w:rFonts w:hint="default" w:ascii="Times New Roman" w:hAnsi="Times New Roman" w:cs="Times New Roman"/>
          <w:color w:val="auto"/>
          <w:highlight w:val="none"/>
        </w:rPr>
      </w:pPr>
      <w:bookmarkStart w:id="209" w:name="_Toc57713641"/>
      <w:bookmarkStart w:id="210" w:name="_Toc9641"/>
      <w:bookmarkStart w:id="211" w:name="_Toc486255060"/>
      <w:r>
        <w:rPr>
          <w:rFonts w:hint="default" w:ascii="Times New Roman" w:hAnsi="Times New Roman" w:cs="Times New Roman"/>
          <w:color w:val="auto"/>
          <w:highlight w:val="none"/>
        </w:rPr>
        <w:t>3.2.4供电工程</w:t>
      </w:r>
      <w:bookmarkEnd w:id="209"/>
      <w:bookmarkEnd w:id="210"/>
      <w:bookmarkEnd w:id="211"/>
    </w:p>
    <w:p w14:paraId="08533B3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本项目用电采用市政供电。</w:t>
      </w:r>
    </w:p>
    <w:p w14:paraId="07ECD326">
      <w:pPr>
        <w:pStyle w:val="5"/>
        <w:spacing w:line="500" w:lineRule="exact"/>
        <w:rPr>
          <w:rFonts w:hint="default" w:ascii="Times New Roman" w:hAnsi="Times New Roman" w:cs="Times New Roman"/>
          <w:color w:val="auto"/>
          <w:highlight w:val="none"/>
        </w:rPr>
      </w:pPr>
      <w:bookmarkStart w:id="212" w:name="_Toc12277"/>
      <w:bookmarkStart w:id="213" w:name="_Toc57713642"/>
      <w:bookmarkStart w:id="214" w:name="_Toc486255062"/>
      <w:r>
        <w:rPr>
          <w:rFonts w:hint="default" w:ascii="Times New Roman" w:hAnsi="Times New Roman" w:cs="Times New Roman"/>
          <w:color w:val="auto"/>
          <w:highlight w:val="none"/>
        </w:rPr>
        <w:t>3.2.5通风工程</w:t>
      </w:r>
      <w:bookmarkEnd w:id="212"/>
      <w:bookmarkEnd w:id="213"/>
      <w:bookmarkEnd w:id="214"/>
    </w:p>
    <w:p w14:paraId="7E2936BB">
      <w:pPr>
        <w:pStyle w:val="67"/>
        <w:ind w:firstLine="480"/>
        <w:rPr>
          <w:rFonts w:hint="default" w:ascii="Times New Roman" w:hAnsi="Times New Roman" w:eastAsia="宋体" w:cs="Times New Roman"/>
          <w:color w:val="auto"/>
          <w:highlight w:val="none"/>
        </w:rPr>
      </w:pPr>
      <w:bookmarkStart w:id="215" w:name="_Toc486255063"/>
      <w:r>
        <w:rPr>
          <w:rFonts w:hint="default" w:ascii="Times New Roman" w:hAnsi="Times New Roman" w:eastAsia="宋体" w:cs="Times New Roman"/>
          <w:color w:val="auto"/>
          <w:highlight w:val="none"/>
        </w:rPr>
        <w:t>根据肉牛养殖生产的特点和要求，为改善牛舍的环境，有效地排出潮湿和污浊的空气，满足夏季牛舍降温的需要，对牛舍设置轴流风机进行有组织的通风换气。采用垂直通风原理，能时刻保持全牛舍新鲜空气，并且没有死角。传统的水平通风模式，风程相对较长，只有靠近进风口的区域是新鲜空气，越靠近风扇，空气越浑浊，并且产生很多的通风死角，许多有害气体、粉尘和病原微生物都比空气重，由于靠近或贴着地面，水平通风很难吹走它们，所以越是靠近地面和牛的区域，空气质量越差。而本项目牛舍垂直通风就有效解决这一难题，夏天降温时，所有风都直接吹在牛身上，都是有效风，有利于降低牛的体表温度。</w:t>
      </w:r>
    </w:p>
    <w:p w14:paraId="7179FE5D">
      <w:pPr>
        <w:pStyle w:val="5"/>
        <w:spacing w:line="500" w:lineRule="exact"/>
        <w:rPr>
          <w:rFonts w:hint="default" w:ascii="Times New Roman" w:hAnsi="Times New Roman" w:cs="Times New Roman"/>
          <w:color w:val="auto"/>
          <w:highlight w:val="none"/>
        </w:rPr>
      </w:pPr>
      <w:bookmarkStart w:id="216" w:name="_Toc2244"/>
      <w:bookmarkStart w:id="217" w:name="_Toc57713643"/>
      <w:r>
        <w:rPr>
          <w:rFonts w:hint="default" w:ascii="Times New Roman" w:hAnsi="Times New Roman" w:cs="Times New Roman"/>
          <w:color w:val="auto"/>
          <w:highlight w:val="none"/>
        </w:rPr>
        <w:t>3.2.6消防</w:t>
      </w:r>
      <w:bookmarkEnd w:id="215"/>
      <w:r>
        <w:rPr>
          <w:rFonts w:hint="default" w:ascii="Times New Roman" w:hAnsi="Times New Roman" w:cs="Times New Roman"/>
          <w:color w:val="auto"/>
          <w:highlight w:val="none"/>
        </w:rPr>
        <w:t>工程</w:t>
      </w:r>
      <w:bookmarkEnd w:id="216"/>
      <w:bookmarkEnd w:id="217"/>
    </w:p>
    <w:p w14:paraId="2E71B38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项目区内的道路及牛舍等各类建筑物的间距建设设计，均按照国家消防规定要求建设。在给水设计中，充分考虑消防用水，各类设施内设置足够数量消防水箱等消防设施。各牛舍设置灭火器，以备防火之用。</w:t>
      </w:r>
    </w:p>
    <w:p w14:paraId="51149A92">
      <w:pPr>
        <w:pStyle w:val="5"/>
        <w:spacing w:line="500" w:lineRule="exact"/>
        <w:rPr>
          <w:rFonts w:hint="default" w:ascii="Times New Roman" w:hAnsi="Times New Roman" w:cs="Times New Roman"/>
          <w:color w:val="auto"/>
          <w:highlight w:val="none"/>
        </w:rPr>
      </w:pPr>
      <w:bookmarkStart w:id="218" w:name="_Toc20398"/>
      <w:bookmarkStart w:id="219" w:name="_Toc57713645"/>
      <w:r>
        <w:rPr>
          <w:rFonts w:hint="default" w:ascii="Times New Roman" w:hAnsi="Times New Roman" w:cs="Times New Roman"/>
          <w:color w:val="auto"/>
          <w:highlight w:val="none"/>
        </w:rPr>
        <w:t>3.2.7劳动定员及工作制度</w:t>
      </w:r>
      <w:bookmarkEnd w:id="218"/>
      <w:bookmarkEnd w:id="219"/>
    </w:p>
    <w:p w14:paraId="3FEFA2D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（1）劳动定员</w:t>
      </w:r>
    </w:p>
    <w:p w14:paraId="7E5508C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本项目劳动定员为</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本项目无食堂及宿舍。</w:t>
      </w:r>
    </w:p>
    <w:p w14:paraId="656121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（2）工作制度</w:t>
      </w:r>
    </w:p>
    <w:p w14:paraId="53BF085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本项目全年工作天数为365天，实行二班制。</w:t>
      </w:r>
    </w:p>
    <w:p w14:paraId="15C7B5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（3）人员培训</w:t>
      </w:r>
    </w:p>
    <w:p w14:paraId="41A5225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为了满足项目技术、管理人员的需要，确保养殖科学化，如期取得效益，定期聘请技术管理人员和专家进行技术培训，从而提高技术人员技能水平及养殖户的饲养水平。</w:t>
      </w:r>
    </w:p>
    <w:p w14:paraId="103E4698">
      <w:pPr>
        <w:pStyle w:val="5"/>
        <w:spacing w:line="500" w:lineRule="exact"/>
        <w:rPr>
          <w:rFonts w:hint="default" w:ascii="Times New Roman" w:hAnsi="Times New Roman" w:cs="Times New Roman"/>
          <w:color w:val="auto"/>
          <w:highlight w:val="none"/>
        </w:rPr>
      </w:pPr>
      <w:bookmarkStart w:id="220" w:name="_Toc7582"/>
      <w:bookmarkStart w:id="221" w:name="_Toc57713646"/>
      <w:r>
        <w:rPr>
          <w:rFonts w:hint="default" w:ascii="Times New Roman" w:hAnsi="Times New Roman" w:cs="Times New Roman"/>
          <w:color w:val="auto"/>
          <w:highlight w:val="none"/>
        </w:rPr>
        <w:t>3.2.8投资和筹措途径</w:t>
      </w:r>
      <w:bookmarkEnd w:id="220"/>
      <w:bookmarkEnd w:id="221"/>
    </w:p>
    <w:p w14:paraId="1097D98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项目总投资</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lang w:eastAsia="zh-CN"/>
        </w:rPr>
        <w:t>万元</w:t>
      </w:r>
      <w:r>
        <w:rPr>
          <w:rFonts w:hint="default" w:ascii="Times New Roman" w:hAnsi="Times New Roman" w:eastAsia="宋体" w:cs="Times New Roman"/>
          <w:color w:val="auto"/>
          <w:highlight w:val="none"/>
        </w:rPr>
        <w:t>。</w:t>
      </w:r>
    </w:p>
    <w:p w14:paraId="7533FF4C">
      <w:pPr>
        <w:pStyle w:val="5"/>
        <w:spacing w:line="500" w:lineRule="exact"/>
        <w:rPr>
          <w:rFonts w:hint="default" w:ascii="Times New Roman" w:hAnsi="Times New Roman" w:cs="Times New Roman"/>
          <w:color w:val="auto"/>
          <w:highlight w:val="none"/>
        </w:rPr>
      </w:pPr>
      <w:bookmarkStart w:id="222" w:name="_Toc18355"/>
      <w:bookmarkStart w:id="223" w:name="_Toc57713647"/>
      <w:r>
        <w:rPr>
          <w:rFonts w:hint="default" w:ascii="Times New Roman" w:hAnsi="Times New Roman" w:cs="Times New Roman"/>
          <w:color w:val="auto"/>
          <w:highlight w:val="none"/>
        </w:rPr>
        <w:t>3.2.9项目实施计划</w:t>
      </w:r>
      <w:bookmarkEnd w:id="222"/>
      <w:bookmarkEnd w:id="223"/>
    </w:p>
    <w:p w14:paraId="1BAC003B">
      <w:pPr>
        <w:pStyle w:val="67"/>
        <w:ind w:firstLine="480"/>
        <w:rPr>
          <w:rFonts w:hint="default" w:ascii="Times New Roman" w:hAnsi="Times New Roman" w:eastAsia="宋体" w:cs="Times New Roman"/>
          <w:color w:val="auto"/>
          <w:highlight w:val="none"/>
        </w:rPr>
      </w:pPr>
      <w:bookmarkStart w:id="224" w:name="_Hlk44597889"/>
      <w:r>
        <w:rPr>
          <w:rFonts w:hint="default" w:ascii="Times New Roman" w:hAnsi="Times New Roman" w:eastAsia="宋体" w:cs="Times New Roman"/>
          <w:color w:val="auto"/>
          <w:highlight w:val="none"/>
        </w:rPr>
        <w:t>项目建设期</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个月，为202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月至20</w:t>
      </w:r>
      <w:r>
        <w:rPr>
          <w:rFonts w:hint="default" w:ascii="Times New Roman" w:hAnsi="Times New Roman" w:eastAsia="宋体" w:cs="Times New Roman"/>
          <w:color w:val="auto"/>
          <w:highlight w:val="none"/>
          <w:lang w:val="en-US" w:eastAsia="zh-CN"/>
        </w:rPr>
        <w:t>27</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月，计划于202</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初</w:t>
      </w:r>
      <w:r>
        <w:rPr>
          <w:rFonts w:hint="default" w:ascii="Times New Roman" w:hAnsi="Times New Roman" w:eastAsia="宋体" w:cs="Times New Roman"/>
          <w:color w:val="auto"/>
          <w:highlight w:val="none"/>
        </w:rPr>
        <w:t>投产。</w:t>
      </w:r>
    </w:p>
    <w:bookmarkEnd w:id="224"/>
    <w:p w14:paraId="1FCBD531">
      <w:pPr>
        <w:pStyle w:val="4"/>
        <w:rPr>
          <w:rFonts w:hint="default" w:ascii="Times New Roman" w:hAnsi="Times New Roman" w:cs="Times New Roman"/>
          <w:snapToGrid w:val="0"/>
          <w:color w:val="auto"/>
          <w:kern w:val="0"/>
          <w:highlight w:val="none"/>
        </w:rPr>
      </w:pPr>
      <w:bookmarkStart w:id="225" w:name="_Toc16616365"/>
      <w:bookmarkStart w:id="226" w:name="_Toc23029"/>
      <w:bookmarkStart w:id="227" w:name="_Toc57713648"/>
      <w:bookmarkStart w:id="228" w:name="_Toc26877812"/>
      <w:r>
        <w:rPr>
          <w:rFonts w:hint="default" w:ascii="Times New Roman" w:hAnsi="Times New Roman" w:cs="Times New Roman"/>
          <w:snapToGrid w:val="0"/>
          <w:color w:val="auto"/>
          <w:kern w:val="0"/>
          <w:highlight w:val="none"/>
        </w:rPr>
        <w:t>3.3项目生产工艺及产污环节</w:t>
      </w:r>
      <w:bookmarkEnd w:id="225"/>
      <w:bookmarkEnd w:id="226"/>
      <w:bookmarkEnd w:id="227"/>
      <w:bookmarkEnd w:id="228"/>
    </w:p>
    <w:p w14:paraId="3162A7AA">
      <w:pPr>
        <w:pStyle w:val="5"/>
        <w:spacing w:line="500" w:lineRule="exact"/>
        <w:rPr>
          <w:rFonts w:hint="default" w:ascii="Times New Roman" w:hAnsi="Times New Roman" w:cs="Times New Roman"/>
          <w:color w:val="auto"/>
          <w:highlight w:val="none"/>
        </w:rPr>
      </w:pPr>
      <w:bookmarkStart w:id="229" w:name="_Toc19742"/>
      <w:r>
        <w:rPr>
          <w:rFonts w:hint="default" w:ascii="Times New Roman" w:hAnsi="Times New Roman" w:cs="Times New Roman"/>
          <w:color w:val="auto"/>
          <w:highlight w:val="none"/>
        </w:rPr>
        <w:t>3.3.1</w:t>
      </w:r>
      <w:bookmarkStart w:id="230" w:name="_Toc136181643"/>
      <w:r>
        <w:rPr>
          <w:rFonts w:hint="default" w:ascii="Times New Roman" w:hAnsi="Times New Roman" w:cs="Times New Roman"/>
          <w:color w:val="auto"/>
          <w:highlight w:val="none"/>
        </w:rPr>
        <w:t>施工期工艺流程及产污环节分析</w:t>
      </w:r>
      <w:bookmarkEnd w:id="229"/>
      <w:bookmarkEnd w:id="230"/>
    </w:p>
    <w:p w14:paraId="50F07FD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本项目建设阶段主要工程内容及施工工艺流程如下。</w:t>
      </w:r>
    </w:p>
    <w:p w14:paraId="49F16BB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1、场地清理：包括清理地表、平整土地等；</w:t>
      </w:r>
    </w:p>
    <w:p w14:paraId="6884421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2、土石方施工：包括挖掘、打桩、砌筑基础等；</w:t>
      </w:r>
    </w:p>
    <w:p w14:paraId="7F9BA99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3、主体结构施工：包括混凝土、钢木、砌体、池体、回填土等工程；</w:t>
      </w:r>
    </w:p>
    <w:p w14:paraId="565B4FA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4、配套设施施工：包括铺设上下水管等；</w:t>
      </w:r>
    </w:p>
    <w:p w14:paraId="0BF29F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5、设备购置及安装：包括各种机械设备的拆卸、安装等过程；</w:t>
      </w:r>
    </w:p>
    <w:p w14:paraId="02583B9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6、主体装修施工：包括主体建筑物简单装修、回填土方和清理现场等。</w:t>
      </w:r>
    </w:p>
    <w:p w14:paraId="594800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具体施工过程及产物环节见下图。</w:t>
      </w:r>
    </w:p>
    <w:p w14:paraId="3D783502">
      <w:pPr>
        <w:pStyle w:val="67"/>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4968875" cy="1906270"/>
            <wp:effectExtent l="0" t="0" r="0" b="0"/>
            <wp:docPr id="5811340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34045" name="图片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968875" cy="1906270"/>
                    </a:xfrm>
                    <a:prstGeom prst="rect">
                      <a:avLst/>
                    </a:prstGeom>
                    <a:noFill/>
                    <a:ln>
                      <a:noFill/>
                    </a:ln>
                  </pic:spPr>
                </pic:pic>
              </a:graphicData>
            </a:graphic>
          </wp:inline>
        </w:drawing>
      </w:r>
    </w:p>
    <w:p w14:paraId="179F30DC">
      <w:pPr>
        <w:pStyle w:val="67"/>
        <w:ind w:firstLine="0" w:firstLineChars="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图3</w:t>
      </w:r>
      <w:r>
        <w:rPr>
          <w:rFonts w:hint="eastAsia" w:ascii="Times New Roman" w:hAnsi="Times New Roman" w:eastAsia="黑体" w:cs="Times New Roman"/>
          <w:color w:val="auto"/>
          <w:highlight w:val="none"/>
          <w:lang w:val="en-US" w:eastAsia="zh-CN"/>
        </w:rPr>
        <w:t>.</w:t>
      </w:r>
      <w:r>
        <w:rPr>
          <w:rFonts w:hint="default" w:ascii="Times New Roman" w:hAnsi="Times New Roman" w:eastAsia="黑体" w:cs="Times New Roman"/>
          <w:color w:val="auto"/>
          <w:highlight w:val="none"/>
        </w:rPr>
        <w:t>3-1</w:t>
      </w:r>
      <w:r>
        <w:rPr>
          <w:rFonts w:hint="default" w:ascii="Times New Roman" w:hAnsi="Times New Roman" w:eastAsia="黑体" w:cs="Times New Roman"/>
          <w:color w:val="auto"/>
          <w:highlight w:val="none"/>
        </w:rPr>
        <w:t>施工期工艺流程及产污节点图</w:t>
      </w:r>
    </w:p>
    <w:p w14:paraId="0FC035C6">
      <w:pPr>
        <w:pStyle w:val="5"/>
        <w:spacing w:line="500" w:lineRule="exact"/>
        <w:rPr>
          <w:rFonts w:hint="default" w:ascii="Times New Roman" w:hAnsi="Times New Roman" w:cs="Times New Roman"/>
          <w:color w:val="auto"/>
          <w:highlight w:val="none"/>
        </w:rPr>
      </w:pPr>
      <w:bookmarkStart w:id="231" w:name="_Toc9094"/>
      <w:bookmarkStart w:id="232" w:name="_Toc136181644"/>
      <w:r>
        <w:rPr>
          <w:rFonts w:hint="default" w:ascii="Times New Roman" w:hAnsi="Times New Roman" w:cs="Times New Roman"/>
          <w:color w:val="auto"/>
          <w:highlight w:val="none"/>
        </w:rPr>
        <w:t>3.3.2运营期工艺流程及产污环节分析</w:t>
      </w:r>
      <w:bookmarkEnd w:id="231"/>
      <w:bookmarkEnd w:id="232"/>
    </w:p>
    <w:p w14:paraId="58AC7D9A">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3.3.2.1肉牛养殖工艺</w:t>
      </w:r>
    </w:p>
    <w:p w14:paraId="7B17D1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肉牛采用科学饲养工艺，即采用精饲料和干草相结合的方式进行饲养，精料来源于外购，粗料为干草等。厂区内还设置专职兽医，负责防疫、治疗、检疫和修蹄等工作。体重达到出售体重时即上市出售。应根据生长育肥阶段饲喂相应的饲粮。本项目肉牛采用集约化养殖技术，肉牛喂将采用全混合日粮（Total Mixed Ration，TMR）饲养技术，并尽可能地利用当地的饲料资源以降低饲粮的成本。肉牛饲养全程采用无公害、无污染的饲养技术，饲养良种肉牛，育肥外卖。</w:t>
      </w:r>
    </w:p>
    <w:p w14:paraId="512E631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项目生产工艺流程示意图见下图。</w:t>
      </w:r>
    </w:p>
    <w:p w14:paraId="2FB59AF8">
      <w:pPr>
        <w:pStyle w:val="67"/>
        <w:spacing w:line="240" w:lineRule="auto"/>
        <w:ind w:firstLine="0" w:firstLineChars="0"/>
        <w:jc w:val="center"/>
        <w:rPr>
          <w:rFonts w:hint="default" w:ascii="Times New Roman" w:hAnsi="Times New Roman" w:cs="Times New Roman"/>
          <w:color w:val="auto"/>
          <w:highlight w:val="none"/>
        </w:rPr>
      </w:pPr>
      <w:r>
        <w:rPr>
          <w:color w:val="auto"/>
          <w:highlight w:val="none"/>
        </w:rPr>
        <w:drawing>
          <wp:inline distT="0" distB="0" distL="114300" distR="114300">
            <wp:extent cx="5572760" cy="2374900"/>
            <wp:effectExtent l="0" t="0" r="8890" b="6350"/>
            <wp:docPr id="1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
                    <pic:cNvPicPr>
                      <a:picLocks noChangeAspect="1"/>
                    </pic:cNvPicPr>
                  </pic:nvPicPr>
                  <pic:blipFill>
                    <a:blip r:embed="rId38"/>
                    <a:stretch>
                      <a:fillRect/>
                    </a:stretch>
                  </pic:blipFill>
                  <pic:spPr>
                    <a:xfrm>
                      <a:off x="0" y="0"/>
                      <a:ext cx="5572760" cy="2374900"/>
                    </a:xfrm>
                    <a:prstGeom prst="rect">
                      <a:avLst/>
                    </a:prstGeom>
                    <a:noFill/>
                    <a:ln>
                      <a:noFill/>
                    </a:ln>
                  </pic:spPr>
                </pic:pic>
              </a:graphicData>
            </a:graphic>
          </wp:inline>
        </w:drawing>
      </w:r>
    </w:p>
    <w:p w14:paraId="46E8D116">
      <w:pPr>
        <w:pStyle w:val="67"/>
        <w:ind w:firstLine="0" w:firstLineChars="0"/>
        <w:jc w:val="center"/>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图3</w:t>
      </w:r>
      <w:r>
        <w:rPr>
          <w:rFonts w:hint="eastAsia" w:eastAsia="黑体" w:cs="Times New Roman"/>
          <w:color w:val="auto"/>
          <w:highlight w:val="none"/>
          <w:lang w:val="en-US" w:eastAsia="zh-CN"/>
        </w:rPr>
        <w:t>.</w:t>
      </w:r>
      <w:r>
        <w:rPr>
          <w:rFonts w:hint="default" w:ascii="Times New Roman" w:hAnsi="Times New Roman" w:eastAsia="黑体" w:cs="Times New Roman"/>
          <w:color w:val="auto"/>
          <w:highlight w:val="none"/>
        </w:rPr>
        <w:t>3-2项目生产过程及产污环节示意图</w:t>
      </w:r>
    </w:p>
    <w:p w14:paraId="4138E9E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（1）养殖工艺流程：</w:t>
      </w:r>
    </w:p>
    <w:p w14:paraId="5E24D5B7">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本项目在</w:t>
      </w:r>
      <w:r>
        <w:rPr>
          <w:rFonts w:hint="eastAsia" w:ascii="Times New Roman" w:hAnsi="Times New Roman" w:eastAsia="宋体" w:cs="Times New Roman"/>
          <w:color w:val="auto"/>
          <w:sz w:val="24"/>
          <w:highlight w:val="none"/>
          <w:lang w:val="en-US" w:eastAsia="zh-CN"/>
        </w:rPr>
        <w:t>澳大利亚</w:t>
      </w:r>
      <w:r>
        <w:rPr>
          <w:rFonts w:hint="default" w:ascii="Times New Roman" w:hAnsi="Times New Roman" w:eastAsia="宋体" w:cs="Times New Roman"/>
          <w:color w:val="auto"/>
          <w:sz w:val="24"/>
          <w:highlight w:val="none"/>
          <w:lang w:val="en-US" w:eastAsia="zh-CN"/>
        </w:rPr>
        <w:t>选购</w:t>
      </w:r>
      <w:r>
        <w:rPr>
          <w:rFonts w:hint="eastAsia" w:ascii="Times New Roman" w:hAnsi="Times New Roman" w:eastAsia="宋体" w:cs="Times New Roman"/>
          <w:color w:val="auto"/>
          <w:sz w:val="24"/>
          <w:highlight w:val="none"/>
          <w:lang w:val="en-US" w:eastAsia="zh-CN"/>
        </w:rPr>
        <w:t>安格斯肉牛</w:t>
      </w:r>
      <w:r>
        <w:rPr>
          <w:rFonts w:hint="default" w:ascii="Times New Roman" w:hAnsi="Times New Roman" w:eastAsia="宋体" w:cs="Times New Roman"/>
          <w:color w:val="auto"/>
          <w:sz w:val="24"/>
          <w:highlight w:val="none"/>
          <w:lang w:val="en-US" w:eastAsia="zh-CN"/>
        </w:rPr>
        <w:t>，运至场内进行养殖育肥。进场育肥牛体重在250~300kg，育肥周期为半年。当育肥牛达到6</w:t>
      </w:r>
      <w:r>
        <w:rPr>
          <w:rFonts w:hint="eastAsia"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00kg标准体重，出栏外售。</w:t>
      </w:r>
    </w:p>
    <w:p w14:paraId="4670E8C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垫料工艺</w:t>
      </w:r>
      <w:r>
        <w:rPr>
          <w:rFonts w:hint="eastAsia" w:ascii="Times New Roman" w:hAnsi="Times New Roman" w:eastAsia="宋体" w:cs="Times New Roman"/>
          <w:color w:val="auto"/>
          <w:sz w:val="24"/>
          <w:highlight w:val="none"/>
          <w:lang w:val="en-US" w:eastAsia="zh-CN"/>
        </w:rPr>
        <w:t>首先利用高效复合微生物菌，按一定比例将菌种、锯末以及一定量的辅助材料混合、发酵形成有机垫料，将有机垫料填充到经过特殊设计的牛舍里。肉牛长期生活在有机垫料上，肉牛的排泄物能够与有机垫料充分混合，并被微生物迅速降解、消化为有机肥料。</w:t>
      </w:r>
    </w:p>
    <w:p w14:paraId="7ABEF15B">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（2）肉牛饲养管理</w:t>
      </w:r>
    </w:p>
    <w:p w14:paraId="1846B8F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①优化肉牛品种及牛龄</w:t>
      </w:r>
    </w:p>
    <w:p w14:paraId="28352CEF">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lang w:val="en-US" w:eastAsia="zh-CN"/>
        </w:rPr>
        <w:t>选择优质肉牛育肥，生活力强，生长发育迅速，饲料转化率高，产肉性能好，是养殖牛肉的首选品种。育肥牛挑选半年以上，体重250</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300kg以上健康肉牛进行育肥，饲养周期半年，每年饲养两批，育肥至体重6</w:t>
      </w:r>
      <w:r>
        <w:rPr>
          <w:rFonts w:hint="eastAsia"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val="en-US" w:eastAsia="zh-CN"/>
        </w:rPr>
        <w:t>00kg出栏。</w:t>
      </w:r>
    </w:p>
    <w:p w14:paraId="55A02500">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②定期驱虫</w:t>
      </w:r>
    </w:p>
    <w:p w14:paraId="64E8129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要做好肉牛的定期驱虫工作，肉牛体内寄生虫会吸取肠道食糜中的营养物质造成养分的浪费，同时寄生在肝、肺、脑、肌肉内还会出现病症甚至传染给人。体表寄生虫影响肉牛的休息和采食，影响育肥效果，提高用药成本、影响肉牛的育肥效果和生长。肉牛常用驱虫药有敌丙硫咪唑、百虫、螨净等。</w:t>
      </w:r>
    </w:p>
    <w:p w14:paraId="71A39A2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③适当运动</w:t>
      </w:r>
    </w:p>
    <w:p w14:paraId="067A95D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肉牛既要有一定的活动量，又要让它的活动受到一定的限制。限制肉牛活动量，主要是为了减少能量消耗，以利于育肥；让它有一定的活动量，主要是为了增强肉牛体质、保持旺盛的食欲和提高消化吸收能力。</w:t>
      </w:r>
    </w:p>
    <w:p w14:paraId="5B776104">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④提高饲养的规范性</w:t>
      </w:r>
    </w:p>
    <w:p w14:paraId="383985F4">
      <w:pPr>
        <w:pStyle w:val="210"/>
        <w:keepNext w:val="0"/>
        <w:keepLines w:val="0"/>
        <w:pageBreakBefore w:val="0"/>
        <w:widowControl w:val="0"/>
        <w:kinsoku/>
        <w:wordWrap/>
        <w:overflowPunct/>
        <w:topLinePunct w:val="0"/>
        <w:autoSpaceDE/>
        <w:autoSpaceDN/>
        <w:bidi w:val="0"/>
        <w:adjustRightInd w:val="0"/>
        <w:snapToGrid w:val="0"/>
        <w:ind w:left="0" w:leftChars="0"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提高肉牛饲养的规范性，应该每天定时喂养，不能忽早忽晚。每天的喂量不能随意增减，特别是精料量应按体重每100kg添精料1-1.5kg。每头牛的日常管理最好由固定人员负责，以便及时了解肉牛的精神状态和健康情况，减少产生刺激。每天定时从前向后、先逆毛后顺毛给肉牛刷拭，以促进血液循环，增加食欲，提高肉牛的采食量。肉牛育肥期应定期在早晨空腹时称重，以便及时掌握育肥效果和饲料消耗情况。肉牛饲养过程中要注意观察饮水、采食、反刍、粪尿、精神状态等是否正常。肉牛育肥期一定要保持肉牛养殖环境及设施的卫生状况。</w:t>
      </w:r>
    </w:p>
    <w:p w14:paraId="7FCF9592">
      <w:pPr>
        <w:pStyle w:val="6"/>
        <w:spacing w:line="500" w:lineRule="exact"/>
        <w:rPr>
          <w:rFonts w:hint="default" w:ascii="Times New Roman" w:hAnsi="Times New Roman" w:eastAsia="宋体" w:cs="Times New Roman"/>
          <w:b/>
          <w:bCs w:val="0"/>
          <w:color w:val="auto"/>
          <w:sz w:val="24"/>
          <w:szCs w:val="22"/>
          <w:highlight w:val="none"/>
        </w:rPr>
      </w:pPr>
      <w:r>
        <w:rPr>
          <w:rFonts w:hint="default" w:ascii="Times New Roman" w:hAnsi="Times New Roman" w:cs="Times New Roman"/>
          <w:snapToGrid w:val="0"/>
          <w:color w:val="auto"/>
          <w:highlight w:val="none"/>
        </w:rPr>
        <w:t>3.3.2.</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发酵床养殖（垫草垫料）</w:t>
      </w:r>
      <w:r>
        <w:rPr>
          <w:rFonts w:hint="default" w:ascii="Times New Roman" w:hAnsi="Times New Roman" w:cs="Times New Roman"/>
          <w:snapToGrid w:val="0"/>
          <w:color w:val="auto"/>
          <w:highlight w:val="none"/>
        </w:rPr>
        <w:t>工艺流程</w:t>
      </w:r>
    </w:p>
    <w:p w14:paraId="1A855F0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b w:val="0"/>
          <w:bCs/>
          <w:color w:val="auto"/>
          <w:sz w:val="24"/>
          <w:szCs w:val="22"/>
          <w:highlight w:val="none"/>
          <w:lang w:val="en-US" w:eastAsia="zh-CN"/>
        </w:rPr>
        <w:t>发酵床养殖（垫草垫料）</w:t>
      </w:r>
      <w:r>
        <w:rPr>
          <w:rFonts w:hint="default" w:ascii="Times New Roman" w:hAnsi="Times New Roman" w:eastAsia="宋体" w:cs="Times New Roman"/>
          <w:color w:val="auto"/>
          <w:sz w:val="24"/>
          <w:highlight w:val="none"/>
        </w:rPr>
        <w:t>工艺详见图</w:t>
      </w:r>
      <w:r>
        <w:rPr>
          <w:rFonts w:hint="eastAsia" w:cs="Times New Roman"/>
          <w:color w:val="auto"/>
          <w:sz w:val="24"/>
          <w:highlight w:val="none"/>
          <w:lang w:val="en-US" w:eastAsia="zh-CN"/>
        </w:rPr>
        <w:t>3.3-3</w:t>
      </w:r>
      <w:r>
        <w:rPr>
          <w:rFonts w:hint="default" w:ascii="Times New Roman" w:hAnsi="Times New Roman" w:eastAsia="宋体" w:cs="Times New Roman"/>
          <w:color w:val="auto"/>
          <w:sz w:val="24"/>
          <w:highlight w:val="none"/>
        </w:rPr>
        <w:t>。</w:t>
      </w:r>
    </w:p>
    <w:p w14:paraId="7DD471EC">
      <w:pPr>
        <w:spacing w:line="240" w:lineRule="auto"/>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4564380</wp:posOffset>
                </wp:positionH>
                <wp:positionV relativeFrom="paragraph">
                  <wp:posOffset>142240</wp:posOffset>
                </wp:positionV>
                <wp:extent cx="995045" cy="518160"/>
                <wp:effectExtent l="6350" t="6350" r="8255" b="8890"/>
                <wp:wrapNone/>
                <wp:docPr id="137" name="矩形 137"/>
                <wp:cNvGraphicFramePr/>
                <a:graphic xmlns:a="http://schemas.openxmlformats.org/drawingml/2006/main">
                  <a:graphicData uri="http://schemas.microsoft.com/office/word/2010/wordprocessingShape">
                    <wps:wsp>
                      <wps:cNvSpPr/>
                      <wps:spPr>
                        <a:xfrm>
                          <a:off x="0" y="0"/>
                          <a:ext cx="995045" cy="518160"/>
                        </a:xfrm>
                        <a:prstGeom prst="rect">
                          <a:avLst/>
                        </a:prstGeom>
                        <a:solidFill>
                          <a:srgbClr val="FFFFFF"/>
                        </a:solidFill>
                        <a:ln w="12700" cap="flat" cmpd="sng">
                          <a:solidFill>
                            <a:srgbClr val="000001"/>
                          </a:solidFill>
                          <a:prstDash val="solid"/>
                          <a:miter/>
                          <a:headEnd type="none" w="med" len="med"/>
                          <a:tailEnd type="none" w="med" len="med"/>
                        </a:ln>
                      </wps:spPr>
                      <wps:txbx>
                        <w:txbxContent>
                          <w:p w14:paraId="539C2C26">
                            <w:pPr>
                              <w:spacing w:line="240" w:lineRule="auto"/>
                              <w:ind w:left="0" w:leftChars="0" w:firstLine="0" w:firstLineChars="0"/>
                              <w:jc w:val="both"/>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运至</w:t>
                            </w:r>
                            <w:r>
                              <w:rPr>
                                <w:rFonts w:hint="eastAsia" w:cs="Times New Roman"/>
                                <w:b w:val="0"/>
                                <w:bCs w:val="0"/>
                                <w:sz w:val="24"/>
                                <w:szCs w:val="24"/>
                                <w:lang w:val="en-US" w:eastAsia="zh-CN"/>
                              </w:rPr>
                              <w:t>堆肥间</w:t>
                            </w:r>
                            <w:r>
                              <w:rPr>
                                <w:rFonts w:hint="default" w:ascii="Times New Roman" w:hAnsi="Times New Roman" w:eastAsia="宋体" w:cs="Times New Roman"/>
                                <w:b w:val="0"/>
                                <w:bCs w:val="0"/>
                                <w:sz w:val="24"/>
                                <w:szCs w:val="24"/>
                                <w:lang w:eastAsia="zh-CN"/>
                              </w:rPr>
                              <w:t>进行发酵</w:t>
                            </w:r>
                          </w:p>
                        </w:txbxContent>
                      </wps:txbx>
                      <wps:bodyPr upright="1"/>
                    </wps:wsp>
                  </a:graphicData>
                </a:graphic>
              </wp:anchor>
            </w:drawing>
          </mc:Choice>
          <mc:Fallback>
            <w:pict>
              <v:rect id="_x0000_s1026" o:spid="_x0000_s1026" o:spt="1" style="position:absolute;left:0pt;margin-left:359.4pt;margin-top:11.2pt;height:40.8pt;width:78.35pt;z-index:251674624;mso-width-relative:page;mso-height-relative:page;" fillcolor="#FFFFFF" filled="t" stroked="t" coordsize="21600,21600" o:gfxdata="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UBTdkAAAAKAQAADwAAAAAAAAABACAAAAAiAAAA&#10;ZHJzL2Rvd25yZXYueG1sUEsBAhQAFAAAAAgAh07iQBb/YkEGAgAALQQAAA4AAAAAAAAAAQAgAAAA&#10;KAEAAGRycy9lMm9Eb2MueG1sUEsFBgAAAAAGAAYAWQEAAKAFAAAAAA==&#10;">
                <v:fill on="t" focussize="0,0"/>
                <v:stroke weight="1pt" color="#000001" joinstyle="miter"/>
                <v:imagedata o:title=""/>
                <o:lock v:ext="edit" aspectratio="f"/>
                <v:textbox>
                  <w:txbxContent>
                    <w:p w14:paraId="539C2C26">
                      <w:pPr>
                        <w:spacing w:line="240" w:lineRule="auto"/>
                        <w:ind w:left="0" w:leftChars="0" w:firstLine="0" w:firstLineChars="0"/>
                        <w:jc w:val="both"/>
                        <w:rPr>
                          <w:rFonts w:hint="default" w:ascii="Times New Roman" w:hAnsi="Times New Roman" w:eastAsia="宋体" w:cs="Times New Roman"/>
                          <w:b w:val="0"/>
                          <w:bCs w:val="0"/>
                          <w:sz w:val="24"/>
                          <w:szCs w:val="24"/>
                          <w:lang w:eastAsia="zh-CN"/>
                        </w:rPr>
                      </w:pPr>
                      <w:r>
                        <w:rPr>
                          <w:rFonts w:hint="default" w:ascii="Times New Roman" w:hAnsi="Times New Roman" w:eastAsia="宋体" w:cs="Times New Roman"/>
                          <w:b w:val="0"/>
                          <w:bCs w:val="0"/>
                          <w:sz w:val="24"/>
                          <w:szCs w:val="24"/>
                          <w:lang w:eastAsia="zh-CN"/>
                        </w:rPr>
                        <w:t>运至</w:t>
                      </w:r>
                      <w:r>
                        <w:rPr>
                          <w:rFonts w:hint="eastAsia" w:cs="Times New Roman"/>
                          <w:b w:val="0"/>
                          <w:bCs w:val="0"/>
                          <w:sz w:val="24"/>
                          <w:szCs w:val="24"/>
                          <w:lang w:val="en-US" w:eastAsia="zh-CN"/>
                        </w:rPr>
                        <w:t>堆肥间</w:t>
                      </w:r>
                      <w:r>
                        <w:rPr>
                          <w:rFonts w:hint="default" w:ascii="Times New Roman" w:hAnsi="Times New Roman" w:eastAsia="宋体" w:cs="Times New Roman"/>
                          <w:b w:val="0"/>
                          <w:bCs w:val="0"/>
                          <w:sz w:val="24"/>
                          <w:szCs w:val="24"/>
                          <w:lang w:eastAsia="zh-CN"/>
                        </w:rPr>
                        <w:t>进行发酵</w:t>
                      </w:r>
                    </w:p>
                  </w:txbxContent>
                </v:textbox>
              </v:rect>
            </w:pict>
          </mc:Fallback>
        </mc:AlternateContent>
      </w:r>
      <w:r>
        <w:rPr>
          <w:rFonts w:hint="default" w:ascii="Times New Roman" w:hAnsi="Times New Roman" w:eastAsia="宋体" w:cs="Times New Roman"/>
          <w:color w:val="auto"/>
          <w:sz w:val="21"/>
          <w:highlight w:val="none"/>
        </w:rPr>
        <mc:AlternateContent>
          <mc:Choice Requires="wpc">
            <w:drawing>
              <wp:inline distT="0" distB="0" distL="114300" distR="114300">
                <wp:extent cx="5723255" cy="1715770"/>
                <wp:effectExtent l="5080" t="19050" r="24765" b="17780"/>
                <wp:docPr id="138" name="画布 13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9" name="图片 62" descr="微信截图_20200301182345"/>
                          <pic:cNvPicPr>
                            <a:picLocks noChangeAspect="1"/>
                          </pic:cNvPicPr>
                        </pic:nvPicPr>
                        <pic:blipFill>
                          <a:blip r:embed="rId39"/>
                          <a:stretch>
                            <a:fillRect/>
                          </a:stretch>
                        </pic:blipFill>
                        <pic:spPr>
                          <a:xfrm>
                            <a:off x="13970" y="0"/>
                            <a:ext cx="5699125" cy="1711325"/>
                          </a:xfrm>
                          <a:prstGeom prst="rect">
                            <a:avLst/>
                          </a:prstGeom>
                          <a:noFill/>
                          <a:ln w="19050" cap="flat" cmpd="sng">
                            <a:solidFill>
                              <a:srgbClr val="000000"/>
                            </a:solidFill>
                            <a:prstDash val="solid"/>
                            <a:miter/>
                            <a:headEnd type="none" w="med" len="med"/>
                            <a:tailEnd type="none" w="med" len="med"/>
                          </a:ln>
                        </pic:spPr>
                      </pic:pic>
                    </wpc:wpc>
                  </a:graphicData>
                </a:graphic>
              </wp:inline>
            </w:drawing>
          </mc:Choice>
          <mc:Fallback>
            <w:pict>
              <v:group id="_x0000_s1026" o:spid="_x0000_s1026" o:spt="203" style="height:135.1pt;width:450.65pt;" coordsize="5723255,1715770" editas="canvas" o:gfxdata="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">
                <o:lock v:ext="edit" aspectratio="f"/>
                <v:shape id="_x0000_s1026" o:spid="_x0000_s1026" style="position:absolute;left:0;top:0;height:1715770;width:5723255;" filled="f" stroked="f" coordsize="21600,21600" o:gfxdata="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">
                  <v:fill on="f" focussize="0,0"/>
                  <v:stroke on="f"/>
                  <v:imagedata o:title=""/>
                  <o:lock v:ext="edit" aspectratio="f"/>
                </v:shape>
                <v:shape id="图片 62" o:spid="_x0000_s1026" o:spt="75" alt="微信截图_20200301182345" type="#_x0000_t75" style="position:absolute;left:13970;top:0;height:1711325;width:5699125;" filled="f" o:preferrelative="t" stroked="t" coordsize="21600,21600" o:gfxdata="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">
                  <v:fill on="f" focussize="0,0"/>
                  <v:stroke weight="1.5pt" color="#000000" joinstyle="miter"/>
                  <v:imagedata r:id="rId39" o:title=""/>
                  <o:lock v:ext="edit" aspectratio="t"/>
                </v:shape>
                <w10:wrap type="none"/>
                <w10:anchorlock/>
              </v:group>
            </w:pict>
          </mc:Fallback>
        </mc:AlternateContent>
      </w:r>
    </w:p>
    <w:p w14:paraId="17DDB4CB">
      <w:pPr>
        <w:pStyle w:val="67"/>
        <w:ind w:firstLine="0" w:firstLineChars="0"/>
        <w:jc w:val="center"/>
        <w:rPr>
          <w:rFonts w:hint="default" w:ascii="Times New Roman" w:hAnsi="Times New Roman" w:eastAsia="黑体" w:cs="Times New Roman"/>
          <w:color w:val="auto"/>
          <w:highlight w:val="none"/>
          <w:lang w:eastAsia="zh-CN"/>
        </w:rPr>
      </w:pPr>
      <w:r>
        <w:rPr>
          <w:rFonts w:hint="default" w:ascii="Times New Roman" w:hAnsi="Times New Roman" w:eastAsia="黑体" w:cs="Times New Roman"/>
          <w:color w:val="auto"/>
          <w:highlight w:val="none"/>
        </w:rPr>
        <w:t>图</w:t>
      </w:r>
      <w:r>
        <w:rPr>
          <w:rFonts w:hint="eastAsia" w:ascii="Times New Roman" w:hAnsi="Times New Roman" w:eastAsia="黑体" w:cs="Times New Roman"/>
          <w:color w:val="auto"/>
          <w:highlight w:val="none"/>
          <w:lang w:val="en-US" w:eastAsia="zh-CN"/>
        </w:rPr>
        <w:t>3</w:t>
      </w:r>
      <w:r>
        <w:rPr>
          <w:rFonts w:hint="eastAsia" w:eastAsia="黑体" w:cs="Times New Roman"/>
          <w:color w:val="auto"/>
          <w:highlight w:val="none"/>
          <w:lang w:val="en-US" w:eastAsia="zh-CN"/>
        </w:rPr>
        <w:t>.</w:t>
      </w:r>
      <w:r>
        <w:rPr>
          <w:rFonts w:hint="eastAsia" w:ascii="Times New Roman" w:hAnsi="Times New Roman" w:eastAsia="黑体" w:cs="Times New Roman"/>
          <w:color w:val="auto"/>
          <w:highlight w:val="none"/>
          <w:lang w:val="en-US" w:eastAsia="zh-CN"/>
        </w:rPr>
        <w:t>3-3</w:t>
      </w:r>
      <w:r>
        <w:rPr>
          <w:rFonts w:hint="default" w:ascii="Times New Roman" w:hAnsi="Times New Roman" w:eastAsia="黑体" w:cs="Times New Roman"/>
          <w:color w:val="auto"/>
          <w:highlight w:val="none"/>
        </w:rPr>
        <w:t xml:space="preserve">  </w:t>
      </w:r>
      <w:r>
        <w:rPr>
          <w:rFonts w:hint="default" w:ascii="Times New Roman" w:hAnsi="Times New Roman" w:eastAsia="黑体" w:cs="Times New Roman"/>
          <w:color w:val="auto"/>
          <w:highlight w:val="none"/>
          <w:lang w:val="en-US" w:eastAsia="zh-CN"/>
        </w:rPr>
        <w:t xml:space="preserve"> 发酵床</w:t>
      </w:r>
      <w:r>
        <w:rPr>
          <w:rFonts w:hint="default" w:ascii="Times New Roman" w:hAnsi="Times New Roman" w:eastAsia="黑体" w:cs="Times New Roman"/>
          <w:color w:val="auto"/>
          <w:highlight w:val="none"/>
        </w:rPr>
        <w:t>工艺流程图</w:t>
      </w:r>
    </w:p>
    <w:p w14:paraId="0B511AF9">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（1）工艺流程简述</w:t>
      </w:r>
    </w:p>
    <w:p w14:paraId="06A0F62A">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菌床铺设：铺设垫床一般采用锯末、秸秆、谷壳等农业材料。垫料必须无毒、无害、去杂、晒干后再用，一般牛舍要求垫料8~10cm，每平方米需垫料约3.5kg。</w:t>
      </w:r>
    </w:p>
    <w:p w14:paraId="38A8DE63">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EM发酵菌调制：项目运营期使用干态EM发酵菌时，将干撒式EM发酵菌均匀</w:t>
      </w:r>
      <w:r>
        <w:rPr>
          <w:rFonts w:hint="eastAsia" w:cs="Times New Roman"/>
          <w:color w:val="auto"/>
          <w:sz w:val="24"/>
          <w:szCs w:val="22"/>
          <w:highlight w:val="none"/>
          <w:lang w:val="en-US" w:eastAsia="zh-CN"/>
        </w:rPr>
        <w:t>地</w:t>
      </w:r>
      <w:r>
        <w:rPr>
          <w:rFonts w:hint="default" w:ascii="Times New Roman" w:hAnsi="Times New Roman" w:eastAsia="宋体" w:cs="Times New Roman"/>
          <w:color w:val="auto"/>
          <w:sz w:val="24"/>
          <w:szCs w:val="22"/>
          <w:highlight w:val="none"/>
          <w:lang w:val="en-US" w:eastAsia="zh-CN"/>
        </w:rPr>
        <w:t>撒入垫料，每公斤干撒式EM发酵菌可用于15~20m</w:t>
      </w:r>
      <w:r>
        <w:rPr>
          <w:rFonts w:hint="default" w:ascii="Times New Roman" w:hAnsi="Times New Roman" w:eastAsia="宋体" w:cs="Times New Roman"/>
          <w:color w:val="auto"/>
          <w:sz w:val="24"/>
          <w:szCs w:val="22"/>
          <w:highlight w:val="none"/>
          <w:vertAlign w:val="superscript"/>
          <w:lang w:val="en-US" w:eastAsia="zh-CN"/>
        </w:rPr>
        <w:t>2</w:t>
      </w:r>
      <w:r>
        <w:rPr>
          <w:rFonts w:hint="default" w:ascii="Times New Roman" w:hAnsi="Times New Roman" w:eastAsia="宋体" w:cs="Times New Roman"/>
          <w:color w:val="auto"/>
          <w:sz w:val="24"/>
          <w:szCs w:val="22"/>
          <w:highlight w:val="none"/>
          <w:lang w:val="en-US" w:eastAsia="zh-CN"/>
        </w:rPr>
        <w:t>牛舍垫床制备。</w:t>
      </w:r>
    </w:p>
    <w:p w14:paraId="13FD02F3">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牛群入床：铺好后就可以把牛放进去，表面干燥，可以先喷洒一点水，以牛奔跑不起扬尘为宜。一般每头成年大牛(500kg左右)，平均占地15~20m</w:t>
      </w:r>
      <w:r>
        <w:rPr>
          <w:rFonts w:hint="default" w:ascii="Times New Roman" w:hAnsi="Times New Roman" w:eastAsia="宋体" w:cs="Times New Roman"/>
          <w:color w:val="auto"/>
          <w:sz w:val="24"/>
          <w:szCs w:val="22"/>
          <w:highlight w:val="none"/>
          <w:vertAlign w:val="superscript"/>
          <w:lang w:val="en-US" w:eastAsia="zh-CN"/>
        </w:rPr>
        <w:t>2</w:t>
      </w:r>
      <w:r>
        <w:rPr>
          <w:rFonts w:hint="default" w:ascii="Times New Roman" w:hAnsi="Times New Roman" w:eastAsia="宋体" w:cs="Times New Roman"/>
          <w:color w:val="auto"/>
          <w:sz w:val="24"/>
          <w:szCs w:val="22"/>
          <w:highlight w:val="none"/>
          <w:lang w:val="en-US" w:eastAsia="zh-CN"/>
        </w:rPr>
        <w:t>；小牛可根据粪尿量来增加养殖密度。</w:t>
      </w:r>
    </w:p>
    <w:p w14:paraId="169BA005">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发酵床养护：当牛粪若集中在一起时，要人工疏散，把粪便均匀</w:t>
      </w:r>
      <w:r>
        <w:rPr>
          <w:rFonts w:hint="eastAsia" w:cs="Times New Roman"/>
          <w:color w:val="auto"/>
          <w:sz w:val="24"/>
          <w:szCs w:val="22"/>
          <w:highlight w:val="none"/>
          <w:lang w:val="en-US" w:eastAsia="zh-CN"/>
        </w:rPr>
        <w:t>地</w:t>
      </w:r>
      <w:r>
        <w:rPr>
          <w:rFonts w:hint="default" w:ascii="Times New Roman" w:hAnsi="Times New Roman" w:eastAsia="宋体" w:cs="Times New Roman"/>
          <w:color w:val="auto"/>
          <w:sz w:val="24"/>
          <w:szCs w:val="22"/>
          <w:highlight w:val="none"/>
          <w:lang w:val="en-US" w:eastAsia="zh-CN"/>
        </w:rPr>
        <w:t>散开在发酵床上面，浅浅的埋入垫料里面(一般每半个月需要疏散一次牛粪)，运至场区发酵场地，每星期翻堆一次，使粪便及时分解如粪床出现垫料板结，发臭，不能再使用时，可将较湿的垫料挖出与较干处的垫料交换。</w:t>
      </w:r>
    </w:p>
    <w:p w14:paraId="70FBADED">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控制养殖密度：根据牛的体重来确定,一般100kg左右的2m/头，成年小牛体重在400kg左右约4~5m头，成年大牛约6~7m/头，保持圈舍须通风透气，牛在发酵床中生活，会吃掉表层细碎的秸秆，所以当看到垫料明显减少时，应及时补充，并定期补充EM发酵菌液是维护发酵床正常微生态平衡，保持其粪尿持续分解能力的重要手段。一般按垫料量的0.03%~0.05%补充，每周一次，边翻边喷洒。</w:t>
      </w:r>
    </w:p>
    <w:p w14:paraId="4E181D3E">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发酵床清理更换：项目运营时为了减小粪床清理对牛群生活的影响，运营期一般采用分区清理，分区铺设垫床的方式，更换粪床，当粪床补充清理后，重新铺设垫床。项目运营期每1个月清理一次粪床，每个牛舍分两次清理。清理时在同一牛舍中可采取分区清理，分区更换的方式，更换发酵床；粪床在牛舍内经喷酒EM发酵菌进行发酵，但未发酵完成，运至</w:t>
      </w:r>
      <w:r>
        <w:rPr>
          <w:rFonts w:hint="eastAsia" w:cs="Times New Roman"/>
          <w:color w:val="auto"/>
          <w:sz w:val="24"/>
          <w:szCs w:val="22"/>
          <w:highlight w:val="none"/>
          <w:lang w:val="en-US" w:eastAsia="zh-CN"/>
        </w:rPr>
        <w:t>堆肥</w:t>
      </w:r>
      <w:r>
        <w:rPr>
          <w:rFonts w:hint="default" w:ascii="Times New Roman" w:hAnsi="Times New Roman" w:eastAsia="宋体" w:cs="Times New Roman"/>
          <w:color w:val="auto"/>
          <w:sz w:val="24"/>
          <w:szCs w:val="22"/>
          <w:highlight w:val="none"/>
          <w:lang w:val="en-US" w:eastAsia="zh-CN"/>
        </w:rPr>
        <w:t>间进一步发酵，形成</w:t>
      </w:r>
      <w:r>
        <w:rPr>
          <w:rFonts w:hint="eastAsia" w:cs="Times New Roman"/>
          <w:color w:val="auto"/>
          <w:sz w:val="24"/>
          <w:szCs w:val="22"/>
          <w:highlight w:val="none"/>
          <w:lang w:val="en-US" w:eastAsia="zh-CN"/>
        </w:rPr>
        <w:t>固体粪肥</w:t>
      </w:r>
      <w:r>
        <w:rPr>
          <w:rFonts w:hint="default" w:ascii="Times New Roman" w:hAnsi="Times New Roman" w:eastAsia="宋体" w:cs="Times New Roman"/>
          <w:color w:val="auto"/>
          <w:sz w:val="24"/>
          <w:szCs w:val="22"/>
          <w:highlight w:val="none"/>
          <w:lang w:val="en-US" w:eastAsia="zh-CN"/>
        </w:rPr>
        <w:t>，</w:t>
      </w:r>
      <w:r>
        <w:rPr>
          <w:rFonts w:hint="default" w:ascii="Times New Roman" w:hAnsi="Times New Roman" w:eastAsia="宋体" w:cs="Times New Roman"/>
          <w:color w:val="auto"/>
          <w:highlight w:val="none"/>
        </w:rPr>
        <w:t>固体粪肥使用喷粪车作为肥料施用于配套消纳地进行施肥，非施肥季节储存于堆肥间内</w:t>
      </w:r>
      <w:r>
        <w:rPr>
          <w:rFonts w:hint="default" w:ascii="Times New Roman" w:hAnsi="Times New Roman" w:eastAsia="宋体" w:cs="Times New Roman"/>
          <w:color w:val="auto"/>
          <w:sz w:val="24"/>
          <w:szCs w:val="22"/>
          <w:highlight w:val="none"/>
          <w:lang w:val="en-US" w:eastAsia="zh-CN"/>
        </w:rPr>
        <w:t>。</w:t>
      </w:r>
    </w:p>
    <w:p w14:paraId="653C1D13">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（2）发酵床养牛原理</w:t>
      </w:r>
    </w:p>
    <w:p w14:paraId="10CB70CB">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在我们生活的大自然里，生活着许许多多各种各样的细菌，我们称它们为微生物。这些微生物有有益的也有有害的，EM发酵菌就是多种微生物的有益混合菌群，EM发酵菌有生命力和适应性，有很强的分解能力。牛的粪便如不及时</w:t>
      </w:r>
      <w:r>
        <w:rPr>
          <w:rFonts w:hint="eastAsia" w:cs="Times New Roman"/>
          <w:color w:val="auto"/>
          <w:sz w:val="24"/>
          <w:szCs w:val="22"/>
          <w:highlight w:val="none"/>
          <w:lang w:val="en-US" w:eastAsia="zh-CN"/>
        </w:rPr>
        <w:t>地</w:t>
      </w:r>
      <w:r>
        <w:rPr>
          <w:rFonts w:hint="default" w:ascii="Times New Roman" w:hAnsi="Times New Roman" w:eastAsia="宋体" w:cs="Times New Roman"/>
          <w:color w:val="auto"/>
          <w:sz w:val="24"/>
          <w:szCs w:val="22"/>
          <w:highlight w:val="none"/>
          <w:lang w:val="en-US" w:eastAsia="zh-CN"/>
        </w:rPr>
        <w:t>分解，会变质发臭。</w:t>
      </w:r>
    </w:p>
    <w:p w14:paraId="7C6125CA">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而采用发酵床养殖技术，在发酵床上，牛的粪便被发酵床上的EM发酵菌分解成菌体蛋白。牛尿经发酵床中的生物菌分解后，一部分转化成无臭气体(如二氧化碳、水蒸气等)被排放掉，一部分分解成粗蛋白和菌体蛋白等。</w:t>
      </w:r>
    </w:p>
    <w:p w14:paraId="57115E44">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（3）牛粪牛尿收集处理</w:t>
      </w:r>
    </w:p>
    <w:p w14:paraId="5B7A2205">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牛粪、尿可长期留存于舍内，不向外排放，不向周围流淌，靠着微生物的作用分解、转化。牛尿、牛粪经发酵床中的生物菌分解后，一部分转化成无臭气体</w:t>
      </w:r>
      <w:r>
        <w:rPr>
          <w:rFonts w:hint="eastAsia" w:cs="Times New Roman"/>
          <w:color w:val="auto"/>
          <w:sz w:val="24"/>
          <w:szCs w:val="22"/>
          <w:highlight w:val="none"/>
          <w:lang w:val="en-US" w:eastAsia="zh-CN"/>
        </w:rPr>
        <w:t>被</w:t>
      </w:r>
      <w:r>
        <w:rPr>
          <w:rFonts w:hint="default" w:ascii="Times New Roman" w:hAnsi="Times New Roman" w:eastAsia="宋体" w:cs="Times New Roman"/>
          <w:color w:val="auto"/>
          <w:sz w:val="24"/>
          <w:szCs w:val="22"/>
          <w:highlight w:val="none"/>
          <w:lang w:val="en-US" w:eastAsia="zh-CN"/>
        </w:rPr>
        <w:t>排放掉，一部分分解成粗蛋白和菌体蛋白等。牛舍垫床使用过程中需保持干燥，因此发酵床牛舍中无冲洗废水产生，无牛尿产生。牛粪经发酵菌分解和牛群踩踏形成粪床，每1个月清理一次粪床，每个牛舍分两次清理。粪床在牛舍内经喷洒EM发酵菌进行发酵，但未发酵完成，运至</w:t>
      </w:r>
      <w:r>
        <w:rPr>
          <w:rFonts w:hint="eastAsia" w:cs="Times New Roman"/>
          <w:color w:val="auto"/>
          <w:sz w:val="24"/>
          <w:szCs w:val="22"/>
          <w:highlight w:val="none"/>
          <w:lang w:val="en-US" w:eastAsia="zh-CN"/>
        </w:rPr>
        <w:t>堆肥</w:t>
      </w:r>
      <w:r>
        <w:rPr>
          <w:rFonts w:hint="default" w:ascii="Times New Roman" w:hAnsi="Times New Roman" w:eastAsia="宋体" w:cs="Times New Roman"/>
          <w:color w:val="auto"/>
          <w:sz w:val="24"/>
          <w:szCs w:val="22"/>
          <w:highlight w:val="none"/>
          <w:lang w:val="en-US" w:eastAsia="zh-CN"/>
        </w:rPr>
        <w:t>间进一步发酵，形成</w:t>
      </w:r>
      <w:r>
        <w:rPr>
          <w:rFonts w:hint="eastAsia" w:cs="Times New Roman"/>
          <w:color w:val="auto"/>
          <w:sz w:val="24"/>
          <w:szCs w:val="22"/>
          <w:highlight w:val="none"/>
          <w:lang w:val="en-US" w:eastAsia="zh-CN"/>
        </w:rPr>
        <w:t>固体粪肥</w:t>
      </w:r>
      <w:r>
        <w:rPr>
          <w:rFonts w:hint="default" w:ascii="Times New Roman" w:hAnsi="Times New Roman" w:eastAsia="宋体" w:cs="Times New Roman"/>
          <w:color w:val="auto"/>
          <w:sz w:val="24"/>
          <w:szCs w:val="22"/>
          <w:highlight w:val="none"/>
          <w:lang w:val="en-US" w:eastAsia="zh-CN"/>
        </w:rPr>
        <w:t>，</w:t>
      </w:r>
      <w:r>
        <w:rPr>
          <w:rFonts w:hint="default" w:ascii="Times New Roman" w:hAnsi="Times New Roman" w:eastAsia="宋体" w:cs="Times New Roman"/>
          <w:color w:val="auto"/>
          <w:highlight w:val="none"/>
        </w:rPr>
        <w:t>固体粪肥使用喷粪车作为肥料施用于配套消纳地进行施肥，非施肥季节储存于堆肥间内</w:t>
      </w:r>
      <w:r>
        <w:rPr>
          <w:rFonts w:hint="default" w:ascii="Times New Roman" w:hAnsi="Times New Roman" w:eastAsia="宋体" w:cs="Times New Roman"/>
          <w:color w:val="auto"/>
          <w:sz w:val="24"/>
          <w:szCs w:val="22"/>
          <w:highlight w:val="none"/>
          <w:lang w:val="en-US" w:eastAsia="zh-CN"/>
        </w:rPr>
        <w:t>。</w:t>
      </w:r>
    </w:p>
    <w:p w14:paraId="63EDC797">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（4）通风调温</w:t>
      </w:r>
    </w:p>
    <w:p w14:paraId="631AA065">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牛舍独特的半开式建设，通风传热。发酵床湿度一般在50%左右，定期补充牛舍垫料及发酵菌。保持垫料厚度并定期补充EM发酵菌是维护发酵床正常微生态平衡，保持其粪尿持续分解能力的重要手段。一般按垫料量</w:t>
      </w:r>
      <w:r>
        <w:rPr>
          <w:rFonts w:hint="eastAsia" w:cs="Times New Roman"/>
          <w:color w:val="auto"/>
          <w:sz w:val="24"/>
          <w:szCs w:val="22"/>
          <w:highlight w:val="none"/>
          <w:lang w:val="en-US" w:eastAsia="zh-CN"/>
        </w:rPr>
        <w:t>的</w:t>
      </w:r>
      <w:r>
        <w:rPr>
          <w:rFonts w:hint="default" w:ascii="Times New Roman" w:hAnsi="Times New Roman" w:eastAsia="宋体" w:cs="Times New Roman"/>
          <w:color w:val="auto"/>
          <w:sz w:val="24"/>
          <w:szCs w:val="22"/>
          <w:highlight w:val="none"/>
          <w:lang w:val="en-US" w:eastAsia="zh-CN"/>
        </w:rPr>
        <w:t>0.03%~0.05%补充，每周一次，边翻边喷洒。在保持垫床正常情况下，牛尿、牛粪分解会产生一定热量，而疏松多孔的垫料具有一定的保温作用，使牛舍垫床温度控制在20℃左右。</w:t>
      </w:r>
    </w:p>
    <w:p w14:paraId="182A13CF">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（5）消毒方式</w:t>
      </w:r>
    </w:p>
    <w:p w14:paraId="57950A4C">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在EM发酵菌发酵床牛舍中，在发酵床垫料内功能菌占绝对优势，几乎没有其他病原微生物的生产空间。其EM发酵菌自身含有消毒作用，因此在牛舍垫床中无需再进行消毒。</w:t>
      </w:r>
    </w:p>
    <w:p w14:paraId="7F55ADBF">
      <w:pPr>
        <w:pStyle w:val="6"/>
        <w:spacing w:line="500" w:lineRule="exact"/>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3.3.2.3</w:t>
      </w:r>
      <w:r>
        <w:rPr>
          <w:rFonts w:hint="default" w:ascii="Times New Roman" w:hAnsi="Times New Roman" w:cs="Times New Roman"/>
          <w:snapToGrid w:val="0"/>
          <w:color w:val="auto"/>
          <w:highlight w:val="none"/>
          <w:lang w:val="en-US" w:eastAsia="zh-CN"/>
        </w:rPr>
        <w:t>粪便无害化处理工艺</w:t>
      </w:r>
    </w:p>
    <w:p w14:paraId="072791BF">
      <w:pPr>
        <w:numPr>
          <w:ilvl w:val="0"/>
          <w:numId w:val="0"/>
        </w:numPr>
        <w:spacing w:line="360" w:lineRule="auto"/>
        <w:ind w:firstLine="480" w:firstLineChars="20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项目牛舍产生的粪床经发酵处理达到无害化处理要求后形成</w:t>
      </w:r>
      <w:r>
        <w:rPr>
          <w:rFonts w:hint="eastAsia" w:cs="Times New Roman"/>
          <w:color w:val="auto"/>
          <w:sz w:val="24"/>
          <w:szCs w:val="22"/>
          <w:highlight w:val="none"/>
          <w:lang w:val="en-US" w:eastAsia="zh-CN"/>
        </w:rPr>
        <w:t>固体粪肥</w:t>
      </w:r>
      <w:r>
        <w:rPr>
          <w:rFonts w:hint="default" w:ascii="Times New Roman" w:hAnsi="Times New Roman" w:eastAsia="宋体" w:cs="Times New Roman"/>
          <w:color w:val="auto"/>
          <w:sz w:val="24"/>
          <w:szCs w:val="22"/>
          <w:highlight w:val="none"/>
          <w:lang w:val="en-US" w:eastAsia="zh-CN"/>
        </w:rPr>
        <w:t>，</w:t>
      </w:r>
      <w:r>
        <w:rPr>
          <w:rFonts w:hint="default" w:ascii="Times New Roman" w:hAnsi="Times New Roman" w:eastAsia="宋体" w:cs="Times New Roman"/>
          <w:color w:val="auto"/>
          <w:highlight w:val="none"/>
        </w:rPr>
        <w:t>固体粪肥使用喷粪车作为肥料施用于配套消纳地进行施肥，非施肥季节储存于</w:t>
      </w:r>
      <w:r>
        <w:rPr>
          <w:rFonts w:hint="eastAsia" w:cs="Times New Roman"/>
          <w:color w:val="auto"/>
          <w:highlight w:val="none"/>
          <w:lang w:val="en-US" w:eastAsia="zh-CN"/>
        </w:rPr>
        <w:t>储粪棚</w:t>
      </w:r>
      <w:r>
        <w:rPr>
          <w:rFonts w:hint="default" w:ascii="Times New Roman" w:hAnsi="Times New Roman" w:eastAsia="宋体" w:cs="Times New Roman"/>
          <w:color w:val="auto"/>
          <w:highlight w:val="none"/>
        </w:rPr>
        <w:t>内</w:t>
      </w:r>
      <w:r>
        <w:rPr>
          <w:rFonts w:hint="default" w:ascii="Times New Roman" w:hAnsi="Times New Roman" w:eastAsia="宋体" w:cs="Times New Roman"/>
          <w:color w:val="auto"/>
          <w:sz w:val="24"/>
          <w:szCs w:val="22"/>
          <w:highlight w:val="none"/>
          <w:lang w:val="en-US" w:eastAsia="zh-CN"/>
        </w:rPr>
        <w:t>。粪便无害化处理工艺流程见图</w:t>
      </w:r>
      <w:r>
        <w:rPr>
          <w:rFonts w:hint="eastAsia" w:cs="Times New Roman"/>
          <w:color w:val="auto"/>
          <w:sz w:val="24"/>
          <w:szCs w:val="22"/>
          <w:highlight w:val="none"/>
          <w:lang w:val="en-US" w:eastAsia="zh-CN"/>
        </w:rPr>
        <w:t>3.3-4</w:t>
      </w:r>
      <w:r>
        <w:rPr>
          <w:rFonts w:hint="default" w:ascii="Times New Roman" w:hAnsi="Times New Roman" w:eastAsia="宋体" w:cs="Times New Roman"/>
          <w:color w:val="auto"/>
          <w:sz w:val="24"/>
          <w:szCs w:val="22"/>
          <w:highlight w:val="none"/>
          <w:lang w:val="en-US" w:eastAsia="zh-CN"/>
        </w:rPr>
        <w:t>。</w:t>
      </w:r>
    </w:p>
    <w:p w14:paraId="73D74D99">
      <w:pPr>
        <w:pStyle w:val="488"/>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mc:AlternateContent>
          <mc:Choice Requires="wpc">
            <w:drawing>
              <wp:inline distT="0" distB="0" distL="114300" distR="114300">
                <wp:extent cx="5698490" cy="1143635"/>
                <wp:effectExtent l="9525" t="9525" r="26035" b="27940"/>
                <wp:docPr id="140" name="画布 140"/>
                <wp:cNvGraphicFramePr/>
                <a:graphic xmlns:a="http://schemas.openxmlformats.org/drawingml/2006/main">
                  <a:graphicData uri="http://schemas.microsoft.com/office/word/2010/wordprocessingCanvas">
                    <wpc:wpc>
                      <wpc:bg>
                        <a:noFill/>
                      </wpc:bg>
                      <wpc:whole>
                        <a:ln w="19050" cap="flat" cmpd="sng">
                          <a:solidFill>
                            <a:srgbClr val="000000"/>
                          </a:solidFill>
                          <a:prstDash val="solid"/>
                          <a:miter/>
                          <a:headEnd type="none" w="med" len="med"/>
                          <a:tailEnd type="none" w="med" len="med"/>
                        </a:ln>
                      </wpc:whole>
                      <wps:wsp>
                        <wps:cNvPr id="142" name="矩形 481"/>
                        <wps:cNvSpPr/>
                        <wps:spPr>
                          <a:xfrm>
                            <a:off x="327025" y="90805"/>
                            <a:ext cx="962025" cy="286385"/>
                          </a:xfrm>
                          <a:prstGeom prst="rect">
                            <a:avLst/>
                          </a:prstGeom>
                          <a:solidFill>
                            <a:srgbClr val="FFFFFF"/>
                          </a:solidFill>
                          <a:ln w="19050" cap="flat" cmpd="sng">
                            <a:solidFill>
                              <a:srgbClr val="000001"/>
                            </a:solidFill>
                            <a:prstDash val="solid"/>
                            <a:miter/>
                            <a:headEnd type="none" w="med" len="med"/>
                            <a:tailEnd type="none" w="med" len="med"/>
                          </a:ln>
                        </wps:spPr>
                        <wps:txbx>
                          <w:txbxContent>
                            <w:p w14:paraId="249E5A2F">
                              <w:pPr>
                                <w:ind w:left="0" w:leftChars="0" w:firstLine="0" w:firstLineChars="0"/>
                                <w:jc w:val="center"/>
                                <w:rPr>
                                  <w:rFonts w:hint="default" w:eastAsia="宋体"/>
                                  <w:b/>
                                  <w:bCs/>
                                  <w:lang w:val="en-US" w:eastAsia="zh-CN"/>
                                </w:rPr>
                              </w:pPr>
                              <w:r>
                                <w:rPr>
                                  <w:rFonts w:hint="eastAsia"/>
                                  <w:b/>
                                  <w:bCs/>
                                  <w:sz w:val="21"/>
                                  <w:szCs w:val="20"/>
                                  <w:lang w:val="en-US" w:eastAsia="zh-CN"/>
                                </w:rPr>
                                <w:t>牛尿、</w:t>
                              </w:r>
                              <w:r>
                                <w:rPr>
                                  <w:rFonts w:hint="eastAsia"/>
                                  <w:b/>
                                  <w:bCs/>
                                  <w:sz w:val="21"/>
                                  <w:szCs w:val="21"/>
                                  <w:lang w:val="en-US" w:eastAsia="zh-CN"/>
                                </w:rPr>
                                <w:t>牛粪</w:t>
                              </w:r>
                            </w:p>
                          </w:txbxContent>
                        </wps:txbx>
                        <wps:bodyPr upright="1"/>
                      </wps:wsp>
                      <wps:wsp>
                        <wps:cNvPr id="143" name="矩形 482"/>
                        <wps:cNvSpPr/>
                        <wps:spPr>
                          <a:xfrm>
                            <a:off x="1812925" y="424180"/>
                            <a:ext cx="952500" cy="462280"/>
                          </a:xfrm>
                          <a:prstGeom prst="rect">
                            <a:avLst/>
                          </a:prstGeom>
                          <a:solidFill>
                            <a:srgbClr val="FFFFFF"/>
                          </a:solidFill>
                          <a:ln w="19050" cap="flat" cmpd="sng">
                            <a:solidFill>
                              <a:srgbClr val="000001"/>
                            </a:solidFill>
                            <a:prstDash val="solid"/>
                            <a:miter/>
                            <a:headEnd type="none" w="med" len="med"/>
                            <a:tailEnd type="none" w="med" len="med"/>
                          </a:ln>
                        </wps:spPr>
                        <wps:txbx>
                          <w:txbxContent>
                            <w:p w14:paraId="7349D300">
                              <w:pPr>
                                <w:spacing w:line="240" w:lineRule="auto"/>
                                <w:ind w:left="0" w:leftChars="0" w:firstLine="0" w:firstLineChars="0"/>
                                <w:jc w:val="center"/>
                                <w:rPr>
                                  <w:rFonts w:hint="default" w:eastAsia="宋体"/>
                                  <w:b/>
                                  <w:bCs/>
                                  <w:sz w:val="21"/>
                                  <w:szCs w:val="21"/>
                                  <w:lang w:val="en-US" w:eastAsia="zh-CN"/>
                                </w:rPr>
                              </w:pPr>
                              <w:r>
                                <w:rPr>
                                  <w:rFonts w:hint="eastAsia"/>
                                  <w:b/>
                                  <w:bCs/>
                                  <w:sz w:val="21"/>
                                  <w:szCs w:val="21"/>
                                  <w:lang w:val="en-US" w:eastAsia="zh-CN"/>
                                </w:rPr>
                                <w:t>牛只踩踏、机器翻刨</w:t>
                              </w:r>
                            </w:p>
                          </w:txbxContent>
                        </wps:txbx>
                        <wps:bodyPr upright="1"/>
                      </wps:wsp>
                      <wps:wsp>
                        <wps:cNvPr id="151" name="矩形 483"/>
                        <wps:cNvSpPr/>
                        <wps:spPr>
                          <a:xfrm>
                            <a:off x="346075" y="805180"/>
                            <a:ext cx="952500" cy="279400"/>
                          </a:xfrm>
                          <a:prstGeom prst="rect">
                            <a:avLst/>
                          </a:prstGeom>
                          <a:solidFill>
                            <a:srgbClr val="FFFFFF"/>
                          </a:solidFill>
                          <a:ln w="19050" cap="flat" cmpd="sng">
                            <a:solidFill>
                              <a:srgbClr val="000001"/>
                            </a:solidFill>
                            <a:prstDash val="solid"/>
                            <a:miter/>
                            <a:headEnd type="none" w="med" len="med"/>
                            <a:tailEnd type="none" w="med" len="med"/>
                          </a:ln>
                        </wps:spPr>
                        <wps:txbx>
                          <w:txbxContent>
                            <w:p w14:paraId="619DAFC3">
                              <w:pPr>
                                <w:ind w:left="0" w:leftChars="0" w:firstLine="0" w:firstLineChars="0"/>
                                <w:jc w:val="center"/>
                                <w:rPr>
                                  <w:rFonts w:hint="default" w:eastAsia="宋体"/>
                                  <w:b/>
                                  <w:bCs/>
                                  <w:lang w:val="en-US" w:eastAsia="zh-CN"/>
                                </w:rPr>
                              </w:pPr>
                              <w:r>
                                <w:rPr>
                                  <w:rFonts w:hint="eastAsia"/>
                                  <w:b/>
                                  <w:bCs/>
                                  <w:sz w:val="21"/>
                                  <w:szCs w:val="20"/>
                                  <w:lang w:val="en-US" w:eastAsia="zh-CN"/>
                                </w:rPr>
                                <w:t>发酵菌种</w:t>
                              </w:r>
                            </w:p>
                          </w:txbxContent>
                        </wps:txbx>
                        <wps:bodyPr upright="1"/>
                      </wps:wsp>
                      <wps:wsp>
                        <wps:cNvPr id="152" name="矩形 484"/>
                        <wps:cNvSpPr/>
                        <wps:spPr>
                          <a:xfrm>
                            <a:off x="3203575" y="501015"/>
                            <a:ext cx="952500" cy="279400"/>
                          </a:xfrm>
                          <a:prstGeom prst="rect">
                            <a:avLst/>
                          </a:prstGeom>
                          <a:solidFill>
                            <a:srgbClr val="FFFFFF"/>
                          </a:solidFill>
                          <a:ln w="19050" cap="flat" cmpd="sng">
                            <a:solidFill>
                              <a:srgbClr val="000001"/>
                            </a:solidFill>
                            <a:prstDash val="solid"/>
                            <a:miter/>
                            <a:headEnd type="none" w="med" len="med"/>
                            <a:tailEnd type="none" w="med" len="med"/>
                          </a:ln>
                        </wps:spPr>
                        <wps:txbx>
                          <w:txbxContent>
                            <w:p w14:paraId="7AF47294">
                              <w:pPr>
                                <w:ind w:left="0" w:leftChars="0" w:firstLine="0" w:firstLineChars="0"/>
                                <w:jc w:val="center"/>
                                <w:rPr>
                                  <w:rFonts w:hint="default" w:eastAsia="宋体"/>
                                  <w:b/>
                                  <w:bCs/>
                                  <w:sz w:val="21"/>
                                  <w:szCs w:val="20"/>
                                  <w:lang w:val="en-US" w:eastAsia="zh-CN"/>
                                </w:rPr>
                              </w:pPr>
                              <w:r>
                                <w:rPr>
                                  <w:rFonts w:hint="eastAsia"/>
                                  <w:b/>
                                  <w:bCs/>
                                  <w:sz w:val="21"/>
                                  <w:szCs w:val="20"/>
                                  <w:lang w:val="en-US" w:eastAsia="zh-CN"/>
                                </w:rPr>
                                <w:t>生物发酵</w:t>
                              </w:r>
                            </w:p>
                          </w:txbxContent>
                        </wps:txbx>
                        <wps:bodyPr upright="1"/>
                      </wps:wsp>
                      <wps:wsp>
                        <wps:cNvPr id="171" name="矩形 485"/>
                        <wps:cNvSpPr/>
                        <wps:spPr>
                          <a:xfrm>
                            <a:off x="4599940" y="506095"/>
                            <a:ext cx="835025" cy="273685"/>
                          </a:xfrm>
                          <a:prstGeom prst="rect">
                            <a:avLst/>
                          </a:prstGeom>
                          <a:solidFill>
                            <a:srgbClr val="FFFFFF"/>
                          </a:solidFill>
                          <a:ln w="19050" cap="flat" cmpd="sng">
                            <a:solidFill>
                              <a:srgbClr val="000001"/>
                            </a:solidFill>
                            <a:prstDash val="solid"/>
                            <a:miter/>
                            <a:headEnd type="none" w="med" len="med"/>
                            <a:tailEnd type="none" w="med" len="med"/>
                          </a:ln>
                        </wps:spPr>
                        <wps:txbx>
                          <w:txbxContent>
                            <w:p w14:paraId="7DDA63BC">
                              <w:pPr>
                                <w:ind w:left="0" w:leftChars="0" w:firstLine="0" w:firstLineChars="0"/>
                                <w:jc w:val="center"/>
                                <w:rPr>
                                  <w:rFonts w:hint="default" w:eastAsia="宋体"/>
                                  <w:b/>
                                  <w:bCs/>
                                  <w:sz w:val="21"/>
                                  <w:szCs w:val="20"/>
                                  <w:lang w:val="en-US" w:eastAsia="zh-CN"/>
                                </w:rPr>
                              </w:pPr>
                              <w:r>
                                <w:rPr>
                                  <w:rFonts w:hint="eastAsia"/>
                                  <w:b/>
                                  <w:bCs/>
                                  <w:sz w:val="21"/>
                                  <w:szCs w:val="20"/>
                                  <w:lang w:val="en-US" w:eastAsia="zh-CN"/>
                                </w:rPr>
                                <w:t>还田</w:t>
                              </w:r>
                            </w:p>
                          </w:txbxContent>
                        </wps:txbx>
                        <wps:bodyPr upright="1"/>
                      </wps:wsp>
                      <wps:wsp>
                        <wps:cNvPr id="174" name="直接连接符 486"/>
                        <wps:cNvCnPr>
                          <a:endCxn id="482" idx="1"/>
                        </wps:cNvCnPr>
                        <wps:spPr>
                          <a:xfrm>
                            <a:off x="1298575" y="233680"/>
                            <a:ext cx="514350" cy="412750"/>
                          </a:xfrm>
                          <a:prstGeom prst="line">
                            <a:avLst/>
                          </a:prstGeom>
                          <a:ln w="9525" cap="flat" cmpd="sng">
                            <a:solidFill>
                              <a:srgbClr val="000001"/>
                            </a:solidFill>
                            <a:prstDash val="solid"/>
                            <a:headEnd type="none" w="med" len="med"/>
                            <a:tailEnd type="triangle" w="med" len="med"/>
                          </a:ln>
                        </wps:spPr>
                        <wps:bodyPr upright="1"/>
                      </wps:wsp>
                      <wps:wsp>
                        <wps:cNvPr id="182" name="直接连接符 487"/>
                        <wps:cNvCnPr>
                          <a:endCxn id="482" idx="1"/>
                        </wps:cNvCnPr>
                        <wps:spPr>
                          <a:xfrm flipV="1">
                            <a:off x="1308100" y="646430"/>
                            <a:ext cx="504825" cy="339725"/>
                          </a:xfrm>
                          <a:prstGeom prst="line">
                            <a:avLst/>
                          </a:prstGeom>
                          <a:ln w="9525" cap="flat" cmpd="sng">
                            <a:solidFill>
                              <a:srgbClr val="000001"/>
                            </a:solidFill>
                            <a:prstDash val="solid"/>
                            <a:headEnd type="none" w="med" len="med"/>
                            <a:tailEnd type="triangle" w="med" len="med"/>
                          </a:ln>
                        </wps:spPr>
                        <wps:bodyPr upright="1"/>
                      </wps:wsp>
                      <wps:wsp>
                        <wps:cNvPr id="183" name="直接连接符 489"/>
                        <wps:cNvCnPr/>
                        <wps:spPr>
                          <a:xfrm flipV="1">
                            <a:off x="4165600" y="643890"/>
                            <a:ext cx="431800" cy="3175"/>
                          </a:xfrm>
                          <a:prstGeom prst="line">
                            <a:avLst/>
                          </a:prstGeom>
                          <a:ln w="9525" cap="flat" cmpd="sng">
                            <a:solidFill>
                              <a:srgbClr val="000001"/>
                            </a:solidFill>
                            <a:prstDash val="solid"/>
                            <a:headEnd type="none" w="med" len="med"/>
                            <a:tailEnd type="triangle" w="med" len="med"/>
                          </a:ln>
                        </wps:spPr>
                        <wps:bodyPr upright="1"/>
                      </wps:wsp>
                      <wps:wsp>
                        <wps:cNvPr id="185" name="直接连接符 5"/>
                        <wps:cNvCnPr/>
                        <wps:spPr>
                          <a:xfrm flipV="1">
                            <a:off x="2783205" y="645160"/>
                            <a:ext cx="431800" cy="3175"/>
                          </a:xfrm>
                          <a:prstGeom prst="line">
                            <a:avLst/>
                          </a:prstGeom>
                          <a:ln w="9525" cap="flat" cmpd="sng">
                            <a:solidFill>
                              <a:srgbClr val="000001"/>
                            </a:solidFill>
                            <a:prstDash val="solid"/>
                            <a:headEnd type="none" w="med" len="med"/>
                            <a:tailEnd type="triangle" w="med" len="med"/>
                          </a:ln>
                        </wps:spPr>
                        <wps:bodyPr upright="1"/>
                      </wps:wsp>
                    </wpc:wpc>
                  </a:graphicData>
                </a:graphic>
              </wp:inline>
            </w:drawing>
          </mc:Choice>
          <mc:Fallback>
            <w:pict>
              <v:group id="_x0000_s1026" o:spid="_x0000_s1026" o:spt="203" style="height:90.05pt;width:448.7pt;" coordsize="5698490,1143635" editas="canvas" o:gfxdata="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Z24BZNUAAAAF&#10;AQAADwAAAAAAAAABACAAAAAiAAAAZHJzL2Rvd25yZXYueG1sUEsBAhQAFAAAAAgAh07iQGdDzOUg&#10;BAAAsBcAAA4AAAAAAAAAAQAgAAAAJAEAAGRycy9lMm9Eb2MueG1sUEsFBgAAAAAGAAYAWQEAALYH&#10;AAAAAA==&#10;">
                <o:lock v:ext="edit" aspectratio="f"/>
                <v:shape id="_x0000_s1026" o:spid="_x0000_s1026" style="position:absolute;left:0;top:0;height:1143635;width:5698490;" filled="f" stroked="t" coordsize="21600,21600" o:gfxdata="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">
                  <v:fill on="f" focussize="0,0"/>
                  <v:stroke weight="1.5pt" color="#000000" joinstyle="miter"/>
                  <v:imagedata o:title=""/>
                  <o:lock v:ext="edit" aspectratio="f"/>
                </v:shape>
                <v:rect id="矩形 481" o:spid="_x0000_s1026" o:spt="1" style="position:absolute;left:327025;top:90805;height:286385;width:962025;" fillcolor="#FFFFFF" filled="t" stroked="t" coordsize="21600,21600" o:gfxdata="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HZOYNYAAAAFAQAADwAAAAAAAAABACAA&#10;AAAiAAAAZHJzL2Rvd25yZXYueG1sUEsBAhQAFAAAAAgAh07iQMFaH2QPAgAANgQAAA4AAAAAAAAA&#10;AQAgAAAAJQEAAGRycy9lMm9Eb2MueG1sUEsFBgAAAAAGAAYAWQEAAKYFAAAAAA==&#10;">
                  <v:fill on="t" focussize="0,0"/>
                  <v:stroke weight="1.5pt" color="#000001" joinstyle="miter"/>
                  <v:imagedata o:title=""/>
                  <o:lock v:ext="edit" aspectratio="f"/>
                  <v:textbox>
                    <w:txbxContent>
                      <w:p w14:paraId="249E5A2F">
                        <w:pPr>
                          <w:ind w:left="0" w:leftChars="0" w:firstLine="0" w:firstLineChars="0"/>
                          <w:jc w:val="center"/>
                          <w:rPr>
                            <w:rFonts w:hint="default" w:eastAsia="宋体"/>
                            <w:b/>
                            <w:bCs/>
                            <w:lang w:val="en-US" w:eastAsia="zh-CN"/>
                          </w:rPr>
                        </w:pPr>
                        <w:r>
                          <w:rPr>
                            <w:rFonts w:hint="eastAsia"/>
                            <w:b/>
                            <w:bCs/>
                            <w:sz w:val="21"/>
                            <w:szCs w:val="20"/>
                            <w:lang w:val="en-US" w:eastAsia="zh-CN"/>
                          </w:rPr>
                          <w:t>牛尿、</w:t>
                        </w:r>
                        <w:r>
                          <w:rPr>
                            <w:rFonts w:hint="eastAsia"/>
                            <w:b/>
                            <w:bCs/>
                            <w:sz w:val="21"/>
                            <w:szCs w:val="21"/>
                            <w:lang w:val="en-US" w:eastAsia="zh-CN"/>
                          </w:rPr>
                          <w:t>牛粪</w:t>
                        </w:r>
                      </w:p>
                    </w:txbxContent>
                  </v:textbox>
                </v:rect>
                <v:rect id="矩形 482" o:spid="_x0000_s1026" o:spt="1" style="position:absolute;left:1812925;top:424180;height:462280;width:952500;" fillcolor="#FFFFFF" filled="t" stroked="t" coordsize="21600,21600" o:gfxdata="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HZOYNYAAAAFAQAADwAAAAAAAAABACAA&#10;AAAiAAAAZHJzL2Rvd25yZXYueG1sUEsBAhQAFAAAAAgAh07iQLxhsOcPAgAAOAQAAA4AAAAAAAAA&#10;AQAgAAAAJQEAAGRycy9lMm9Eb2MueG1sUEsFBgAAAAAGAAYAWQEAAKYFAAAAAA==&#10;">
                  <v:fill on="t" focussize="0,0"/>
                  <v:stroke weight="1.5pt" color="#000001" joinstyle="miter"/>
                  <v:imagedata o:title=""/>
                  <o:lock v:ext="edit" aspectratio="f"/>
                  <v:textbox>
                    <w:txbxContent>
                      <w:p w14:paraId="7349D300">
                        <w:pPr>
                          <w:spacing w:line="240" w:lineRule="auto"/>
                          <w:ind w:left="0" w:leftChars="0" w:firstLine="0" w:firstLineChars="0"/>
                          <w:jc w:val="center"/>
                          <w:rPr>
                            <w:rFonts w:hint="default" w:eastAsia="宋体"/>
                            <w:b/>
                            <w:bCs/>
                            <w:sz w:val="21"/>
                            <w:szCs w:val="21"/>
                            <w:lang w:val="en-US" w:eastAsia="zh-CN"/>
                          </w:rPr>
                        </w:pPr>
                        <w:r>
                          <w:rPr>
                            <w:rFonts w:hint="eastAsia"/>
                            <w:b/>
                            <w:bCs/>
                            <w:sz w:val="21"/>
                            <w:szCs w:val="21"/>
                            <w:lang w:val="en-US" w:eastAsia="zh-CN"/>
                          </w:rPr>
                          <w:t>牛只踩踏、机器翻刨</w:t>
                        </w:r>
                      </w:p>
                    </w:txbxContent>
                  </v:textbox>
                </v:rect>
                <v:rect id="矩形 483" o:spid="_x0000_s1026" o:spt="1" style="position:absolute;left:346075;top:805180;height:279400;width:952500;" fillcolor="#FFFFFF" filled="t" stroked="t" coordsize="21600,21600" o:gfxdata="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x2TmDWAAAABQEAAA8AAAAAAAAAAQAgAAAA&#10;IgAAAGRycy9kb3ducmV2LnhtbFBLAQIUABQAAAAIAIdO4kBe5I/DDQIAADcEAAAOAAAAAAAAAAEA&#10;IAAAACUBAABkcnMvZTJvRG9jLnhtbFBLBQYAAAAABgAGAFkBAACkBQAAAAA=&#10;">
                  <v:fill on="t" focussize="0,0"/>
                  <v:stroke weight="1.5pt" color="#000001" joinstyle="miter"/>
                  <v:imagedata o:title=""/>
                  <o:lock v:ext="edit" aspectratio="f"/>
                  <v:textbox>
                    <w:txbxContent>
                      <w:p w14:paraId="619DAFC3">
                        <w:pPr>
                          <w:ind w:left="0" w:leftChars="0" w:firstLine="0" w:firstLineChars="0"/>
                          <w:jc w:val="center"/>
                          <w:rPr>
                            <w:rFonts w:hint="default" w:eastAsia="宋体"/>
                            <w:b/>
                            <w:bCs/>
                            <w:lang w:val="en-US" w:eastAsia="zh-CN"/>
                          </w:rPr>
                        </w:pPr>
                        <w:r>
                          <w:rPr>
                            <w:rFonts w:hint="eastAsia"/>
                            <w:b/>
                            <w:bCs/>
                            <w:sz w:val="21"/>
                            <w:szCs w:val="20"/>
                            <w:lang w:val="en-US" w:eastAsia="zh-CN"/>
                          </w:rPr>
                          <w:t>发酵菌种</w:t>
                        </w:r>
                      </w:p>
                    </w:txbxContent>
                  </v:textbox>
                </v:rect>
                <v:rect id="矩形 484" o:spid="_x0000_s1026" o:spt="1" style="position:absolute;left:3203575;top:501015;height:279400;width:952500;" fillcolor="#FFFFFF" filled="t" stroked="t" coordsize="21600,21600" o:gfxdata="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HZOYNYAAAAFAQAADwAAAAAAAAABACAA&#10;AAAiAAAAZHJzL2Rvd25yZXYueG1sUEsBAhQAFAAAAAgAh07iQJushIYPAgAAOAQAAA4AAAAAAAAA&#10;AQAgAAAAJQEAAGRycy9lMm9Eb2MueG1sUEsFBgAAAAAGAAYAWQEAAKYFAAAAAA==&#10;">
                  <v:fill on="t" focussize="0,0"/>
                  <v:stroke weight="1.5pt" color="#000001" joinstyle="miter"/>
                  <v:imagedata o:title=""/>
                  <o:lock v:ext="edit" aspectratio="f"/>
                  <v:textbox>
                    <w:txbxContent>
                      <w:p w14:paraId="7AF47294">
                        <w:pPr>
                          <w:ind w:left="0" w:leftChars="0" w:firstLine="0" w:firstLineChars="0"/>
                          <w:jc w:val="center"/>
                          <w:rPr>
                            <w:rFonts w:hint="default" w:eastAsia="宋体"/>
                            <w:b/>
                            <w:bCs/>
                            <w:sz w:val="21"/>
                            <w:szCs w:val="20"/>
                            <w:lang w:val="en-US" w:eastAsia="zh-CN"/>
                          </w:rPr>
                        </w:pPr>
                        <w:r>
                          <w:rPr>
                            <w:rFonts w:hint="eastAsia"/>
                            <w:b/>
                            <w:bCs/>
                            <w:sz w:val="21"/>
                            <w:szCs w:val="20"/>
                            <w:lang w:val="en-US" w:eastAsia="zh-CN"/>
                          </w:rPr>
                          <w:t>生物发酵</w:t>
                        </w:r>
                      </w:p>
                    </w:txbxContent>
                  </v:textbox>
                </v:rect>
                <v:rect id="矩形 485" o:spid="_x0000_s1026" o:spt="1" style="position:absolute;left:4599940;top:506095;height:273685;width:835025;" fillcolor="#FFFFFF" filled="t" stroked="t" coordsize="21600,21600" o:gfxdata="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x2TmDWAAAABQEAAA8AAAAAAAAA&#10;AQAgAAAAIgAAAGRycy9kb3ducmV2LnhtbFBLAQIUABQAAAAIAIdO4kBH5erNEwIAADgEAAAOAAAA&#10;AAAAAAEAIAAAACUBAABkcnMvZTJvRG9jLnhtbFBLBQYAAAAABgAGAFkBAACqBQAAAAA=&#10;">
                  <v:fill on="t" focussize="0,0"/>
                  <v:stroke weight="1.5pt" color="#000001" joinstyle="miter"/>
                  <v:imagedata o:title=""/>
                  <o:lock v:ext="edit" aspectratio="f"/>
                  <v:textbox>
                    <w:txbxContent>
                      <w:p w14:paraId="7DDA63BC">
                        <w:pPr>
                          <w:ind w:left="0" w:leftChars="0" w:firstLine="0" w:firstLineChars="0"/>
                          <w:jc w:val="center"/>
                          <w:rPr>
                            <w:rFonts w:hint="default" w:eastAsia="宋体"/>
                            <w:b/>
                            <w:bCs/>
                            <w:sz w:val="21"/>
                            <w:szCs w:val="20"/>
                            <w:lang w:val="en-US" w:eastAsia="zh-CN"/>
                          </w:rPr>
                        </w:pPr>
                        <w:r>
                          <w:rPr>
                            <w:rFonts w:hint="eastAsia"/>
                            <w:b/>
                            <w:bCs/>
                            <w:sz w:val="21"/>
                            <w:szCs w:val="20"/>
                            <w:lang w:val="en-US" w:eastAsia="zh-CN"/>
                          </w:rPr>
                          <w:t>还田</w:t>
                        </w:r>
                      </w:p>
                    </w:txbxContent>
                  </v:textbox>
                </v:rect>
                <v:line id="直接连接符 486" o:spid="_x0000_s1026" o:spt="20" style="position:absolute;left:1298575;top:233680;height:412750;width:514350;" filled="f" stroked="t" coordsize="21600,21600" o:gfxdata="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p/VRY1AAAAAUB&#10;AAAPAAAAAAAAAAEAIAAAACIAAABkcnMvZG93bnJldi54bWxQSwECFAAUAAAACACHTuJAJj9T8h8C&#10;AAAkBAAADgAAAAAAAAABACAAAAAjAQAAZHJzL2Uyb0RvYy54bWxQSwUGAAAAAAYABgBZAQAAtAUA&#10;AAAA&#10;">
                  <v:fill on="f" focussize="0,0"/>
                  <v:stroke color="#000001" joinstyle="round" endarrow="block"/>
                  <v:imagedata o:title=""/>
                  <o:lock v:ext="edit" aspectratio="f"/>
                </v:line>
                <v:line id="直接连接符 487" o:spid="_x0000_s1026" o:spt="20" style="position:absolute;left:1308100;top:646430;flip:y;height:339725;width:504825;" filled="f" stroked="t" coordsize="21600,21600" o:gfxdata="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JNbGHV&#10;AAAABQEAAA8AAAAAAAAAAQAgAAAAIgAAAGRycy9kb3ducmV2LnhtbFBLAQIUABQAAAAIAIdO4kD0&#10;P8yIIwIAAC4EAAAOAAAAAAAAAAEAIAAAACQBAABkcnMvZTJvRG9jLnhtbFBLBQYAAAAABgAGAFkB&#10;AAC5BQAAAAA=&#10;">
                  <v:fill on="f" focussize="0,0"/>
                  <v:stroke color="#000001" joinstyle="round" endarrow="block"/>
                  <v:imagedata o:title=""/>
                  <o:lock v:ext="edit" aspectratio="f"/>
                </v:line>
                <v:line id="直接连接符 489" o:spid="_x0000_s1026" o:spt="20" style="position:absolute;left:4165600;top:643890;flip:y;height:3175;width:431800;" filled="f" stroked="t" coordsize="21600,21600" o:gfxdata="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k1sYdUAAAAFAQAADwAAAAAAAAAB&#10;ACAAAAAiAAAAZHJzL2Rvd25yZXYueG1sUEsBAhQAFAAAAAgAh07iQFlNBi4TAgAAAwQAAA4AAAAA&#10;AAAAAQAgAAAAJAEAAGRycy9lMm9Eb2MueG1sUEsFBgAAAAAGAAYAWQEAAKkFAAAAAA==&#10;">
                  <v:fill on="f" focussize="0,0"/>
                  <v:stroke color="#000001" joinstyle="round" endarrow="block"/>
                  <v:imagedata o:title=""/>
                  <o:lock v:ext="edit" aspectratio="f"/>
                </v:line>
                <v:line id="直接连接符 5" o:spid="_x0000_s1026" o:spt="20" style="position:absolute;left:2783205;top:645160;flip:y;height:3175;width:431800;" filled="f" stroked="t" coordsize="21600,21600" o:gfxdata="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iTWxh1QAAAAUBAAAPAAAAAAAA&#10;AAEAIAAAACIAAABkcnMvZG93bnJldi54bWxQSwECFAAUAAAACACHTuJAwfY+QxUCAAABBAAADgAA&#10;AAAAAAABACAAAAAkAQAAZHJzL2Uyb0RvYy54bWxQSwUGAAAAAAYABgBZAQAAqwUAAAAA&#10;">
                  <v:fill on="f" focussize="0,0"/>
                  <v:stroke color="#000001" joinstyle="round" endarrow="block"/>
                  <v:imagedata o:title=""/>
                  <o:lock v:ext="edit" aspectratio="f"/>
                </v:line>
                <w10:wrap type="none"/>
                <w10:anchorlock/>
              </v:group>
            </w:pict>
          </mc:Fallback>
        </mc:AlternateContent>
      </w:r>
    </w:p>
    <w:p w14:paraId="370D1DE0">
      <w:pPr>
        <w:pStyle w:val="67"/>
        <w:ind w:firstLine="0" w:firstLineChars="0"/>
        <w:jc w:val="center"/>
        <w:rPr>
          <w:rFonts w:hint="default" w:ascii="Times New Roman" w:hAnsi="Times New Roman" w:eastAsia="黑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图</w:t>
      </w:r>
      <w:r>
        <w:rPr>
          <w:rFonts w:hint="eastAsia" w:ascii="Times New Roman" w:hAnsi="Times New Roman" w:eastAsia="黑体" w:cs="Times New Roman"/>
          <w:color w:val="auto"/>
          <w:highlight w:val="none"/>
          <w:lang w:val="en-US" w:eastAsia="zh-CN"/>
        </w:rPr>
        <w:t>3</w:t>
      </w:r>
      <w:r>
        <w:rPr>
          <w:rFonts w:hint="eastAsia" w:eastAsia="黑体" w:cs="Times New Roman"/>
          <w:color w:val="auto"/>
          <w:highlight w:val="none"/>
          <w:lang w:val="en-US" w:eastAsia="zh-CN"/>
        </w:rPr>
        <w:t>.</w:t>
      </w:r>
      <w:r>
        <w:rPr>
          <w:rFonts w:hint="eastAsia" w:ascii="Times New Roman" w:hAnsi="Times New Roman" w:eastAsia="黑体" w:cs="Times New Roman"/>
          <w:color w:val="auto"/>
          <w:highlight w:val="none"/>
          <w:lang w:val="en-US" w:eastAsia="zh-CN"/>
        </w:rPr>
        <w:t>3-4</w:t>
      </w:r>
      <w:r>
        <w:rPr>
          <w:rFonts w:hint="default" w:ascii="Times New Roman" w:hAnsi="Times New Roman" w:eastAsia="黑体" w:cs="Times New Roman"/>
          <w:color w:val="auto"/>
          <w:highlight w:val="none"/>
          <w:lang w:val="en-US" w:eastAsia="zh-CN"/>
        </w:rPr>
        <w:t xml:space="preserve">   粪便无害化处理工艺流程图</w:t>
      </w:r>
    </w:p>
    <w:p w14:paraId="74F10B4F">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工艺流程说明如下：</w:t>
      </w:r>
    </w:p>
    <w:p w14:paraId="1EC56346">
      <w:pPr>
        <w:pStyle w:val="210"/>
        <w:keepNext w:val="0"/>
        <w:keepLines w:val="0"/>
        <w:pageBreakBefore w:val="0"/>
        <w:widowControl w:val="0"/>
        <w:kinsoku/>
        <w:wordWrap/>
        <w:overflowPunct/>
        <w:topLinePunct w:val="0"/>
        <w:autoSpaceDE/>
        <w:autoSpaceDN/>
        <w:bidi w:val="0"/>
        <w:adjustRightInd w:val="0"/>
        <w:snapToGrid w:val="0"/>
        <w:ind w:left="0" w:leftChars="0"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2"/>
          <w:highlight w:val="none"/>
          <w:lang w:val="en-US" w:eastAsia="zh-CN"/>
        </w:rPr>
        <w:t>项目牛舍建设过程中将加入EM发酵菌垫床铺设至牛舍底部，通过牛群踩踏的方式使牛粪、牛尿、EM发酵菌与秸秆充分混合发酵，形成粪床（</w:t>
      </w:r>
      <w:r>
        <w:rPr>
          <w:rFonts w:hint="eastAsia" w:ascii="Times New Roman" w:hAnsi="Times New Roman" w:eastAsia="宋体" w:cs="Times New Roman"/>
          <w:color w:val="auto"/>
          <w:sz w:val="24"/>
          <w:szCs w:val="22"/>
          <w:highlight w:val="none"/>
          <w:lang w:val="en-US" w:eastAsia="zh-CN"/>
        </w:rPr>
        <w:t>水分</w:t>
      </w:r>
      <w:r>
        <w:rPr>
          <w:rFonts w:hint="default" w:ascii="Times New Roman" w:hAnsi="Times New Roman" w:eastAsia="宋体" w:cs="Times New Roman"/>
          <w:color w:val="auto"/>
          <w:sz w:val="24"/>
          <w:szCs w:val="22"/>
          <w:highlight w:val="none"/>
          <w:lang w:val="en-US" w:eastAsia="zh-CN"/>
        </w:rPr>
        <w:t>为50%）。发酵过程中粪床内部温度可达到60℃，可以保证杀死各种病原菌，达到《畜禽养殖</w:t>
      </w:r>
      <w:r>
        <w:rPr>
          <w:rFonts w:hint="default" w:ascii="Times New Roman" w:hAnsi="Times New Roman" w:eastAsia="宋体" w:cs="Times New Roman"/>
          <w:color w:val="auto"/>
          <w:sz w:val="24"/>
          <w:szCs w:val="24"/>
          <w:highlight w:val="none"/>
          <w:lang w:val="en-US" w:eastAsia="zh-CN"/>
        </w:rPr>
        <w:t>粪便贮存设施设计要求》（GB/T27622-2011）无害化处理要求后，</w:t>
      </w:r>
      <w:r>
        <w:rPr>
          <w:rFonts w:hint="eastAsia" w:ascii="Times New Roman" w:hAnsi="Times New Roman" w:eastAsia="宋体" w:cs="Times New Roman"/>
          <w:color w:val="auto"/>
          <w:sz w:val="24"/>
          <w:szCs w:val="24"/>
          <w:highlight w:val="none"/>
          <w:lang w:val="en-US" w:eastAsia="zh-CN"/>
        </w:rPr>
        <w:t>采用槽式发酵法，</w:t>
      </w:r>
      <w:r>
        <w:rPr>
          <w:rFonts w:hint="default" w:ascii="Times New Roman" w:hAnsi="Times New Roman" w:eastAsia="宋体" w:cs="Times New Roman"/>
          <w:color w:val="auto"/>
          <w:highlight w:val="none"/>
        </w:rPr>
        <w:t>将</w:t>
      </w:r>
      <w:r>
        <w:rPr>
          <w:rFonts w:hint="eastAsia" w:ascii="Times New Roman" w:hAnsi="Times New Roman" w:eastAsia="宋体" w:cs="Times New Roman"/>
          <w:color w:val="auto"/>
          <w:highlight w:val="none"/>
          <w:lang w:val="en-US" w:eastAsia="zh-CN"/>
        </w:rPr>
        <w:t>混合粪污的垫料</w:t>
      </w:r>
      <w:r>
        <w:rPr>
          <w:rFonts w:hint="default" w:ascii="Times New Roman" w:hAnsi="Times New Roman" w:eastAsia="宋体" w:cs="Times New Roman"/>
          <w:color w:val="auto"/>
          <w:highlight w:val="none"/>
        </w:rPr>
        <w:t>和微生物菌剂等均匀混合铺入堆肥间，定期翻转，发酵过程中对温度、湿度进行监控，并根据要求进行适当调节。好氧发酵时间一般为</w:t>
      </w:r>
      <w:r>
        <w:rPr>
          <w:rFonts w:hint="eastAsia" w:ascii="Times New Roman" w:hAnsi="Times New Roman" w:eastAsia="宋体" w:cs="Times New Roman"/>
          <w:color w:val="auto"/>
          <w:highlight w:val="none"/>
          <w:lang w:val="en-US" w:eastAsia="zh-CN"/>
        </w:rPr>
        <w:t>15-30</w:t>
      </w:r>
      <w:r>
        <w:rPr>
          <w:rFonts w:hint="default" w:ascii="Times New Roman" w:hAnsi="Times New Roman" w:eastAsia="宋体" w:cs="Times New Roman"/>
          <w:color w:val="auto"/>
          <w:highlight w:val="none"/>
        </w:rPr>
        <w:t>天，平均2天采用翻堆机翻堆一次，在翻堆过程中边打散，边翻堆、边加微生物菌剂。发酵过程中堆体温度迅速升高并进入高温分解阶段，微生物消耗有机物和养分而大量繁殖，有机质在氧气充足的条件下强烈分解。堆体温度在55℃的条件下即可杀灭堆料中所含的致病微生物，实现无害化处理。发酵过程中微生物菌群以辅料为载体与粪便组成复杂而稳定的微生态系统，能够快速使粪污制成固体粪肥，固体粪肥满足《畜禽养殖业污染物排放标准》（GB18596-2001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《畜禽粪便无害化处理技术规范》（GB/T36195-2018）、《畜禽粪便还田技术规范》（GB/T25246-2010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后作为肥料施用于配套消纳地进行施肥，非施肥季节储存于堆肥间内。</w:t>
      </w:r>
    </w:p>
    <w:p w14:paraId="3CC22269">
      <w:pPr>
        <w:pStyle w:val="4"/>
        <w:rPr>
          <w:rFonts w:hint="default" w:ascii="Times New Roman" w:hAnsi="Times New Roman" w:cs="Times New Roman"/>
          <w:snapToGrid w:val="0"/>
          <w:color w:val="auto"/>
          <w:kern w:val="0"/>
          <w:highlight w:val="none"/>
        </w:rPr>
      </w:pPr>
      <w:bookmarkStart w:id="233" w:name="_Toc57713650"/>
      <w:bookmarkStart w:id="234" w:name="_Toc18330"/>
      <w:bookmarkStart w:id="235" w:name="_Toc26877820"/>
      <w:r>
        <w:rPr>
          <w:rFonts w:hint="default" w:ascii="Times New Roman" w:hAnsi="Times New Roman" w:cs="Times New Roman"/>
          <w:snapToGrid w:val="0"/>
          <w:color w:val="auto"/>
          <w:kern w:val="0"/>
          <w:highlight w:val="none"/>
        </w:rPr>
        <w:t>3.4工程污染源强分析</w:t>
      </w:r>
      <w:bookmarkEnd w:id="233"/>
      <w:bookmarkEnd w:id="234"/>
      <w:bookmarkEnd w:id="235"/>
    </w:p>
    <w:p w14:paraId="3DEEDA74">
      <w:pPr>
        <w:pStyle w:val="5"/>
        <w:spacing w:line="500" w:lineRule="exact"/>
        <w:rPr>
          <w:rFonts w:hint="default" w:ascii="Times New Roman" w:hAnsi="Times New Roman" w:cs="Times New Roman"/>
          <w:color w:val="auto"/>
          <w:highlight w:val="none"/>
        </w:rPr>
      </w:pPr>
      <w:bookmarkStart w:id="236" w:name="_Toc26877821"/>
      <w:bookmarkStart w:id="237" w:name="_Toc57713651"/>
      <w:bookmarkStart w:id="238" w:name="_Toc168"/>
      <w:r>
        <w:rPr>
          <w:rFonts w:hint="default" w:ascii="Times New Roman" w:hAnsi="Times New Roman" w:cs="Times New Roman"/>
          <w:color w:val="auto"/>
          <w:highlight w:val="none"/>
        </w:rPr>
        <w:t>3.4.1施工期污染源强及源强分析</w:t>
      </w:r>
      <w:bookmarkEnd w:id="236"/>
      <w:bookmarkEnd w:id="237"/>
      <w:bookmarkEnd w:id="238"/>
    </w:p>
    <w:p w14:paraId="4B7AAF73">
      <w:pPr>
        <w:pStyle w:val="67"/>
        <w:ind w:firstLine="480"/>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rPr>
        <w:t>施工活动的工程内容主要为：平整土地、建筑施工、管线铺设、设备安装，主要影响范围为项目场区区域，施工过程将产生施工扬尘、施工废水、施工噪声、施工固废及生活垃圾等污染物，主要环境影响因子包括环境空气、水环境、声环境、人群健康、生态环境等，并新增少量水土流失。</w:t>
      </w:r>
    </w:p>
    <w:p w14:paraId="431E1FFF">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3.4.1.1废水</w:t>
      </w:r>
    </w:p>
    <w:p w14:paraId="5D8DAF3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对水环境造成的影响主要有施工废水和生活污水。本项目施工期使用商品混凝土，不现场搅拌，无混凝土搅拌废水。施工场地堆放的土石方被雨水冲刷易对地面径流产生污染。施工机械不在现场维修和冲洗，施工废水主要污染因子为COD、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、氨氮、SS、石油类。施工现场设置临时沉淀池，施工废水经沉淀后上清液用于施工场地和道路洒水降尘。</w:t>
      </w:r>
    </w:p>
    <w:p w14:paraId="26193E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施工现场高峰期人数约为</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0人，按照</w:t>
      </w:r>
      <w:r>
        <w:rPr>
          <w:rFonts w:hint="default" w:ascii="Times New Roman" w:hAnsi="Times New Roman" w:eastAsia="宋体" w:cs="Times New Roman"/>
          <w:color w:val="auto"/>
          <w:szCs w:val="24"/>
          <w:highlight w:val="none"/>
        </w:rPr>
        <w:t>黑龙江省《用水定额》</w:t>
      </w:r>
      <w:r>
        <w:rPr>
          <w:rFonts w:hint="default" w:ascii="Times New Roman" w:hAnsi="Times New Roman" w:eastAsia="宋体" w:cs="Times New Roman"/>
          <w:color w:val="auto"/>
          <w:highlight w:val="none"/>
        </w:rPr>
        <w:t>（DB23/T727-202</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规定，施工营地施工人员人均用水量约20L/人·天，废水排放系数按0.8计算，每天排放生活污水约0.48t/d，污染物产生情况见下表。施工场地不设置食堂。施工现场设置防渗旱厕收集施工人员如厕废水，定期清掏，外运积肥，不外排。</w:t>
      </w:r>
    </w:p>
    <w:p w14:paraId="79E9B609">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表3-4-1施工期生活污水排放情况表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2133"/>
        <w:gridCol w:w="961"/>
        <w:gridCol w:w="850"/>
        <w:gridCol w:w="804"/>
        <w:gridCol w:w="927"/>
        <w:gridCol w:w="988"/>
      </w:tblGrid>
      <w:tr w14:paraId="42E1A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shd w:val="clear" w:color="auto" w:fill="auto"/>
            <w:vAlign w:val="center"/>
          </w:tcPr>
          <w:p w14:paraId="2A574A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废水量（t/d）</w:t>
            </w:r>
          </w:p>
        </w:tc>
        <w:tc>
          <w:tcPr>
            <w:tcW w:w="0" w:type="auto"/>
            <w:shd w:val="clear" w:color="auto" w:fill="auto"/>
            <w:vAlign w:val="center"/>
          </w:tcPr>
          <w:p w14:paraId="24FB2FD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水质</w:t>
            </w:r>
          </w:p>
        </w:tc>
        <w:tc>
          <w:tcPr>
            <w:tcW w:w="0" w:type="auto"/>
            <w:shd w:val="clear" w:color="auto" w:fill="auto"/>
            <w:vAlign w:val="center"/>
          </w:tcPr>
          <w:p w14:paraId="54D3441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CODcr</w:t>
            </w:r>
          </w:p>
        </w:tc>
        <w:tc>
          <w:tcPr>
            <w:tcW w:w="0" w:type="auto"/>
            <w:shd w:val="clear" w:color="auto" w:fill="auto"/>
            <w:vAlign w:val="center"/>
          </w:tcPr>
          <w:p w14:paraId="1E47E0B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BOD</w:t>
            </w:r>
            <w:r>
              <w:rPr>
                <w:rFonts w:hint="default" w:ascii="Times New Roman" w:hAnsi="Times New Roman" w:eastAsia="宋体" w:cs="Times New Roman"/>
                <w:snapToGrid w:val="0"/>
                <w:color w:val="auto"/>
                <w:highlight w:val="none"/>
                <w:vertAlign w:val="subscript"/>
              </w:rPr>
              <w:t>5</w:t>
            </w:r>
          </w:p>
        </w:tc>
        <w:tc>
          <w:tcPr>
            <w:tcW w:w="0" w:type="auto"/>
            <w:shd w:val="clear" w:color="auto" w:fill="auto"/>
            <w:vAlign w:val="center"/>
          </w:tcPr>
          <w:p w14:paraId="094C2FB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SS</w:t>
            </w:r>
          </w:p>
        </w:tc>
        <w:tc>
          <w:tcPr>
            <w:tcW w:w="0" w:type="auto"/>
            <w:shd w:val="clear" w:color="auto" w:fill="auto"/>
            <w:vAlign w:val="center"/>
          </w:tcPr>
          <w:p w14:paraId="2B710F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0" w:type="auto"/>
            <w:shd w:val="clear" w:color="auto" w:fill="auto"/>
            <w:vAlign w:val="center"/>
          </w:tcPr>
          <w:p w14:paraId="14AF664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植物油</w:t>
            </w:r>
          </w:p>
        </w:tc>
      </w:tr>
      <w:tr w14:paraId="63647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shd w:val="clear" w:color="auto" w:fill="auto"/>
            <w:vAlign w:val="center"/>
          </w:tcPr>
          <w:p w14:paraId="09E06EA7">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0.</w:t>
            </w:r>
            <w:r>
              <w:rPr>
                <w:rFonts w:hint="default" w:ascii="Times New Roman" w:hAnsi="Times New Roman" w:eastAsia="宋体" w:cs="Times New Roman"/>
                <w:snapToGrid w:val="0"/>
                <w:color w:val="auto"/>
                <w:highlight w:val="none"/>
                <w:lang w:val="en-US" w:eastAsia="zh-CN"/>
              </w:rPr>
              <w:t>96</w:t>
            </w:r>
          </w:p>
        </w:tc>
        <w:tc>
          <w:tcPr>
            <w:tcW w:w="0" w:type="auto"/>
            <w:shd w:val="clear" w:color="auto" w:fill="auto"/>
            <w:vAlign w:val="center"/>
          </w:tcPr>
          <w:p w14:paraId="4B618C1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产生浓度（mg/L）</w:t>
            </w:r>
          </w:p>
        </w:tc>
        <w:tc>
          <w:tcPr>
            <w:tcW w:w="0" w:type="auto"/>
            <w:shd w:val="clear" w:color="auto" w:fill="auto"/>
            <w:vAlign w:val="center"/>
          </w:tcPr>
          <w:p w14:paraId="453568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300</w:t>
            </w:r>
          </w:p>
        </w:tc>
        <w:tc>
          <w:tcPr>
            <w:tcW w:w="0" w:type="auto"/>
            <w:shd w:val="clear" w:color="auto" w:fill="auto"/>
            <w:vAlign w:val="center"/>
          </w:tcPr>
          <w:p w14:paraId="4D572E8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0" w:type="auto"/>
            <w:shd w:val="clear" w:color="auto" w:fill="auto"/>
            <w:vAlign w:val="center"/>
          </w:tcPr>
          <w:p w14:paraId="0E0DB4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0" w:type="auto"/>
            <w:shd w:val="clear" w:color="auto" w:fill="auto"/>
            <w:vAlign w:val="center"/>
          </w:tcPr>
          <w:p w14:paraId="50BBC9A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0" w:type="auto"/>
            <w:shd w:val="clear" w:color="auto" w:fill="auto"/>
            <w:vAlign w:val="center"/>
          </w:tcPr>
          <w:p w14:paraId="59D345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w:t>
            </w:r>
          </w:p>
        </w:tc>
      </w:tr>
      <w:tr w14:paraId="3ADFB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shd w:val="clear" w:color="auto" w:fill="auto"/>
            <w:vAlign w:val="center"/>
          </w:tcPr>
          <w:p w14:paraId="09982A39">
            <w:pPr>
              <w:pStyle w:val="146"/>
              <w:rPr>
                <w:rFonts w:hint="default" w:ascii="Times New Roman" w:hAnsi="Times New Roman" w:eastAsia="宋体" w:cs="Times New Roman"/>
                <w:snapToGrid w:val="0"/>
                <w:color w:val="auto"/>
                <w:highlight w:val="none"/>
              </w:rPr>
            </w:pPr>
          </w:p>
        </w:tc>
        <w:tc>
          <w:tcPr>
            <w:tcW w:w="0" w:type="auto"/>
            <w:shd w:val="clear" w:color="auto" w:fill="auto"/>
            <w:vAlign w:val="center"/>
          </w:tcPr>
          <w:p w14:paraId="6687742F">
            <w:pPr>
              <w:pStyle w:val="146"/>
              <w:rPr>
                <w:rFonts w:hint="default" w:ascii="Times New Roman" w:hAnsi="Times New Roman" w:eastAsia="宋体" w:cs="Times New Roman"/>
                <w:b/>
                <w:snapToGrid w:val="0"/>
                <w:color w:val="auto"/>
                <w:highlight w:val="none"/>
              </w:rPr>
            </w:pPr>
            <w:r>
              <w:rPr>
                <w:rFonts w:hint="default" w:ascii="Times New Roman" w:hAnsi="Times New Roman" w:eastAsia="宋体" w:cs="Times New Roman"/>
                <w:snapToGrid w:val="0"/>
                <w:color w:val="auto"/>
                <w:highlight w:val="none"/>
              </w:rPr>
              <w:t>产生量（kg/d）</w:t>
            </w:r>
          </w:p>
        </w:tc>
        <w:tc>
          <w:tcPr>
            <w:tcW w:w="961" w:type="dxa"/>
            <w:shd w:val="clear" w:color="auto" w:fill="auto"/>
            <w:vAlign w:val="center"/>
          </w:tcPr>
          <w:p w14:paraId="0D1DF8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0.288</w:t>
            </w:r>
          </w:p>
        </w:tc>
        <w:tc>
          <w:tcPr>
            <w:tcW w:w="850" w:type="dxa"/>
            <w:shd w:val="clear" w:color="auto" w:fill="auto"/>
            <w:vAlign w:val="center"/>
          </w:tcPr>
          <w:p w14:paraId="73A94B9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0.192</w:t>
            </w:r>
          </w:p>
        </w:tc>
        <w:tc>
          <w:tcPr>
            <w:tcW w:w="804" w:type="dxa"/>
            <w:shd w:val="clear" w:color="auto" w:fill="auto"/>
            <w:vAlign w:val="center"/>
          </w:tcPr>
          <w:p w14:paraId="40AEF12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0.192</w:t>
            </w:r>
          </w:p>
        </w:tc>
        <w:tc>
          <w:tcPr>
            <w:tcW w:w="927" w:type="dxa"/>
            <w:shd w:val="clear" w:color="auto" w:fill="auto"/>
            <w:vAlign w:val="center"/>
          </w:tcPr>
          <w:p w14:paraId="035C05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0.0288</w:t>
            </w:r>
          </w:p>
        </w:tc>
        <w:tc>
          <w:tcPr>
            <w:tcW w:w="988" w:type="dxa"/>
            <w:shd w:val="clear" w:color="auto" w:fill="auto"/>
            <w:vAlign w:val="center"/>
          </w:tcPr>
          <w:p w14:paraId="6D9F943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0.024</w:t>
            </w:r>
          </w:p>
        </w:tc>
      </w:tr>
    </w:tbl>
    <w:p w14:paraId="64240313">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3.4.1.2废气</w:t>
      </w:r>
    </w:p>
    <w:p w14:paraId="2509F8B1">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highlight w:val="none"/>
        </w:rPr>
        <w:t>施工期大气污染物主要为施工机械、运输车辆尾气，施工环节产生的扬尘。施工期扬尘主要产生于土方挖掘、平整土地、建材装卸以及车辆行使等作业环节。根据类比调查，施工作业场地近地面扬尘浓度可达1.5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～30mg/m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，将对养殖项目周边产生一定的不利影响。考虑到施工期产生扬尘颗粒粒径较大，受自然沉降作用明显。由于施工机械数量少且较分散，施工期不长，其污染程度相对较轻</w:t>
      </w:r>
      <w:r>
        <w:rPr>
          <w:rFonts w:hint="default" w:ascii="Times New Roman" w:hAnsi="Times New Roman" w:eastAsia="宋体" w:cs="Times New Roman"/>
          <w:color w:val="auto"/>
          <w:szCs w:val="20"/>
          <w:highlight w:val="none"/>
        </w:rPr>
        <w:t>。</w:t>
      </w:r>
    </w:p>
    <w:p w14:paraId="3097BE8A">
      <w:pPr>
        <w:pStyle w:val="67"/>
        <w:ind w:firstLine="48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根据有关资料显示，施工现场扬尘的另一个主要来源是车辆运输造成的，约占扬尘总量的60%。扬尘量的大小与天气干燥程度、道路路况、车辆行驶速度、风速大小等有关。一般情况下，在自然风作用下道路扬尘影响范围在100m以内，在大风天气，扬尘量及影响范围将有所扩大。对于施工中的挖方、填方作业及施工场地，采用洒水降尘的湿法作业抑制扬尘，以降低对大气环境影响。</w:t>
      </w:r>
    </w:p>
    <w:p w14:paraId="7205360D">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3.4.1.3噪声</w:t>
      </w:r>
    </w:p>
    <w:p w14:paraId="455707E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施工期的噪声主要来源于施工机械，如推土机、装载机、挖掘机等，这些突发性非稳态声源将对施工人员和施工沿线声环境产生不利影响。</w:t>
      </w:r>
    </w:p>
    <w:p w14:paraId="5AD0E91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不同施工阶段的噪声源和物性不同可分为：</w:t>
      </w:r>
    </w:p>
    <w:p w14:paraId="362AA4C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①基础施工阶段：主要噪声源是各种装载机、挖掘机、推土机等，大部分为移动声源。该阶段占整个施工期比例较小，但噪声大；</w:t>
      </w:r>
    </w:p>
    <w:p w14:paraId="5185487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②建筑结构施工阶段：主要噪声源是塔式起重机、钢筋调直机、电渣焊机、电焊机、石料切割机、机械振捣器和电锯等等，此阶段占整个施工期比例最大。声源有固定的也有移动的；</w:t>
      </w:r>
    </w:p>
    <w:p w14:paraId="5892EAE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③设备安装阶段：主要噪声源有电锯、电锤、多功能木工刨等。此阶段占施工期的比例也较大，但大部分在房间内部使用，对环境影响不大。</w:t>
      </w:r>
    </w:p>
    <w:p w14:paraId="2339CB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施工阶段主要噪声源强详见下表。</w:t>
      </w:r>
    </w:p>
    <w:p w14:paraId="2B60E1E1">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表3-4-2各施工阶段主要噪声源强</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60"/>
        <w:gridCol w:w="3058"/>
        <w:gridCol w:w="2688"/>
      </w:tblGrid>
      <w:tr w14:paraId="4DFB5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541" w:type="pct"/>
            <w:shd w:val="clear" w:color="auto" w:fill="auto"/>
            <w:vAlign w:val="center"/>
          </w:tcPr>
          <w:p w14:paraId="3A269862">
            <w:pPr>
              <w:pStyle w:val="146"/>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highlight w:val="none"/>
              </w:rPr>
              <w:t>声源</w:t>
            </w:r>
          </w:p>
        </w:tc>
        <w:tc>
          <w:tcPr>
            <w:tcW w:w="1841" w:type="pct"/>
            <w:shd w:val="clear" w:color="auto" w:fill="auto"/>
            <w:vAlign w:val="center"/>
          </w:tcPr>
          <w:p w14:paraId="3A73A79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1618" w:type="pct"/>
            <w:shd w:val="clear" w:color="auto" w:fill="auto"/>
            <w:vAlign w:val="center"/>
          </w:tcPr>
          <w:p w14:paraId="19BD7C7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29843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20213D0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1841" w:type="pct"/>
            <w:shd w:val="clear" w:color="auto" w:fill="auto"/>
            <w:vAlign w:val="center"/>
          </w:tcPr>
          <w:p w14:paraId="33257E2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5F163E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5792F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7C106B4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1841" w:type="pct"/>
            <w:shd w:val="clear" w:color="auto" w:fill="auto"/>
            <w:vAlign w:val="center"/>
          </w:tcPr>
          <w:p w14:paraId="23F803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A12-201</w:t>
            </w:r>
          </w:p>
        </w:tc>
        <w:tc>
          <w:tcPr>
            <w:tcW w:w="1618" w:type="pct"/>
            <w:shd w:val="clear" w:color="auto" w:fill="auto"/>
            <w:vAlign w:val="center"/>
          </w:tcPr>
          <w:p w14:paraId="64BDC40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2086F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33F49AC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1841" w:type="pct"/>
            <w:shd w:val="clear" w:color="auto" w:fill="auto"/>
            <w:vAlign w:val="center"/>
          </w:tcPr>
          <w:p w14:paraId="633D19B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07E2D17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69DCA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0C63788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1841" w:type="pct"/>
            <w:shd w:val="clear" w:color="auto" w:fill="auto"/>
            <w:vAlign w:val="center"/>
          </w:tcPr>
          <w:p w14:paraId="6860DE7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HC03215</w:t>
            </w:r>
          </w:p>
        </w:tc>
        <w:tc>
          <w:tcPr>
            <w:tcW w:w="1618" w:type="pct"/>
            <w:shd w:val="clear" w:color="auto" w:fill="auto"/>
            <w:vAlign w:val="center"/>
          </w:tcPr>
          <w:p w14:paraId="72D1622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62B9E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6D4B00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1841" w:type="pct"/>
            <w:shd w:val="clear" w:color="auto" w:fill="auto"/>
            <w:vAlign w:val="center"/>
          </w:tcPr>
          <w:p w14:paraId="081D84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SP150</w:t>
            </w:r>
          </w:p>
        </w:tc>
        <w:tc>
          <w:tcPr>
            <w:tcW w:w="1618" w:type="pct"/>
            <w:shd w:val="clear" w:color="auto" w:fill="auto"/>
            <w:vAlign w:val="center"/>
          </w:tcPr>
          <w:p w14:paraId="2514713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736BA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667B78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1841" w:type="pct"/>
            <w:shd w:val="clear" w:color="auto" w:fill="auto"/>
            <w:vAlign w:val="center"/>
          </w:tcPr>
          <w:p w14:paraId="142BFFE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YT300</w:t>
            </w:r>
          </w:p>
        </w:tc>
        <w:tc>
          <w:tcPr>
            <w:tcW w:w="1618" w:type="pct"/>
            <w:shd w:val="clear" w:color="auto" w:fill="auto"/>
            <w:vAlign w:val="center"/>
          </w:tcPr>
          <w:p w14:paraId="67E552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01169D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3831AD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1841" w:type="pct"/>
            <w:shd w:val="clear" w:color="auto" w:fill="auto"/>
            <w:vAlign w:val="center"/>
          </w:tcPr>
          <w:p w14:paraId="56019F0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QL150</w:t>
            </w:r>
          </w:p>
        </w:tc>
        <w:tc>
          <w:tcPr>
            <w:tcW w:w="1618" w:type="pct"/>
            <w:shd w:val="clear" w:color="auto" w:fill="auto"/>
            <w:vAlign w:val="center"/>
          </w:tcPr>
          <w:p w14:paraId="3070912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2E2B5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39DEB5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1841" w:type="pct"/>
            <w:shd w:val="clear" w:color="auto" w:fill="auto"/>
            <w:vAlign w:val="center"/>
          </w:tcPr>
          <w:p w14:paraId="166EF20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S-150</w:t>
            </w:r>
          </w:p>
        </w:tc>
        <w:tc>
          <w:tcPr>
            <w:tcW w:w="1618" w:type="pct"/>
            <w:shd w:val="clear" w:color="auto" w:fill="auto"/>
            <w:vAlign w:val="center"/>
          </w:tcPr>
          <w:p w14:paraId="6898BCA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4F2C7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73DC60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1841" w:type="pct"/>
            <w:shd w:val="clear" w:color="auto" w:fill="auto"/>
            <w:vAlign w:val="center"/>
          </w:tcPr>
          <w:p w14:paraId="5CC1703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LK50</w:t>
            </w:r>
          </w:p>
        </w:tc>
        <w:tc>
          <w:tcPr>
            <w:tcW w:w="1618" w:type="pct"/>
            <w:shd w:val="clear" w:color="auto" w:fill="auto"/>
            <w:vAlign w:val="center"/>
          </w:tcPr>
          <w:p w14:paraId="5F337B8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06715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015928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1841" w:type="pct"/>
            <w:shd w:val="clear" w:color="auto" w:fill="auto"/>
            <w:vAlign w:val="center"/>
          </w:tcPr>
          <w:p w14:paraId="2A27A82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HZB50</w:t>
            </w:r>
          </w:p>
        </w:tc>
        <w:tc>
          <w:tcPr>
            <w:tcW w:w="1618" w:type="pct"/>
            <w:shd w:val="clear" w:color="auto" w:fill="auto"/>
            <w:vAlign w:val="center"/>
          </w:tcPr>
          <w:p w14:paraId="6C90F7B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5915C1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1E4BDA8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1841" w:type="pct"/>
            <w:shd w:val="clear" w:color="auto" w:fill="auto"/>
            <w:vAlign w:val="center"/>
          </w:tcPr>
          <w:p w14:paraId="4699EF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0681B80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55043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21CCF00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1841" w:type="pct"/>
            <w:shd w:val="clear" w:color="auto" w:fill="auto"/>
            <w:vAlign w:val="center"/>
          </w:tcPr>
          <w:p w14:paraId="58F5D0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13C654A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1C575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B42B1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1841" w:type="pct"/>
            <w:shd w:val="clear" w:color="auto" w:fill="auto"/>
            <w:vAlign w:val="center"/>
          </w:tcPr>
          <w:p w14:paraId="33EDA1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2C6A8B8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61CE7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249B3B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多功能木工刨</w:t>
            </w:r>
          </w:p>
        </w:tc>
        <w:tc>
          <w:tcPr>
            <w:tcW w:w="1841" w:type="pct"/>
            <w:shd w:val="clear" w:color="auto" w:fill="auto"/>
            <w:vAlign w:val="center"/>
          </w:tcPr>
          <w:p w14:paraId="648217A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338809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r>
    </w:tbl>
    <w:p w14:paraId="429C1857">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此外，由于施工期运输车辆增加，会增加评价区内公路沿线地区的交通噪声污染。</w:t>
      </w:r>
    </w:p>
    <w:p w14:paraId="7889055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3.4.1.4固体废物</w:t>
      </w:r>
    </w:p>
    <w:p w14:paraId="7D49846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0"/>
          <w:highlight w:val="none"/>
        </w:rPr>
        <w:t>施工期固体废物主要包括建筑垃圾、施工弃土弃渣和生活垃圾。</w:t>
      </w:r>
      <w:r>
        <w:rPr>
          <w:rFonts w:hint="default" w:ascii="Times New Roman" w:hAnsi="Times New Roman" w:eastAsia="宋体" w:cs="Times New Roman"/>
          <w:color w:val="auto"/>
          <w:highlight w:val="none"/>
        </w:rPr>
        <w:t>建筑垃圾有废建材、废钢材、包装袋等。对可再利用的建筑废料，应进行回收利用，以节省资源。多余废弃的砂、砾石可结合修路利用；</w:t>
      </w:r>
      <w:r>
        <w:rPr>
          <w:rFonts w:hint="default" w:ascii="Times New Roman" w:hAnsi="Times New Roman" w:eastAsia="宋体" w:cs="Times New Roman"/>
          <w:color w:val="auto"/>
          <w:szCs w:val="20"/>
          <w:highlight w:val="none"/>
        </w:rPr>
        <w:t>除可回收利用外建筑垃圾应运输到环境保护管理部门指定的地点进行填埋，最大程度减小对环境的影响。</w:t>
      </w:r>
      <w:r>
        <w:rPr>
          <w:rFonts w:hint="default" w:ascii="Times New Roman" w:hAnsi="Times New Roman" w:eastAsia="宋体" w:cs="Times New Roman"/>
          <w:color w:val="auto"/>
          <w:highlight w:val="none"/>
        </w:rPr>
        <w:t>本项目产生的土方主要为土地平整及挖地基时产生的少许土方，除回填外平整场地外，挖方的表土用于场区绿化，无弃土产生。</w:t>
      </w:r>
    </w:p>
    <w:p w14:paraId="0D52BB2A">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施工期生活垃圾按照每天每人产生0.5kg固体废物计算，预计一天产生15kg固体废物。施工人员产生的生活垃圾若随意堆放，不仅影响施工区环境景观，而且影响施工区环境卫生。在施工现场设置垃圾收集箱，集中收集后应由市政环卫部门统一清运处置。</w:t>
      </w:r>
    </w:p>
    <w:p w14:paraId="586A2DF9">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3.4.1.5生态环境</w:t>
      </w:r>
    </w:p>
    <w:p w14:paraId="20D79175">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工程所在评价区以</w:t>
      </w:r>
      <w:r>
        <w:rPr>
          <w:rFonts w:hint="default" w:ascii="Times New Roman" w:hAnsi="Times New Roman" w:eastAsia="宋体" w:cs="Times New Roman"/>
          <w:color w:val="auto"/>
          <w:szCs w:val="20"/>
          <w:highlight w:val="none"/>
          <w:lang w:val="en-US" w:eastAsia="zh-CN"/>
        </w:rPr>
        <w:t>林地</w:t>
      </w:r>
      <w:r>
        <w:rPr>
          <w:rFonts w:hint="default" w:ascii="Times New Roman" w:hAnsi="Times New Roman" w:eastAsia="宋体" w:cs="Times New Roman"/>
          <w:color w:val="auto"/>
          <w:szCs w:val="20"/>
          <w:highlight w:val="none"/>
        </w:rPr>
        <w:t>生态系统为主。工程施工的生产活动扰动了局部原生地貌，破坏原有的地表植被，使局部生态环境遭受一定的影响。</w:t>
      </w:r>
    </w:p>
    <w:p w14:paraId="721001F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0"/>
          <w:highlight w:val="none"/>
        </w:rPr>
        <w:t>工程施工过程中的挖方、填方等施工活动，将会在短期内加大水土流失量。施工场地土方的临时堆放、开挖面的裸露，土质松散，遇到降雨影响，如果防护</w:t>
      </w:r>
      <w:r>
        <w:rPr>
          <w:rFonts w:hint="default" w:ascii="Times New Roman" w:hAnsi="Times New Roman" w:eastAsia="宋体" w:cs="Times New Roman"/>
          <w:color w:val="auto"/>
          <w:highlight w:val="none"/>
        </w:rPr>
        <w:t>不当，将使水土流失现象加剧。</w:t>
      </w:r>
    </w:p>
    <w:p w14:paraId="6DDF522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项目总占地面积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，项目占地类型为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，占地内无国家和地方保护物种，项目建成后通过绿化工程等措施，将最大程度减缓对生态环境的影响。</w:t>
      </w:r>
    </w:p>
    <w:p w14:paraId="207C3A62">
      <w:pPr>
        <w:pStyle w:val="5"/>
        <w:spacing w:line="500" w:lineRule="exact"/>
        <w:rPr>
          <w:rFonts w:hint="default" w:ascii="Times New Roman" w:hAnsi="Times New Roman" w:cs="Times New Roman"/>
          <w:color w:val="auto"/>
          <w:highlight w:val="none"/>
        </w:rPr>
      </w:pPr>
      <w:bookmarkStart w:id="239" w:name="_Toc57713652"/>
      <w:bookmarkStart w:id="240" w:name="_Toc16616376"/>
      <w:bookmarkStart w:id="241" w:name="_Toc26877822"/>
      <w:bookmarkStart w:id="242" w:name="_Toc21523"/>
      <w:r>
        <w:rPr>
          <w:rFonts w:hint="default" w:ascii="Times New Roman" w:hAnsi="Times New Roman" w:cs="Times New Roman"/>
          <w:color w:val="auto"/>
          <w:highlight w:val="none"/>
        </w:rPr>
        <w:t>3.4.2运营期污染源及源强分析</w:t>
      </w:r>
      <w:bookmarkEnd w:id="239"/>
      <w:bookmarkEnd w:id="240"/>
      <w:bookmarkEnd w:id="241"/>
      <w:bookmarkEnd w:id="242"/>
    </w:p>
    <w:p w14:paraId="762A296C">
      <w:pPr>
        <w:pStyle w:val="67"/>
        <w:pageBreakBefore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运营期污染主要来源于养殖过程中产生的恶臭气体、</w:t>
      </w:r>
      <w:r>
        <w:rPr>
          <w:rFonts w:hint="eastAsia" w:eastAsia="宋体" w:cs="Times New Roman"/>
          <w:color w:val="auto"/>
          <w:highlight w:val="none"/>
          <w:lang w:val="en-US" w:eastAsia="zh-CN"/>
        </w:rPr>
        <w:t>粪污垫料</w:t>
      </w:r>
      <w:r>
        <w:rPr>
          <w:rFonts w:hint="default" w:ascii="Times New Roman" w:hAnsi="Times New Roman" w:eastAsia="宋体" w:cs="Times New Roman"/>
          <w:color w:val="auto"/>
          <w:highlight w:val="none"/>
        </w:rPr>
        <w:t>与其他固体废物等。本项目养殖场建成后</w:t>
      </w:r>
      <w:r>
        <w:rPr>
          <w:rFonts w:hint="default" w:ascii="Times New Roman" w:hAnsi="Times New Roman" w:eastAsia="宋体" w:cs="Times New Roman"/>
          <w:color w:val="auto"/>
          <w:szCs w:val="24"/>
          <w:highlight w:val="none"/>
        </w:rPr>
        <w:t>年</w:t>
      </w:r>
      <w:r>
        <w:rPr>
          <w:rFonts w:hint="eastAsia" w:eastAsia="宋体" w:cs="Times New Roman"/>
          <w:color w:val="auto"/>
          <w:szCs w:val="24"/>
          <w:highlight w:val="none"/>
          <w:lang w:val="en-US" w:eastAsia="zh-CN"/>
        </w:rPr>
        <w:t>存</w:t>
      </w:r>
      <w:r>
        <w:rPr>
          <w:rFonts w:hint="default" w:ascii="Times New Roman" w:hAnsi="Times New Roman" w:eastAsia="宋体" w:cs="Times New Roman"/>
          <w:color w:val="auto"/>
          <w:szCs w:val="24"/>
          <w:highlight w:val="none"/>
        </w:rPr>
        <w:t>栏</w:t>
      </w:r>
      <w:r>
        <w:rPr>
          <w:rFonts w:hint="default" w:ascii="Times New Roman" w:hAnsi="Times New Roman" w:eastAsia="宋体" w:cs="Times New Roman"/>
          <w:color w:val="auto"/>
          <w:szCs w:val="24"/>
          <w:highlight w:val="none"/>
          <w:lang w:val="en-US" w:eastAsia="zh-CN"/>
        </w:rPr>
        <w:t>肉牛</w:t>
      </w:r>
      <w:r>
        <w:rPr>
          <w:rFonts w:hint="default" w:ascii="Times New Roman" w:hAnsi="Times New Roman" w:eastAsia="宋体" w:cs="Times New Roman"/>
          <w:color w:val="auto"/>
          <w:szCs w:val="24"/>
          <w:highlight w:val="none"/>
        </w:rPr>
        <w:t>总数</w:t>
      </w:r>
      <w:r>
        <w:rPr>
          <w:rFonts w:hint="eastAsia" w:eastAsia="宋体" w:cs="Times New Roman"/>
          <w:color w:val="auto"/>
          <w:szCs w:val="24"/>
          <w:highlight w:val="none"/>
          <w:lang w:val="en-US" w:eastAsia="zh-CN"/>
        </w:rPr>
        <w:t>6000</w:t>
      </w:r>
      <w:r>
        <w:rPr>
          <w:rFonts w:hint="default" w:ascii="Times New Roman" w:hAnsi="Times New Roman" w:eastAsia="宋体" w:cs="Times New Roman"/>
          <w:color w:val="auto"/>
          <w:szCs w:val="24"/>
          <w:highlight w:val="none"/>
        </w:rPr>
        <w:t>头，</w:t>
      </w:r>
      <w:r>
        <w:rPr>
          <w:rFonts w:hint="default" w:ascii="Times New Roman" w:hAnsi="Times New Roman" w:eastAsia="宋体" w:cs="Times New Roman"/>
          <w:color w:val="auto"/>
          <w:highlight w:val="none"/>
        </w:rPr>
        <w:t>运营期的污染源强均以常年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栏量为基数估算。</w:t>
      </w:r>
    </w:p>
    <w:p w14:paraId="47B87FD2">
      <w:pPr>
        <w:pStyle w:val="6"/>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3.4.2.1废气污染源强核算</w:t>
      </w:r>
    </w:p>
    <w:p w14:paraId="5BD2E12C">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1、养殖场圈舍恶臭气体</w:t>
      </w:r>
    </w:p>
    <w:p w14:paraId="73E4D5A2">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（1）污染物产生量</w:t>
      </w:r>
    </w:p>
    <w:p w14:paraId="3840AEB9">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eastAsia" w:ascii="宋体" w:hAnsi="宋体" w:eastAsia="宋体" w:cs="宋体"/>
          <w:color w:val="auto"/>
          <w:kern w:val="0"/>
          <w:sz w:val="24"/>
          <w:szCs w:val="24"/>
          <w:highlight w:val="none"/>
          <w:lang w:val="en-US" w:eastAsia="zh-CN" w:bidi="ar"/>
        </w:rPr>
      </w:pPr>
      <w:r>
        <w:rPr>
          <w:rFonts w:hint="eastAsia" w:ascii="Times New Roman" w:hAnsi="Times New Roman" w:cs="Times New Roman"/>
          <w:color w:val="auto"/>
          <w:sz w:val="24"/>
          <w:szCs w:val="24"/>
          <w:highlight w:val="none"/>
          <w:lang w:val="en-US" w:eastAsia="zh-CN"/>
        </w:rPr>
        <w:t>根据《规模化畜禽养殖场氨气排放量核算技术指南（试行）》（</w:t>
      </w:r>
      <w:r>
        <w:rPr>
          <w:rFonts w:hint="default" w:ascii="Times New Roman" w:hAnsi="Times New Roman" w:cs="Times New Roman"/>
          <w:color w:val="auto"/>
          <w:sz w:val="24"/>
          <w:szCs w:val="24"/>
          <w:highlight w:val="none"/>
          <w:lang w:val="en-US" w:eastAsia="zh-CN"/>
        </w:rPr>
        <w:t>HJ1434-2025</w:t>
      </w:r>
      <w:r>
        <w:rPr>
          <w:rFonts w:hint="eastAsia" w:ascii="Times New Roman" w:hAnsi="Times New Roman" w:cs="Times New Roman"/>
          <w:color w:val="auto"/>
          <w:sz w:val="24"/>
          <w:szCs w:val="24"/>
          <w:highlight w:val="none"/>
          <w:lang w:val="en-US" w:eastAsia="zh-CN"/>
        </w:rPr>
        <w:t>），本项目圈舍氨气排放系数计算结果为9.187</w:t>
      </w:r>
      <w:r>
        <w:rPr>
          <w:rFonts w:hint="default" w:ascii="Times New Roman" w:hAnsi="Times New Roman" w:cs="Times New Roman"/>
          <w:color w:val="auto"/>
          <w:sz w:val="24"/>
          <w:szCs w:val="24"/>
          <w:highlight w:val="none"/>
          <w:lang w:val="en-US" w:eastAsia="zh-CN"/>
        </w:rPr>
        <w:t>kgN/</w:t>
      </w:r>
      <w:r>
        <w:rPr>
          <w:rFonts w:hint="eastAsia" w:ascii="Times New Roman" w:hAnsi="Times New Roman" w:cs="Times New Roman"/>
          <w:color w:val="auto"/>
          <w:sz w:val="24"/>
          <w:szCs w:val="24"/>
          <w:highlight w:val="none"/>
          <w:lang w:val="en-US" w:eastAsia="zh-CN"/>
        </w:rPr>
        <w:t>头</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年。经计算圈舍的年度氨气产生量为</w:t>
      </w:r>
      <w:r>
        <w:rPr>
          <w:rFonts w:hint="eastAsia" w:cs="Times New Roman"/>
          <w:color w:val="auto"/>
          <w:sz w:val="24"/>
          <w:szCs w:val="24"/>
          <w:highlight w:val="none"/>
          <w:lang w:val="en-US" w:eastAsia="zh-CN"/>
        </w:rPr>
        <w:t>55122</w:t>
      </w:r>
      <w:r>
        <w:rPr>
          <w:rFonts w:hint="default" w:ascii="Times New Roman" w:hAnsi="Times New Roman" w:cs="Times New Roman"/>
          <w:color w:val="auto"/>
          <w:sz w:val="24"/>
          <w:szCs w:val="24"/>
          <w:highlight w:val="none"/>
          <w:lang w:val="en-US" w:eastAsia="zh-CN"/>
        </w:rPr>
        <w:t>kg/a</w:t>
      </w:r>
      <w:r>
        <w:rPr>
          <w:rFonts w:hint="eastAsia"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55.122</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w:t>
      </w:r>
      <w:r>
        <w:rPr>
          <w:rFonts w:hint="eastAsia"/>
          <w:color w:val="auto"/>
          <w:sz w:val="24"/>
          <w:szCs w:val="24"/>
          <w:highlight w:val="none"/>
        </w:rPr>
        <w:t>根据《家畜环境卫生学》，在饲料配方合理，栏舍管理得当的前提下，总氮转化成氨气的总量不超过其总量的5%，本次评价按其最不利条件，转化率按5%计算。H</w:t>
      </w:r>
      <w:r>
        <w:rPr>
          <w:rFonts w:hint="eastAsia"/>
          <w:color w:val="auto"/>
          <w:sz w:val="24"/>
          <w:szCs w:val="24"/>
          <w:highlight w:val="none"/>
          <w:vertAlign w:val="subscript"/>
        </w:rPr>
        <w:t>2</w:t>
      </w:r>
      <w:r>
        <w:rPr>
          <w:rFonts w:hint="eastAsia"/>
          <w:color w:val="auto"/>
          <w:sz w:val="24"/>
          <w:szCs w:val="24"/>
          <w:highlight w:val="none"/>
        </w:rPr>
        <w:t>S产生量约为NH</w:t>
      </w:r>
      <w:r>
        <w:rPr>
          <w:rFonts w:hint="eastAsia"/>
          <w:color w:val="auto"/>
          <w:sz w:val="24"/>
          <w:szCs w:val="24"/>
          <w:highlight w:val="none"/>
          <w:vertAlign w:val="subscript"/>
        </w:rPr>
        <w:t>3</w:t>
      </w:r>
      <w:r>
        <w:rPr>
          <w:rFonts w:hint="eastAsia"/>
          <w:color w:val="auto"/>
          <w:sz w:val="24"/>
          <w:szCs w:val="24"/>
          <w:highlight w:val="none"/>
        </w:rPr>
        <w:t>的10%</w:t>
      </w:r>
      <w:r>
        <w:rPr>
          <w:rFonts w:hint="eastAsia"/>
          <w:color w:val="auto"/>
          <w:sz w:val="24"/>
          <w:szCs w:val="24"/>
          <w:highlight w:val="none"/>
          <w:lang w:eastAsia="zh-CN"/>
        </w:rPr>
        <w:t>。</w:t>
      </w:r>
      <w:r>
        <w:rPr>
          <w:rFonts w:hint="eastAsia" w:ascii="宋体" w:hAnsi="宋体" w:eastAsia="宋体" w:cs="宋体"/>
          <w:color w:val="auto"/>
          <w:kern w:val="0"/>
          <w:sz w:val="24"/>
          <w:szCs w:val="24"/>
          <w:highlight w:val="none"/>
          <w:lang w:val="en-US" w:eastAsia="zh-CN" w:bidi="ar"/>
        </w:rPr>
        <w:t>则牛舍的年度硫化氢产生量为</w:t>
      </w:r>
      <w:r>
        <w:rPr>
          <w:rFonts w:hint="eastAsia" w:cs="Times New Roman"/>
          <w:color w:val="auto"/>
          <w:kern w:val="0"/>
          <w:sz w:val="24"/>
          <w:szCs w:val="24"/>
          <w:highlight w:val="none"/>
          <w:lang w:val="en-US" w:eastAsia="zh-CN" w:bidi="ar"/>
        </w:rPr>
        <w:t>5512.2</w:t>
      </w:r>
      <w:r>
        <w:rPr>
          <w:rFonts w:hint="default" w:ascii="Times New Roman" w:hAnsi="Times New Roman" w:eastAsia="宋体" w:cs="Times New Roman"/>
          <w:color w:val="auto"/>
          <w:kern w:val="0"/>
          <w:sz w:val="24"/>
          <w:szCs w:val="24"/>
          <w:highlight w:val="none"/>
          <w:lang w:val="en-US" w:eastAsia="zh-CN" w:bidi="ar"/>
        </w:rPr>
        <w:t>kg/a</w:t>
      </w:r>
      <w:r>
        <w:rPr>
          <w:rFonts w:hint="eastAsia" w:ascii="宋体" w:hAnsi="宋体" w:eastAsia="宋体" w:cs="宋体"/>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5.512</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w:t>
      </w:r>
    </w:p>
    <w:p w14:paraId="360DAEB7">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color w:val="auto"/>
          <w:highlight w:val="none"/>
        </w:rPr>
      </w:pPr>
      <w:r>
        <w:rPr>
          <w:rFonts w:hint="eastAsia" w:ascii="宋体" w:hAnsi="宋体" w:eastAsia="宋体" w:cs="宋体"/>
          <w:color w:val="auto"/>
          <w:kern w:val="0"/>
          <w:sz w:val="24"/>
          <w:szCs w:val="24"/>
          <w:highlight w:val="none"/>
          <w:lang w:val="en-US" w:eastAsia="zh-CN" w:bidi="ar"/>
        </w:rPr>
        <w:t>（2）恶臭污染物防治措施</w:t>
      </w:r>
    </w:p>
    <w:p w14:paraId="7ADB4AC9">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color w:val="auto"/>
          <w:highlight w:val="none"/>
        </w:rPr>
      </w:pPr>
      <w:r>
        <w:rPr>
          <w:rFonts w:hint="eastAsia" w:ascii="Times New Roman" w:hAnsi="Times New Roman" w:cs="Times New Roman"/>
          <w:color w:val="auto"/>
          <w:sz w:val="24"/>
          <w:szCs w:val="24"/>
          <w:highlight w:val="none"/>
          <w:lang w:val="en-US" w:eastAsia="zh-CN"/>
        </w:rPr>
        <w:t>本项目肉牛养殖采用</w:t>
      </w:r>
      <w:r>
        <w:rPr>
          <w:rFonts w:hint="default" w:ascii="Times New Roman" w:hAnsi="Times New Roman" w:cs="Times New Roman"/>
          <w:color w:val="auto"/>
          <w:sz w:val="24"/>
          <w:szCs w:val="24"/>
          <w:highlight w:val="none"/>
        </w:rPr>
        <w:t>生物发酵床技术</w:t>
      </w:r>
      <w:r>
        <w:rPr>
          <w:rFonts w:hint="eastAsia" w:ascii="Times New Roman" w:hAnsi="Times New Roman" w:cs="Times New Roman"/>
          <w:color w:val="auto"/>
          <w:sz w:val="24"/>
          <w:szCs w:val="24"/>
          <w:highlight w:val="none"/>
        </w:rPr>
        <w:t>生物发酵床技术是按一定比例将发酵菌种与秸秆、锯末、稻壳以及辅助材料等混合，通过发酵形成有机垫料，将有机垫料置于</w:t>
      </w:r>
      <w:r>
        <w:rPr>
          <w:rFonts w:hint="eastAsia" w:ascii="Times New Roman" w:hAnsi="Times New Roman" w:cs="Times New Roman"/>
          <w:color w:val="auto"/>
          <w:sz w:val="24"/>
          <w:szCs w:val="24"/>
          <w:highlight w:val="none"/>
          <w:lang w:val="en-US" w:eastAsia="zh-CN"/>
        </w:rPr>
        <w:t>牛</w:t>
      </w:r>
      <w:r>
        <w:rPr>
          <w:rFonts w:hint="eastAsia" w:ascii="Times New Roman" w:hAnsi="Times New Roman" w:cs="Times New Roman"/>
          <w:color w:val="auto"/>
          <w:sz w:val="24"/>
          <w:szCs w:val="24"/>
          <w:highlight w:val="none"/>
        </w:rPr>
        <w:t>舍内，利用微生物对粪便进行降解、吸氨固氮而形</w:t>
      </w:r>
      <w:r>
        <w:rPr>
          <w:rFonts w:hint="eastAsia" w:ascii="Times New Roman" w:hAnsi="Times New Roman" w:cs="Times New Roman"/>
          <w:color w:val="auto"/>
          <w:sz w:val="24"/>
          <w:szCs w:val="24"/>
          <w:highlight w:val="none"/>
          <w:lang w:val="en-US" w:eastAsia="zh-CN"/>
        </w:rPr>
        <w:t>成有机肥</w:t>
      </w:r>
      <w:r>
        <w:rPr>
          <w:rFonts w:hint="default" w:ascii="Times New Roman" w:hAnsi="Times New Roman" w:cs="Times New Roman"/>
          <w:color w:val="auto"/>
          <w:sz w:val="24"/>
          <w:szCs w:val="24"/>
          <w:highlight w:val="none"/>
          <w:lang w:val="en-US" w:eastAsia="zh-CN"/>
        </w:rPr>
        <w:t>。</w:t>
      </w:r>
      <w:r>
        <w:rPr>
          <w:rFonts w:hint="eastAsia" w:ascii="宋体" w:hAnsi="宋体" w:eastAsia="宋体" w:cs="宋体"/>
          <w:color w:val="auto"/>
          <w:kern w:val="0"/>
          <w:sz w:val="24"/>
          <w:szCs w:val="24"/>
          <w:highlight w:val="none"/>
          <w:lang w:val="en-US" w:eastAsia="zh-CN" w:bidi="ar"/>
        </w:rPr>
        <w:t>牛舍采取密闭设计，并配套舍内喷洒除臭剂的废气净化措施。根据《规模化畜禽养殖场氨气排放量核算技术指南（试行）》（</w:t>
      </w:r>
      <w:r>
        <w:rPr>
          <w:rFonts w:hint="default" w:ascii="Times New Roman" w:hAnsi="Times New Roman" w:eastAsia="宋体" w:cs="Times New Roman"/>
          <w:color w:val="auto"/>
          <w:kern w:val="0"/>
          <w:sz w:val="24"/>
          <w:szCs w:val="24"/>
          <w:highlight w:val="none"/>
          <w:lang w:val="en-US" w:eastAsia="zh-CN" w:bidi="ar"/>
        </w:rPr>
        <w:t>HJ1434-2025</w:t>
      </w:r>
      <w:r>
        <w:rPr>
          <w:rFonts w:hint="eastAsia" w:ascii="宋体" w:hAnsi="宋体" w:eastAsia="宋体" w:cs="宋体"/>
          <w:color w:val="auto"/>
          <w:kern w:val="0"/>
          <w:sz w:val="24"/>
          <w:szCs w:val="24"/>
          <w:highlight w:val="none"/>
          <w:lang w:val="en-US" w:eastAsia="zh-CN" w:bidi="ar"/>
        </w:rPr>
        <w:t>）附录</w:t>
      </w:r>
      <w:r>
        <w:rPr>
          <w:rFonts w:hint="default" w:ascii="Times New Roman" w:hAnsi="Times New Roman" w:eastAsia="宋体" w:cs="Times New Roman"/>
          <w:color w:val="auto"/>
          <w:kern w:val="0"/>
          <w:sz w:val="24"/>
          <w:szCs w:val="24"/>
          <w:highlight w:val="none"/>
          <w:lang w:val="en-US" w:eastAsia="zh-CN" w:bidi="ar"/>
        </w:rPr>
        <w:t>C</w:t>
      </w:r>
      <w:r>
        <w:rPr>
          <w:rFonts w:hint="eastAsia" w:ascii="宋体" w:hAnsi="宋体" w:eastAsia="宋体" w:cs="宋体"/>
          <w:color w:val="auto"/>
          <w:kern w:val="0"/>
          <w:sz w:val="24"/>
          <w:szCs w:val="24"/>
          <w:highlight w:val="none"/>
          <w:lang w:val="en-US" w:eastAsia="zh-CN" w:bidi="ar"/>
        </w:rPr>
        <w:t>表</w:t>
      </w:r>
      <w:r>
        <w:rPr>
          <w:rFonts w:hint="default" w:ascii="Times New Roman" w:hAnsi="Times New Roman" w:eastAsia="宋体" w:cs="Times New Roman"/>
          <w:color w:val="auto"/>
          <w:kern w:val="0"/>
          <w:sz w:val="24"/>
          <w:szCs w:val="24"/>
          <w:highlight w:val="none"/>
          <w:lang w:val="en-US" w:eastAsia="zh-CN" w:bidi="ar"/>
        </w:rPr>
        <w:t>C.1</w:t>
      </w:r>
      <w:r>
        <w:rPr>
          <w:rFonts w:hint="eastAsia" w:ascii="宋体" w:hAnsi="宋体" w:eastAsia="宋体" w:cs="宋体"/>
          <w:color w:val="auto"/>
          <w:kern w:val="0"/>
          <w:sz w:val="24"/>
          <w:szCs w:val="24"/>
          <w:highlight w:val="none"/>
          <w:lang w:val="en-US" w:eastAsia="zh-CN" w:bidi="ar"/>
        </w:rPr>
        <w:t>，该措施对氨的减排率为</w:t>
      </w:r>
      <w:r>
        <w:rPr>
          <w:rFonts w:hint="default" w:ascii="Times New Roman" w:hAnsi="Times New Roman" w:eastAsia="宋体" w:cs="Times New Roman"/>
          <w:color w:val="auto"/>
          <w:kern w:val="0"/>
          <w:sz w:val="24"/>
          <w:szCs w:val="24"/>
          <w:highlight w:val="none"/>
          <w:lang w:val="en-US" w:eastAsia="zh-CN" w:bidi="ar"/>
        </w:rPr>
        <w:t>50%</w:t>
      </w:r>
      <w:r>
        <w:rPr>
          <w:rFonts w:hint="eastAsia" w:ascii="宋体" w:hAnsi="宋体" w:eastAsia="宋体" w:cs="宋体"/>
          <w:color w:val="auto"/>
          <w:kern w:val="0"/>
          <w:sz w:val="24"/>
          <w:szCs w:val="24"/>
          <w:highlight w:val="none"/>
          <w:lang w:val="en-US" w:eastAsia="zh-CN" w:bidi="ar"/>
        </w:rPr>
        <w:t>。本项目牛舍采取密闭设计，并配套舍内喷洒除臭剂的废气净化措施，生物除臭剂（如万洁芬）对人体及动物无害，对环境不会造成二次污染，消除异味效果显著，根据《自然科学》现代化农业，</w:t>
      </w:r>
      <w:r>
        <w:rPr>
          <w:rFonts w:hint="default" w:ascii="Times New Roman" w:hAnsi="Times New Roman" w:eastAsia="宋体" w:cs="Times New Roman"/>
          <w:color w:val="auto"/>
          <w:kern w:val="0"/>
          <w:sz w:val="24"/>
          <w:szCs w:val="24"/>
          <w:highlight w:val="none"/>
          <w:lang w:val="en-US" w:eastAsia="zh-CN" w:bidi="ar"/>
        </w:rPr>
        <w:t>2011</w:t>
      </w:r>
      <w:r>
        <w:rPr>
          <w:rFonts w:hint="eastAsia" w:ascii="宋体" w:hAnsi="宋体" w:eastAsia="宋体" w:cs="宋体"/>
          <w:color w:val="auto"/>
          <w:kern w:val="0"/>
          <w:sz w:val="24"/>
          <w:szCs w:val="24"/>
          <w:highlight w:val="none"/>
          <w:lang w:val="en-US" w:eastAsia="zh-CN" w:bidi="ar"/>
        </w:rPr>
        <w:t>年第</w:t>
      </w:r>
      <w:r>
        <w:rPr>
          <w:rFonts w:hint="default" w:ascii="Times New Roman" w:hAnsi="Times New Roman" w:eastAsia="宋体" w:cs="Times New Roman"/>
          <w:color w:val="auto"/>
          <w:kern w:val="0"/>
          <w:sz w:val="24"/>
          <w:szCs w:val="24"/>
          <w:highlight w:val="none"/>
          <w:lang w:val="en-US" w:eastAsia="zh-CN" w:bidi="ar"/>
        </w:rPr>
        <w:t>6</w:t>
      </w:r>
      <w:r>
        <w:rPr>
          <w:rFonts w:hint="eastAsia" w:ascii="宋体" w:hAnsi="宋体" w:eastAsia="宋体" w:cs="宋体"/>
          <w:color w:val="auto"/>
          <w:kern w:val="0"/>
          <w:sz w:val="24"/>
          <w:szCs w:val="24"/>
          <w:highlight w:val="none"/>
          <w:lang w:val="en-US" w:eastAsia="zh-CN" w:bidi="ar"/>
        </w:rPr>
        <w:t xml:space="preserve">期（总第 </w:t>
      </w:r>
      <w:r>
        <w:rPr>
          <w:rFonts w:hint="default" w:ascii="Times New Roman" w:hAnsi="Times New Roman" w:eastAsia="宋体" w:cs="Times New Roman"/>
          <w:color w:val="auto"/>
          <w:kern w:val="0"/>
          <w:sz w:val="24"/>
          <w:szCs w:val="24"/>
          <w:highlight w:val="none"/>
          <w:lang w:val="en-US" w:eastAsia="zh-CN" w:bidi="ar"/>
        </w:rPr>
        <w:t xml:space="preserve">383 </w:t>
      </w:r>
      <w:r>
        <w:rPr>
          <w:rFonts w:hint="eastAsia" w:ascii="宋体" w:hAnsi="宋体" w:eastAsia="宋体" w:cs="宋体"/>
          <w:color w:val="auto"/>
          <w:kern w:val="0"/>
          <w:sz w:val="24"/>
          <w:szCs w:val="24"/>
          <w:highlight w:val="none"/>
          <w:lang w:val="en-US" w:eastAsia="zh-CN" w:bidi="ar"/>
        </w:rPr>
        <w:t>期）《微生物除臭剂研究进展》（赵晓峰，隋文志）的资料，经国家环境分析测试中心和陕西环境监测中心测试万洁芬对</w:t>
      </w:r>
      <w:r>
        <w:rPr>
          <w:rFonts w:hint="default" w:ascii="Times New Roman" w:hAnsi="Times New Roman" w:eastAsia="宋体" w:cs="Times New Roman"/>
          <w:color w:val="auto"/>
          <w:kern w:val="0"/>
          <w:sz w:val="24"/>
          <w:szCs w:val="24"/>
          <w:highlight w:val="none"/>
          <w:lang w:val="en-US" w:eastAsia="zh-CN" w:bidi="ar"/>
        </w:rPr>
        <w:t>H</w:t>
      </w:r>
      <w:r>
        <w:rPr>
          <w:rFonts w:hint="default" w:ascii="Times New Roman" w:hAnsi="Times New Roman" w:eastAsia="宋体" w:cs="Times New Roman"/>
          <w:color w:val="auto"/>
          <w:kern w:val="0"/>
          <w:sz w:val="15"/>
          <w:szCs w:val="15"/>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S</w:t>
      </w:r>
      <w:r>
        <w:rPr>
          <w:rFonts w:hint="eastAsia" w:ascii="宋体" w:hAnsi="宋体" w:eastAsia="宋体" w:cs="宋体"/>
          <w:color w:val="auto"/>
          <w:kern w:val="0"/>
          <w:sz w:val="24"/>
          <w:szCs w:val="24"/>
          <w:highlight w:val="none"/>
          <w:lang w:val="en-US" w:eastAsia="zh-CN" w:bidi="ar"/>
        </w:rPr>
        <w:t>的去除效率分别为</w:t>
      </w:r>
      <w:r>
        <w:rPr>
          <w:rFonts w:hint="default" w:ascii="Times New Roman" w:hAnsi="Times New Roman" w:eastAsia="宋体" w:cs="Times New Roman"/>
          <w:color w:val="auto"/>
          <w:kern w:val="0"/>
          <w:sz w:val="24"/>
          <w:szCs w:val="24"/>
          <w:highlight w:val="none"/>
          <w:lang w:val="en-US" w:eastAsia="zh-CN" w:bidi="ar"/>
        </w:rPr>
        <w:t>89%</w:t>
      </w:r>
      <w:r>
        <w:rPr>
          <w:rFonts w:hint="eastAsia" w:ascii="宋体" w:hAnsi="宋体" w:eastAsia="宋体" w:cs="宋体"/>
          <w:color w:val="auto"/>
          <w:kern w:val="0"/>
          <w:sz w:val="24"/>
          <w:szCs w:val="24"/>
          <w:highlight w:val="none"/>
          <w:lang w:val="en-US" w:eastAsia="zh-CN" w:bidi="ar"/>
        </w:rPr>
        <w:t>。故本项目猪舍硫化氢的去处效率按照</w:t>
      </w:r>
      <w:r>
        <w:rPr>
          <w:rFonts w:hint="default" w:ascii="Times New Roman" w:hAnsi="Times New Roman" w:eastAsia="宋体" w:cs="Times New Roman"/>
          <w:color w:val="auto"/>
          <w:kern w:val="0"/>
          <w:sz w:val="24"/>
          <w:szCs w:val="24"/>
          <w:highlight w:val="none"/>
          <w:lang w:val="en-US" w:eastAsia="zh-CN" w:bidi="ar"/>
        </w:rPr>
        <w:t>89%</w:t>
      </w:r>
      <w:r>
        <w:rPr>
          <w:rFonts w:hint="eastAsia" w:ascii="宋体" w:hAnsi="宋体" w:eastAsia="宋体" w:cs="宋体"/>
          <w:color w:val="auto"/>
          <w:kern w:val="0"/>
          <w:sz w:val="24"/>
          <w:szCs w:val="24"/>
          <w:highlight w:val="none"/>
          <w:lang w:val="en-US" w:eastAsia="zh-CN" w:bidi="ar"/>
        </w:rPr>
        <w:t>进行计算。</w:t>
      </w:r>
    </w:p>
    <w:p w14:paraId="361B8FCC">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本项目合理搭配饲料，在饲料中添加</w:t>
      </w:r>
      <w:r>
        <w:rPr>
          <w:rFonts w:hint="default" w:ascii="Times New Roman" w:hAnsi="Times New Roman" w:eastAsia="宋体" w:cs="Times New Roman"/>
          <w:color w:val="auto"/>
          <w:kern w:val="0"/>
          <w:sz w:val="24"/>
          <w:szCs w:val="24"/>
          <w:highlight w:val="none"/>
          <w:lang w:val="en-US" w:eastAsia="zh-CN" w:bidi="ar"/>
        </w:rPr>
        <w:t>EM</w:t>
      </w:r>
      <w:r>
        <w:rPr>
          <w:rFonts w:hint="eastAsia" w:ascii="宋体" w:hAnsi="宋体" w:eastAsia="宋体" w:cs="宋体"/>
          <w:color w:val="auto"/>
          <w:kern w:val="0"/>
          <w:sz w:val="24"/>
          <w:szCs w:val="24"/>
          <w:highlight w:val="none"/>
          <w:lang w:val="en-US" w:eastAsia="zh-CN" w:bidi="ar"/>
        </w:rPr>
        <w:t>菌剂提高日粮消化率、减少干物质蛋白质排出量；合理搭配饲料，在饲料中添加</w:t>
      </w:r>
      <w:r>
        <w:rPr>
          <w:rFonts w:hint="default" w:ascii="Times New Roman" w:hAnsi="Times New Roman" w:eastAsia="宋体" w:cs="Times New Roman"/>
          <w:color w:val="auto"/>
          <w:kern w:val="0"/>
          <w:sz w:val="24"/>
          <w:szCs w:val="24"/>
          <w:highlight w:val="none"/>
          <w:lang w:val="en-US" w:eastAsia="zh-CN" w:bidi="ar"/>
        </w:rPr>
        <w:t>EM</w:t>
      </w:r>
      <w:r>
        <w:rPr>
          <w:rFonts w:hint="eastAsia" w:ascii="宋体" w:hAnsi="宋体" w:eastAsia="宋体" w:cs="宋体"/>
          <w:color w:val="auto"/>
          <w:kern w:val="0"/>
          <w:sz w:val="24"/>
          <w:szCs w:val="24"/>
          <w:highlight w:val="none"/>
          <w:lang w:val="en-US" w:eastAsia="zh-CN" w:bidi="ar"/>
        </w:rPr>
        <w:t>菌剂提高日粮消化率、减少干物质蛋白质排出量。根据《</w:t>
      </w:r>
      <w:r>
        <w:rPr>
          <w:rFonts w:hint="default" w:ascii="Times New Roman" w:hAnsi="Times New Roman" w:eastAsia="宋体" w:cs="Times New Roman"/>
          <w:color w:val="auto"/>
          <w:kern w:val="0"/>
          <w:sz w:val="24"/>
          <w:szCs w:val="24"/>
          <w:highlight w:val="none"/>
          <w:lang w:val="en-US" w:eastAsia="zh-CN" w:bidi="ar"/>
        </w:rPr>
        <w:t>EM</w:t>
      </w:r>
      <w:r>
        <w:rPr>
          <w:rFonts w:hint="eastAsia" w:ascii="宋体" w:hAnsi="宋体" w:eastAsia="宋体" w:cs="宋体"/>
          <w:color w:val="auto"/>
          <w:kern w:val="0"/>
          <w:sz w:val="24"/>
          <w:szCs w:val="24"/>
          <w:highlight w:val="none"/>
          <w:lang w:val="en-US" w:eastAsia="zh-CN" w:bidi="ar"/>
        </w:rPr>
        <w:t>菌在养猪生产中的应用》（古永辉，韩晓英。饲料技术，</w:t>
      </w:r>
      <w:r>
        <w:rPr>
          <w:rFonts w:hint="default" w:ascii="Times New Roman" w:hAnsi="Times New Roman" w:eastAsia="宋体" w:cs="Times New Roman"/>
          <w:color w:val="auto"/>
          <w:kern w:val="0"/>
          <w:sz w:val="24"/>
          <w:szCs w:val="24"/>
          <w:highlight w:val="none"/>
          <w:lang w:val="en-US" w:eastAsia="zh-CN" w:bidi="ar"/>
        </w:rPr>
        <w:t>2008</w:t>
      </w:r>
      <w:r>
        <w:rPr>
          <w:rFonts w:hint="eastAsia" w:ascii="宋体" w:hAnsi="宋体" w:eastAsia="宋体" w:cs="宋体"/>
          <w:color w:val="auto"/>
          <w:kern w:val="0"/>
          <w:sz w:val="24"/>
          <w:szCs w:val="24"/>
          <w:highlight w:val="none"/>
          <w:lang w:val="en-US" w:eastAsia="zh-CN" w:bidi="ar"/>
        </w:rPr>
        <w:t>年第</w:t>
      </w:r>
      <w:r>
        <w:rPr>
          <w:rFonts w:hint="default" w:ascii="Times New Roman" w:hAnsi="Times New Roman" w:eastAsia="宋体" w:cs="Times New Roman"/>
          <w:color w:val="auto"/>
          <w:kern w:val="0"/>
          <w:sz w:val="24"/>
          <w:szCs w:val="24"/>
          <w:highlight w:val="none"/>
          <w:lang w:val="en-US" w:eastAsia="zh-CN" w:bidi="ar"/>
        </w:rPr>
        <w:t>20</w:t>
      </w:r>
      <w:r>
        <w:rPr>
          <w:rFonts w:hint="eastAsia" w:ascii="宋体" w:hAnsi="宋体" w:eastAsia="宋体" w:cs="宋体"/>
          <w:color w:val="auto"/>
          <w:kern w:val="0"/>
          <w:sz w:val="24"/>
          <w:szCs w:val="24"/>
          <w:highlight w:val="none"/>
          <w:lang w:val="en-US" w:eastAsia="zh-CN" w:bidi="ar"/>
        </w:rPr>
        <w:t>期），在日粮添加</w:t>
      </w:r>
      <w:r>
        <w:rPr>
          <w:rFonts w:hint="default" w:ascii="Times New Roman" w:hAnsi="Times New Roman" w:eastAsia="宋体" w:cs="Times New Roman"/>
          <w:color w:val="auto"/>
          <w:kern w:val="0"/>
          <w:sz w:val="24"/>
          <w:szCs w:val="24"/>
          <w:highlight w:val="none"/>
          <w:lang w:val="en-US" w:eastAsia="zh-CN" w:bidi="ar"/>
        </w:rPr>
        <w:t>EM</w:t>
      </w:r>
      <w:r>
        <w:rPr>
          <w:rFonts w:hint="eastAsia" w:ascii="宋体" w:hAnsi="宋体" w:eastAsia="宋体" w:cs="宋体"/>
          <w:color w:val="auto"/>
          <w:kern w:val="0"/>
          <w:sz w:val="24"/>
          <w:szCs w:val="24"/>
          <w:highlight w:val="none"/>
          <w:lang w:val="en-US" w:eastAsia="zh-CN" w:bidi="ar"/>
        </w:rPr>
        <w:t>菌剂能在源头上控制恶臭气体的产生，有效降解</w:t>
      </w:r>
      <w:r>
        <w:rPr>
          <w:rFonts w:hint="default" w:ascii="Times New Roman" w:hAnsi="Times New Roman" w:eastAsia="宋体" w:cs="Times New Roman"/>
          <w:color w:val="auto"/>
          <w:kern w:val="0"/>
          <w:sz w:val="24"/>
          <w:szCs w:val="24"/>
          <w:highlight w:val="none"/>
          <w:lang w:val="en-US" w:eastAsia="zh-CN" w:bidi="ar"/>
        </w:rPr>
        <w:t>NH</w:t>
      </w:r>
      <w:r>
        <w:rPr>
          <w:rFonts w:hint="default" w:ascii="Times New Roman" w:hAnsi="Times New Roman" w:eastAsia="宋体" w:cs="Times New Roman"/>
          <w:color w:val="auto"/>
          <w:kern w:val="0"/>
          <w:sz w:val="15"/>
          <w:szCs w:val="15"/>
          <w:highlight w:val="none"/>
          <w:lang w:val="en-US" w:eastAsia="zh-CN" w:bidi="ar"/>
        </w:rPr>
        <w:t>3</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H</w:t>
      </w:r>
      <w:r>
        <w:rPr>
          <w:rFonts w:hint="default" w:ascii="Times New Roman" w:hAnsi="Times New Roman" w:eastAsia="宋体" w:cs="Times New Roman"/>
          <w:color w:val="auto"/>
          <w:kern w:val="0"/>
          <w:sz w:val="15"/>
          <w:szCs w:val="15"/>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S</w:t>
      </w:r>
      <w:r>
        <w:rPr>
          <w:rFonts w:hint="eastAsia" w:ascii="宋体" w:hAnsi="宋体" w:eastAsia="宋体" w:cs="宋体"/>
          <w:color w:val="auto"/>
          <w:kern w:val="0"/>
          <w:sz w:val="24"/>
          <w:szCs w:val="24"/>
          <w:highlight w:val="none"/>
          <w:lang w:val="en-US" w:eastAsia="zh-CN" w:bidi="ar"/>
        </w:rPr>
        <w:t>等有害气体，舍内恶臭可下降</w:t>
      </w:r>
      <w:r>
        <w:rPr>
          <w:rFonts w:hint="default" w:ascii="Times New Roman" w:hAnsi="Times New Roman" w:eastAsia="宋体" w:cs="Times New Roman"/>
          <w:color w:val="auto"/>
          <w:kern w:val="0"/>
          <w:sz w:val="24"/>
          <w:szCs w:val="24"/>
          <w:highlight w:val="none"/>
          <w:lang w:val="en-US" w:eastAsia="zh-CN" w:bidi="ar"/>
        </w:rPr>
        <w:t>97.7%</w:t>
      </w:r>
      <w:r>
        <w:rPr>
          <w:rFonts w:hint="eastAsia" w:ascii="宋体" w:hAnsi="宋体" w:eastAsia="宋体" w:cs="宋体"/>
          <w:color w:val="auto"/>
          <w:kern w:val="0"/>
          <w:sz w:val="24"/>
          <w:szCs w:val="24"/>
          <w:highlight w:val="none"/>
          <w:lang w:val="en-US" w:eastAsia="zh-CN" w:bidi="ar"/>
        </w:rPr>
        <w:t>。</w:t>
      </w:r>
    </w:p>
    <w:p w14:paraId="1FC7F21E">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w:t>
      </w:r>
      <w:r>
        <w:rPr>
          <w:rFonts w:hint="eastAsia" w:ascii="Times New Roman" w:hAnsi="Times New Roman" w:cs="Times New Roman"/>
          <w:snapToGrid w:val="0"/>
          <w:color w:val="auto"/>
          <w:kern w:val="0"/>
          <w:highlight w:val="none"/>
          <w:lang w:val="en-US" w:eastAsia="zh-CN"/>
        </w:rPr>
        <w:t>3-4-</w:t>
      </w:r>
      <w:r>
        <w:rPr>
          <w:rFonts w:hint="eastAsia" w:cs="Times New Roman"/>
          <w:snapToGrid w:val="0"/>
          <w:color w:val="auto"/>
          <w:kern w:val="0"/>
          <w:highlight w:val="none"/>
          <w:lang w:val="en-US" w:eastAsia="zh-CN"/>
        </w:rPr>
        <w:t>3</w:t>
      </w:r>
      <w:r>
        <w:rPr>
          <w:rFonts w:hint="default" w:ascii="Times New Roman" w:hAnsi="Times New Roman" w:cs="Times New Roman"/>
          <w:snapToGrid w:val="0"/>
          <w:color w:val="auto"/>
          <w:kern w:val="0"/>
          <w:highlight w:val="none"/>
        </w:rPr>
        <w:t xml:space="preserve">  </w:t>
      </w:r>
      <w:r>
        <w:rPr>
          <w:rFonts w:hint="eastAsia" w:ascii="Times New Roman" w:hAnsi="Times New Roman" w:cs="Times New Roman"/>
          <w:snapToGrid w:val="0"/>
          <w:color w:val="auto"/>
          <w:kern w:val="0"/>
          <w:highlight w:val="none"/>
          <w:lang w:val="en-US" w:eastAsia="zh-CN"/>
        </w:rPr>
        <w:t>牛</w:t>
      </w:r>
      <w:r>
        <w:rPr>
          <w:rFonts w:hint="default" w:ascii="Times New Roman" w:hAnsi="Times New Roman" w:cs="Times New Roman"/>
          <w:snapToGrid w:val="0"/>
          <w:color w:val="auto"/>
          <w:kern w:val="0"/>
          <w:highlight w:val="none"/>
        </w:rPr>
        <w:t>舍恶臭气体排放情况统计表</w:t>
      </w:r>
    </w:p>
    <w:p w14:paraId="3F7B417C">
      <w:pPr>
        <w:spacing w:line="71" w:lineRule="exact"/>
        <w:rPr>
          <w:color w:val="auto"/>
          <w:highlight w:val="none"/>
        </w:rPr>
      </w:pPr>
    </w:p>
    <w:tbl>
      <w:tblPr>
        <w:tblStyle w:val="47"/>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553"/>
        <w:gridCol w:w="588"/>
        <w:gridCol w:w="425"/>
        <w:gridCol w:w="794"/>
        <w:gridCol w:w="591"/>
        <w:gridCol w:w="1380"/>
        <w:gridCol w:w="450"/>
        <w:gridCol w:w="425"/>
        <w:gridCol w:w="794"/>
        <w:gridCol w:w="1098"/>
        <w:gridCol w:w="607"/>
      </w:tblGrid>
      <w:tr w14:paraId="5D389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vAlign w:val="center"/>
          </w:tcPr>
          <w:p w14:paraId="6124B63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工序/生产线</w:t>
            </w:r>
          </w:p>
        </w:tc>
        <w:tc>
          <w:tcPr>
            <w:tcW w:w="333" w:type="pct"/>
            <w:vMerge w:val="restart"/>
            <w:vAlign w:val="center"/>
          </w:tcPr>
          <w:p w14:paraId="642F16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tc>
        <w:tc>
          <w:tcPr>
            <w:tcW w:w="354" w:type="pct"/>
            <w:vMerge w:val="restart"/>
            <w:vAlign w:val="center"/>
          </w:tcPr>
          <w:p w14:paraId="4D309A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1090" w:type="pct"/>
            <w:gridSpan w:val="3"/>
            <w:vAlign w:val="center"/>
          </w:tcPr>
          <w:p w14:paraId="043BEEF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污染物产生</w:t>
            </w:r>
          </w:p>
        </w:tc>
        <w:tc>
          <w:tcPr>
            <w:tcW w:w="1102" w:type="pct"/>
            <w:gridSpan w:val="2"/>
            <w:vAlign w:val="center"/>
          </w:tcPr>
          <w:p w14:paraId="6D686B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治理措施</w:t>
            </w:r>
          </w:p>
        </w:tc>
        <w:tc>
          <w:tcPr>
            <w:tcW w:w="1395" w:type="pct"/>
            <w:gridSpan w:val="3"/>
            <w:vAlign w:val="center"/>
          </w:tcPr>
          <w:p w14:paraId="4A1E341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w:t>
            </w:r>
          </w:p>
        </w:tc>
        <w:tc>
          <w:tcPr>
            <w:tcW w:w="365" w:type="pct"/>
            <w:vMerge w:val="restart"/>
            <w:vAlign w:val="center"/>
          </w:tcPr>
          <w:p w14:paraId="6DF1F4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w:t>
            </w:r>
          </w:p>
          <w:p w14:paraId="36BD22D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时间</w:t>
            </w:r>
          </w:p>
        </w:tc>
      </w:tr>
      <w:tr w14:paraId="37DD0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vAlign w:val="center"/>
          </w:tcPr>
          <w:p w14:paraId="04F4EC07">
            <w:pPr>
              <w:pStyle w:val="146"/>
              <w:rPr>
                <w:rFonts w:hint="default" w:ascii="Times New Roman" w:hAnsi="Times New Roman" w:eastAsia="宋体" w:cs="Times New Roman"/>
                <w:color w:val="auto"/>
                <w:highlight w:val="none"/>
              </w:rPr>
            </w:pPr>
          </w:p>
        </w:tc>
        <w:tc>
          <w:tcPr>
            <w:tcW w:w="333" w:type="pct"/>
            <w:vMerge w:val="continue"/>
            <w:vAlign w:val="center"/>
          </w:tcPr>
          <w:p w14:paraId="4CEF3B0A">
            <w:pPr>
              <w:pStyle w:val="146"/>
              <w:rPr>
                <w:rFonts w:hint="default" w:ascii="Times New Roman" w:hAnsi="Times New Roman" w:eastAsia="宋体" w:cs="Times New Roman"/>
                <w:color w:val="auto"/>
                <w:highlight w:val="none"/>
              </w:rPr>
            </w:pPr>
          </w:p>
        </w:tc>
        <w:tc>
          <w:tcPr>
            <w:tcW w:w="354" w:type="pct"/>
            <w:vMerge w:val="continue"/>
            <w:vAlign w:val="center"/>
          </w:tcPr>
          <w:p w14:paraId="2E796C00">
            <w:pPr>
              <w:pStyle w:val="146"/>
              <w:rPr>
                <w:rFonts w:hint="default" w:ascii="Times New Roman" w:hAnsi="Times New Roman" w:eastAsia="宋体" w:cs="Times New Roman"/>
                <w:color w:val="auto"/>
                <w:highlight w:val="none"/>
              </w:rPr>
            </w:pPr>
          </w:p>
        </w:tc>
        <w:tc>
          <w:tcPr>
            <w:tcW w:w="256" w:type="pct"/>
            <w:vAlign w:val="center"/>
          </w:tcPr>
          <w:p w14:paraId="4903E1B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w:t>
            </w:r>
          </w:p>
          <w:p w14:paraId="04715C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方法</w:t>
            </w:r>
          </w:p>
        </w:tc>
        <w:tc>
          <w:tcPr>
            <w:tcW w:w="478" w:type="pct"/>
            <w:vAlign w:val="center"/>
          </w:tcPr>
          <w:p w14:paraId="1123AF8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废气产生量t/a</w:t>
            </w:r>
          </w:p>
        </w:tc>
        <w:tc>
          <w:tcPr>
            <w:tcW w:w="355" w:type="pct"/>
            <w:vAlign w:val="center"/>
          </w:tcPr>
          <w:p w14:paraId="6A7671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废气产生量kg/h</w:t>
            </w:r>
          </w:p>
        </w:tc>
        <w:tc>
          <w:tcPr>
            <w:tcW w:w="831" w:type="pct"/>
            <w:vAlign w:val="center"/>
          </w:tcPr>
          <w:p w14:paraId="040946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w:t>
            </w:r>
          </w:p>
        </w:tc>
        <w:tc>
          <w:tcPr>
            <w:tcW w:w="271" w:type="pct"/>
            <w:vAlign w:val="center"/>
          </w:tcPr>
          <w:p w14:paraId="77AC23E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效率/%</w:t>
            </w:r>
          </w:p>
        </w:tc>
        <w:tc>
          <w:tcPr>
            <w:tcW w:w="256" w:type="pct"/>
            <w:vAlign w:val="center"/>
          </w:tcPr>
          <w:p w14:paraId="511E456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w:t>
            </w:r>
          </w:p>
          <w:p w14:paraId="05221A7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方法</w:t>
            </w:r>
          </w:p>
        </w:tc>
        <w:tc>
          <w:tcPr>
            <w:tcW w:w="478" w:type="pct"/>
            <w:vAlign w:val="center"/>
          </w:tcPr>
          <w:p w14:paraId="0BAF61F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c>
          <w:tcPr>
            <w:tcW w:w="660" w:type="pct"/>
            <w:vAlign w:val="center"/>
          </w:tcPr>
          <w:p w14:paraId="34D9A3A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排放量/kg/h</w:t>
            </w:r>
          </w:p>
        </w:tc>
        <w:tc>
          <w:tcPr>
            <w:tcW w:w="365" w:type="pct"/>
            <w:vMerge w:val="continue"/>
            <w:vAlign w:val="center"/>
          </w:tcPr>
          <w:p w14:paraId="03492973">
            <w:pPr>
              <w:pStyle w:val="146"/>
              <w:rPr>
                <w:rFonts w:hint="default" w:ascii="Times New Roman" w:hAnsi="Times New Roman" w:eastAsia="宋体" w:cs="Times New Roman"/>
                <w:color w:val="auto"/>
                <w:highlight w:val="none"/>
              </w:rPr>
            </w:pPr>
          </w:p>
        </w:tc>
      </w:tr>
      <w:tr w14:paraId="19397B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7" w:type="pct"/>
            <w:vMerge w:val="restart"/>
            <w:vAlign w:val="center"/>
          </w:tcPr>
          <w:p w14:paraId="4793BA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养殖过程</w:t>
            </w:r>
          </w:p>
        </w:tc>
        <w:tc>
          <w:tcPr>
            <w:tcW w:w="333" w:type="pct"/>
            <w:vMerge w:val="restart"/>
            <w:vAlign w:val="center"/>
          </w:tcPr>
          <w:p w14:paraId="0BBFF6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牛舍</w:t>
            </w:r>
          </w:p>
        </w:tc>
        <w:tc>
          <w:tcPr>
            <w:tcW w:w="354" w:type="pct"/>
            <w:vAlign w:val="center"/>
          </w:tcPr>
          <w:p w14:paraId="4C2A21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256" w:type="pct"/>
            <w:vMerge w:val="restart"/>
            <w:vAlign w:val="center"/>
          </w:tcPr>
          <w:p w14:paraId="5DC29EBF">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系数法</w:t>
            </w:r>
          </w:p>
        </w:tc>
        <w:tc>
          <w:tcPr>
            <w:tcW w:w="478" w:type="pct"/>
            <w:vAlign w:val="center"/>
          </w:tcPr>
          <w:p w14:paraId="3FE7DFBD">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55.122</w:t>
            </w:r>
          </w:p>
        </w:tc>
        <w:tc>
          <w:tcPr>
            <w:tcW w:w="355" w:type="pct"/>
            <w:vAlign w:val="center"/>
          </w:tcPr>
          <w:p w14:paraId="4AC8665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6.29</w:t>
            </w:r>
          </w:p>
        </w:tc>
        <w:tc>
          <w:tcPr>
            <w:tcW w:w="1102" w:type="pct"/>
            <w:gridSpan w:val="2"/>
            <w:vAlign w:val="center"/>
          </w:tcPr>
          <w:p w14:paraId="501A6E04">
            <w:pPr>
              <w:pStyle w:val="146"/>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highlight w:val="none"/>
              </w:rPr>
              <w:t>喷洒除臭剂，去处效率50%。日粮中添加EM菌剂，去处效率97.7%。</w:t>
            </w:r>
          </w:p>
        </w:tc>
        <w:tc>
          <w:tcPr>
            <w:tcW w:w="256" w:type="pct"/>
            <w:vMerge w:val="restart"/>
            <w:vAlign w:val="center"/>
          </w:tcPr>
          <w:p w14:paraId="5F8CA9D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类比法</w:t>
            </w:r>
          </w:p>
        </w:tc>
        <w:tc>
          <w:tcPr>
            <w:tcW w:w="478" w:type="pct"/>
            <w:vAlign w:val="center"/>
          </w:tcPr>
          <w:p w14:paraId="45DB3B4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631</w:t>
            </w:r>
          </w:p>
        </w:tc>
        <w:tc>
          <w:tcPr>
            <w:tcW w:w="660" w:type="pct"/>
            <w:vAlign w:val="center"/>
          </w:tcPr>
          <w:p w14:paraId="26200F9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w:t>
            </w:r>
            <w:r>
              <w:rPr>
                <w:rFonts w:hint="eastAsia" w:eastAsia="宋体" w:cs="Times New Roman"/>
                <w:color w:val="auto"/>
                <w:highlight w:val="none"/>
                <w:lang w:val="en-US" w:eastAsia="zh-CN"/>
              </w:rPr>
              <w:t>72</w:t>
            </w:r>
          </w:p>
        </w:tc>
        <w:tc>
          <w:tcPr>
            <w:tcW w:w="365" w:type="pct"/>
            <w:vMerge w:val="restart"/>
            <w:vAlign w:val="center"/>
          </w:tcPr>
          <w:p w14:paraId="28456CD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highlight w:val="none"/>
              </w:rPr>
              <w:t>8760</w:t>
            </w:r>
            <w:r>
              <w:rPr>
                <w:rFonts w:hint="default" w:ascii="Times New Roman" w:hAnsi="Times New Roman" w:eastAsia="宋体" w:cs="Times New Roman"/>
                <w:color w:val="auto"/>
                <w:highlight w:val="none"/>
              </w:rPr>
              <w:t>h</w:t>
            </w:r>
          </w:p>
        </w:tc>
      </w:tr>
      <w:tr w14:paraId="04D14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357" w:type="pct"/>
            <w:vMerge w:val="continue"/>
            <w:vAlign w:val="center"/>
          </w:tcPr>
          <w:p w14:paraId="73107767">
            <w:pPr>
              <w:pStyle w:val="146"/>
              <w:rPr>
                <w:rFonts w:hint="default" w:ascii="Times New Roman" w:hAnsi="Times New Roman" w:eastAsia="宋体" w:cs="Times New Roman"/>
                <w:color w:val="auto"/>
                <w:highlight w:val="none"/>
              </w:rPr>
            </w:pPr>
          </w:p>
        </w:tc>
        <w:tc>
          <w:tcPr>
            <w:tcW w:w="333" w:type="pct"/>
            <w:vMerge w:val="continue"/>
            <w:vAlign w:val="center"/>
          </w:tcPr>
          <w:p w14:paraId="03BCC17B">
            <w:pPr>
              <w:pStyle w:val="146"/>
              <w:rPr>
                <w:rFonts w:hint="default" w:ascii="Times New Roman" w:hAnsi="Times New Roman" w:eastAsia="宋体" w:cs="Times New Roman"/>
                <w:color w:val="auto"/>
                <w:highlight w:val="none"/>
              </w:rPr>
            </w:pPr>
          </w:p>
        </w:tc>
        <w:tc>
          <w:tcPr>
            <w:tcW w:w="354" w:type="pct"/>
            <w:vAlign w:val="center"/>
          </w:tcPr>
          <w:p w14:paraId="53E06CB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256" w:type="pct"/>
            <w:vMerge w:val="continue"/>
            <w:vAlign w:val="center"/>
          </w:tcPr>
          <w:p w14:paraId="7591D291">
            <w:pPr>
              <w:pStyle w:val="146"/>
              <w:rPr>
                <w:rFonts w:hint="default" w:ascii="Times New Roman" w:hAnsi="Times New Roman" w:eastAsia="宋体" w:cs="Times New Roman"/>
                <w:color w:val="auto"/>
                <w:highlight w:val="none"/>
              </w:rPr>
            </w:pPr>
          </w:p>
        </w:tc>
        <w:tc>
          <w:tcPr>
            <w:tcW w:w="478" w:type="pct"/>
            <w:vAlign w:val="center"/>
          </w:tcPr>
          <w:p w14:paraId="4B5857D6">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5.512</w:t>
            </w:r>
          </w:p>
        </w:tc>
        <w:tc>
          <w:tcPr>
            <w:tcW w:w="355" w:type="pct"/>
            <w:vAlign w:val="center"/>
          </w:tcPr>
          <w:p w14:paraId="12172D0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0.63</w:t>
            </w:r>
          </w:p>
        </w:tc>
        <w:tc>
          <w:tcPr>
            <w:tcW w:w="1102" w:type="pct"/>
            <w:gridSpan w:val="2"/>
            <w:shd w:val="clear" w:color="auto" w:fill="auto"/>
            <w:vAlign w:val="center"/>
          </w:tcPr>
          <w:p w14:paraId="3D7AD41F">
            <w:pPr>
              <w:pStyle w:val="146"/>
              <w:rPr>
                <w:rFonts w:hint="default" w:ascii="Times New Roman" w:hAnsi="Times New Roman" w:eastAsia="仿宋"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highlight w:val="none"/>
              </w:rPr>
              <w:t>喷洒除臭剂，去处效率89%。日粮中添加EM菌剂，去处效率97.7%。</w:t>
            </w:r>
          </w:p>
        </w:tc>
        <w:tc>
          <w:tcPr>
            <w:tcW w:w="256" w:type="pct"/>
            <w:vMerge w:val="continue"/>
            <w:vAlign w:val="center"/>
          </w:tcPr>
          <w:p w14:paraId="2AF5F280">
            <w:pPr>
              <w:pStyle w:val="146"/>
              <w:rPr>
                <w:rFonts w:hint="default" w:ascii="Times New Roman" w:hAnsi="Times New Roman" w:eastAsia="宋体" w:cs="Times New Roman"/>
                <w:color w:val="auto"/>
                <w:highlight w:val="none"/>
              </w:rPr>
            </w:pPr>
          </w:p>
        </w:tc>
        <w:tc>
          <w:tcPr>
            <w:tcW w:w="478" w:type="pct"/>
            <w:shd w:val="clear" w:color="auto" w:fill="auto"/>
            <w:vAlign w:val="center"/>
          </w:tcPr>
          <w:p w14:paraId="092267CE">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0.01</w:t>
            </w:r>
            <w:r>
              <w:rPr>
                <w:rFonts w:hint="eastAsia" w:eastAsia="宋体" w:cs="Times New Roman"/>
                <w:color w:val="auto"/>
                <w:kern w:val="0"/>
                <w:sz w:val="21"/>
                <w:szCs w:val="20"/>
                <w:highlight w:val="none"/>
                <w:lang w:val="en-US" w:eastAsia="zh-CN" w:bidi="ar-SA"/>
              </w:rPr>
              <w:t>4</w:t>
            </w:r>
          </w:p>
        </w:tc>
        <w:tc>
          <w:tcPr>
            <w:tcW w:w="660" w:type="pct"/>
            <w:shd w:val="clear" w:color="auto" w:fill="auto"/>
            <w:vAlign w:val="center"/>
          </w:tcPr>
          <w:p w14:paraId="33E5FAC0">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1.59</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-3</w:t>
            </w:r>
          </w:p>
        </w:tc>
        <w:tc>
          <w:tcPr>
            <w:tcW w:w="365" w:type="pct"/>
            <w:vMerge w:val="continue"/>
            <w:vAlign w:val="center"/>
          </w:tcPr>
          <w:p w14:paraId="1E95C54C">
            <w:pPr>
              <w:pStyle w:val="146"/>
              <w:rPr>
                <w:rFonts w:hint="default" w:ascii="Times New Roman" w:hAnsi="Times New Roman" w:eastAsia="宋体" w:cs="Times New Roman"/>
                <w:color w:val="auto"/>
                <w:highlight w:val="none"/>
              </w:rPr>
            </w:pPr>
          </w:p>
        </w:tc>
      </w:tr>
    </w:tbl>
    <w:p w14:paraId="4664404B">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2、固态粪污贮存与处理设施恶臭气体</w:t>
      </w:r>
    </w:p>
    <w:p w14:paraId="3FFBFD22">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（1）污染物产生量</w:t>
      </w:r>
    </w:p>
    <w:p w14:paraId="65FA3B12">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default" w:ascii="Times New Roman" w:hAnsi="Times New Roman" w:eastAsia="宋体" w:cs="Times New Roman"/>
          <w:color w:val="auto"/>
          <w:kern w:val="0"/>
          <w:sz w:val="24"/>
          <w:szCs w:val="24"/>
          <w:highlight w:val="none"/>
          <w:lang w:val="en-US" w:eastAsia="zh-CN" w:bidi="ar"/>
        </w:rPr>
      </w:pPr>
      <w:r>
        <w:rPr>
          <w:color w:val="auto"/>
          <w:highlight w:val="none"/>
        </w:rPr>
        <w:t>本项目</w:t>
      </w:r>
      <w:r>
        <w:rPr>
          <w:rFonts w:hint="eastAsia"/>
          <w:color w:val="auto"/>
          <w:highlight w:val="none"/>
          <w:lang w:val="en-US" w:eastAsia="zh-CN"/>
        </w:rPr>
        <w:t>堆肥间</w:t>
      </w:r>
      <w:r>
        <w:rPr>
          <w:color w:val="auto"/>
          <w:highlight w:val="none"/>
        </w:rPr>
        <w:t>产生的恶臭</w:t>
      </w:r>
      <w:r>
        <w:rPr>
          <w:rFonts w:hint="eastAsia"/>
          <w:color w:val="auto"/>
          <w:highlight w:val="none"/>
        </w:rPr>
        <w:t>《中国畜禽粪便产生量估算及环境效应》（中国环境科学，2006，26（5）614～617），牛粪中含氮量0.351%，根据《家畜环境卫生学》，在饲料配方合理，栏舍管理得当的前提下，总氮转化成氨气的总量不超过其总量的5%，本次评价按其最不利条件，转化率按5%计算。H</w:t>
      </w:r>
      <w:r>
        <w:rPr>
          <w:rFonts w:hint="eastAsia"/>
          <w:color w:val="auto"/>
          <w:highlight w:val="none"/>
          <w:vertAlign w:val="subscript"/>
        </w:rPr>
        <w:t>2</w:t>
      </w:r>
      <w:r>
        <w:rPr>
          <w:rFonts w:hint="eastAsia"/>
          <w:color w:val="auto"/>
          <w:highlight w:val="none"/>
        </w:rPr>
        <w:t>S产生量约为NH</w:t>
      </w:r>
      <w:r>
        <w:rPr>
          <w:rFonts w:hint="eastAsia"/>
          <w:color w:val="auto"/>
          <w:highlight w:val="none"/>
          <w:vertAlign w:val="subscript"/>
        </w:rPr>
        <w:t>3</w:t>
      </w:r>
      <w:r>
        <w:rPr>
          <w:rFonts w:hint="eastAsia"/>
          <w:color w:val="auto"/>
          <w:highlight w:val="none"/>
        </w:rPr>
        <w:t>的10%</w:t>
      </w:r>
      <w:r>
        <w:rPr>
          <w:color w:val="auto"/>
          <w:highlight w:val="none"/>
        </w:rPr>
        <w:t>，本项目</w:t>
      </w:r>
      <w:r>
        <w:rPr>
          <w:rFonts w:hint="eastAsia"/>
          <w:color w:val="auto"/>
          <w:highlight w:val="none"/>
          <w:lang w:val="en-US" w:eastAsia="zh-CN"/>
        </w:rPr>
        <w:t>牛存栏6000头/年，</w:t>
      </w:r>
      <w:r>
        <w:rPr>
          <w:rFonts w:hint="default" w:ascii="Times New Roman" w:hAnsi="Times New Roman" w:eastAsia="宋体" w:cs="Times New Roman"/>
          <w:color w:val="auto"/>
          <w:sz w:val="24"/>
          <w:highlight w:val="none"/>
          <w:lang w:val="en-US" w:eastAsia="zh-CN"/>
        </w:rPr>
        <w:t>根据《排污许可证申请与核发技术规范 畜禽养殖行业》（HJ1029-2019）中畜禽污染物产生量，肉牛粪便产生量为10.88kg/d·头</w:t>
      </w:r>
      <w:r>
        <w:rPr>
          <w:rFonts w:hint="eastAsia" w:ascii="Times New Roman" w:hAnsi="Times New Roman" w:cs="Times New Roman"/>
          <w:color w:val="auto"/>
          <w:sz w:val="24"/>
          <w:highlight w:val="none"/>
          <w:lang w:val="en-US" w:eastAsia="zh-CN"/>
        </w:rPr>
        <w:t>，则</w:t>
      </w:r>
      <w:r>
        <w:rPr>
          <w:color w:val="auto"/>
          <w:highlight w:val="none"/>
        </w:rPr>
        <w:t>进入</w:t>
      </w:r>
      <w:r>
        <w:rPr>
          <w:rFonts w:hint="eastAsia"/>
          <w:color w:val="auto"/>
          <w:highlight w:val="none"/>
        </w:rPr>
        <w:t>堆肥间</w:t>
      </w:r>
      <w:r>
        <w:rPr>
          <w:color w:val="auto"/>
          <w:highlight w:val="none"/>
        </w:rPr>
        <w:t>的粪便</w:t>
      </w:r>
      <w:r>
        <w:rPr>
          <w:rFonts w:hint="eastAsia"/>
          <w:color w:val="auto"/>
          <w:highlight w:val="none"/>
          <w:lang w:val="en-US" w:eastAsia="zh-CN"/>
        </w:rPr>
        <w:t>23827.2</w:t>
      </w:r>
      <w:r>
        <w:rPr>
          <w:color w:val="auto"/>
          <w:highlight w:val="none"/>
          <w:lang w:bidi="ar"/>
        </w:rPr>
        <w:t>t/a，</w:t>
      </w:r>
      <w:r>
        <w:rPr>
          <w:color w:val="auto"/>
          <w:highlight w:val="none"/>
        </w:rPr>
        <w:t>则计算</w:t>
      </w:r>
      <w:r>
        <w:rPr>
          <w:rFonts w:hint="eastAsia"/>
          <w:color w:val="auto"/>
          <w:highlight w:val="none"/>
          <w:lang w:val="en-US" w:eastAsia="zh-CN"/>
        </w:rPr>
        <w:t>堆肥</w:t>
      </w:r>
      <w:r>
        <w:rPr>
          <w:color w:val="auto"/>
          <w:highlight w:val="none"/>
        </w:rPr>
        <w:t>过程恶臭污染物产生情况</w:t>
      </w:r>
      <w:r>
        <w:rPr>
          <w:rFonts w:hint="eastAsia"/>
          <w:color w:val="auto"/>
          <w:highlight w:val="none"/>
        </w:rPr>
        <w:t>为</w:t>
      </w:r>
      <w:r>
        <w:rPr>
          <w:color w:val="auto"/>
          <w:highlight w:val="none"/>
        </w:rPr>
        <w:t>：</w:t>
      </w:r>
      <w:r>
        <w:rPr>
          <w:rFonts w:hint="eastAsia"/>
          <w:color w:val="auto"/>
          <w:highlight w:val="none"/>
        </w:rPr>
        <w:t>氨气</w:t>
      </w:r>
      <w:r>
        <w:rPr>
          <w:color w:val="auto"/>
          <w:highlight w:val="none"/>
        </w:rPr>
        <w:t>产生量</w:t>
      </w:r>
      <w:r>
        <w:rPr>
          <w:rFonts w:hint="eastAsia"/>
          <w:color w:val="auto"/>
          <w:highlight w:val="none"/>
        </w:rPr>
        <w:t>为</w:t>
      </w:r>
      <w:r>
        <w:rPr>
          <w:rFonts w:hint="eastAsia"/>
          <w:color w:val="auto"/>
          <w:highlight w:val="none"/>
          <w:lang w:val="en-US" w:eastAsia="zh-CN"/>
        </w:rPr>
        <w:t>4.182</w:t>
      </w:r>
      <w:r>
        <w:rPr>
          <w:rFonts w:hint="eastAsia"/>
          <w:color w:val="auto"/>
          <w:highlight w:val="none"/>
        </w:rPr>
        <w:t>t/a、</w:t>
      </w:r>
      <w:r>
        <w:rPr>
          <w:rFonts w:hint="eastAsia"/>
          <w:color w:val="auto"/>
          <w:highlight w:val="none"/>
          <w:lang w:val="en-US" w:eastAsia="zh-CN"/>
        </w:rPr>
        <w:t>0.477</w:t>
      </w:r>
      <w:r>
        <w:rPr>
          <w:rFonts w:hint="eastAsia"/>
          <w:color w:val="auto"/>
          <w:highlight w:val="none"/>
        </w:rPr>
        <w:t>kg/h；硫化氢</w:t>
      </w:r>
      <w:r>
        <w:rPr>
          <w:color w:val="auto"/>
          <w:highlight w:val="none"/>
        </w:rPr>
        <w:t>产生</w:t>
      </w:r>
      <w:r>
        <w:rPr>
          <w:rFonts w:hint="eastAsia"/>
          <w:color w:val="auto"/>
          <w:highlight w:val="none"/>
        </w:rPr>
        <w:t>量为</w:t>
      </w:r>
      <w:r>
        <w:rPr>
          <w:rFonts w:hint="eastAsia"/>
          <w:color w:val="auto"/>
          <w:highlight w:val="none"/>
          <w:lang w:val="en-US" w:eastAsia="zh-CN"/>
        </w:rPr>
        <w:t>0.419</w:t>
      </w:r>
      <w:r>
        <w:rPr>
          <w:rFonts w:hint="eastAsia"/>
          <w:color w:val="auto"/>
          <w:highlight w:val="none"/>
        </w:rPr>
        <w:t>t/a、</w:t>
      </w:r>
      <w:r>
        <w:rPr>
          <w:rFonts w:hint="eastAsia"/>
          <w:color w:val="auto"/>
          <w:highlight w:val="none"/>
          <w:lang w:val="en-US" w:eastAsia="zh-CN"/>
        </w:rPr>
        <w:t>0.048</w:t>
      </w:r>
      <w:r>
        <w:rPr>
          <w:rFonts w:hint="eastAsia"/>
          <w:color w:val="auto"/>
          <w:highlight w:val="none"/>
        </w:rPr>
        <w:t>kg/h。</w:t>
      </w:r>
    </w:p>
    <w:p w14:paraId="7BDDCB1B">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rFonts w:ascii="宋体" w:hAnsi="宋体" w:eastAsia="宋体" w:cs="宋体"/>
          <w:color w:val="auto"/>
          <w:spacing w:val="-3"/>
          <w:sz w:val="24"/>
          <w:szCs w:val="24"/>
          <w:highlight w:val="none"/>
        </w:rPr>
      </w:pPr>
      <w:r>
        <w:rPr>
          <w:rFonts w:hint="eastAsia" w:ascii="Times New Roman" w:hAnsi="Times New Roman" w:cs="Times New Roman"/>
          <w:color w:val="auto"/>
          <w:sz w:val="24"/>
          <w:szCs w:val="24"/>
          <w:highlight w:val="none"/>
          <w:lang w:val="en-US" w:eastAsia="zh-CN"/>
        </w:rPr>
        <w:t>本项目肉牛养殖采用</w:t>
      </w:r>
      <w:r>
        <w:rPr>
          <w:rFonts w:hint="default" w:ascii="Times New Roman" w:hAnsi="Times New Roman" w:cs="Times New Roman"/>
          <w:color w:val="auto"/>
          <w:sz w:val="24"/>
          <w:szCs w:val="24"/>
          <w:highlight w:val="none"/>
        </w:rPr>
        <w:t>生物发酵床技术</w:t>
      </w:r>
      <w:r>
        <w:rPr>
          <w:rFonts w:hint="eastAsia" w:ascii="Times New Roman" w:hAnsi="Times New Roman" w:cs="Times New Roman"/>
          <w:color w:val="auto"/>
          <w:sz w:val="24"/>
          <w:szCs w:val="24"/>
          <w:highlight w:val="none"/>
        </w:rPr>
        <w:t>生物发酵床技术是按一定比例将发酵菌种与秸秆、锯末、稻壳以及辅助材料等混合，通过发酵形成有机垫料，将有机垫料置于</w:t>
      </w:r>
      <w:r>
        <w:rPr>
          <w:rFonts w:hint="eastAsia" w:ascii="Times New Roman" w:hAnsi="Times New Roman" w:cs="Times New Roman"/>
          <w:color w:val="auto"/>
          <w:sz w:val="24"/>
          <w:szCs w:val="24"/>
          <w:highlight w:val="none"/>
          <w:lang w:val="en-US" w:eastAsia="zh-CN"/>
        </w:rPr>
        <w:t>牛</w:t>
      </w:r>
      <w:r>
        <w:rPr>
          <w:rFonts w:hint="eastAsia" w:ascii="Times New Roman" w:hAnsi="Times New Roman" w:cs="Times New Roman"/>
          <w:color w:val="auto"/>
          <w:sz w:val="24"/>
          <w:szCs w:val="24"/>
          <w:highlight w:val="none"/>
        </w:rPr>
        <w:t>舍内，利用微生物对粪便进行降解、吸氨固氮而形</w:t>
      </w:r>
      <w:r>
        <w:rPr>
          <w:rFonts w:hint="eastAsia" w:ascii="Times New Roman" w:hAnsi="Times New Roman" w:cs="Times New Roman"/>
          <w:color w:val="auto"/>
          <w:sz w:val="24"/>
          <w:szCs w:val="24"/>
          <w:highlight w:val="none"/>
          <w:lang w:val="en-US" w:eastAsia="zh-CN"/>
        </w:rPr>
        <w:t>成有机肥</w:t>
      </w:r>
      <w:r>
        <w:rPr>
          <w:rFonts w:hint="default" w:ascii="Times New Roman" w:hAnsi="Times New Roman" w:cs="Times New Roman"/>
          <w:color w:val="auto"/>
          <w:sz w:val="24"/>
          <w:szCs w:val="24"/>
          <w:highlight w:val="none"/>
          <w:lang w:val="en-US" w:eastAsia="zh-CN"/>
        </w:rPr>
        <w:t>。</w:t>
      </w:r>
    </w:p>
    <w:p w14:paraId="1E01D277">
      <w:pPr>
        <w:keepNext w:val="0"/>
        <w:keepLines w:val="0"/>
        <w:pageBreakBefore w:val="0"/>
        <w:widowControl/>
        <w:suppressLineNumbers w:val="0"/>
        <w:kinsoku/>
        <w:wordWrap/>
        <w:overflowPunct/>
        <w:topLinePunct w:val="0"/>
        <w:autoSpaceDE/>
        <w:autoSpaceDN/>
        <w:bidi w:val="0"/>
        <w:adjustRightInd w:val="0"/>
        <w:snapToGrid w:val="0"/>
        <w:spacing w:line="500" w:lineRule="atLeast"/>
        <w:jc w:val="both"/>
        <w:textAlignment w:val="auto"/>
        <w:rPr>
          <w:rFonts w:hint="eastAsia" w:ascii="宋体" w:hAnsi="宋体" w:eastAsia="宋体" w:cs="宋体"/>
          <w:color w:val="auto"/>
          <w:kern w:val="0"/>
          <w:sz w:val="24"/>
          <w:szCs w:val="24"/>
          <w:highlight w:val="none"/>
          <w:lang w:val="en-US" w:eastAsia="zh-CN" w:bidi="ar"/>
        </w:rPr>
      </w:pPr>
      <w:r>
        <w:rPr>
          <w:rFonts w:ascii="宋体" w:hAnsi="宋体" w:eastAsia="宋体" w:cs="宋体"/>
          <w:color w:val="auto"/>
          <w:spacing w:val="-3"/>
          <w:sz w:val="24"/>
          <w:szCs w:val="24"/>
          <w:highlight w:val="none"/>
        </w:rPr>
        <w:t>本项目的堆肥车间设置</w:t>
      </w:r>
      <w:r>
        <w:rPr>
          <w:rFonts w:ascii="Times New Roman" w:hAnsi="Times New Roman" w:eastAsia="Times New Roman" w:cs="Times New Roman"/>
          <w:color w:val="auto"/>
          <w:spacing w:val="-3"/>
          <w:sz w:val="24"/>
          <w:szCs w:val="24"/>
          <w:highlight w:val="none"/>
        </w:rPr>
        <w:t>1</w:t>
      </w:r>
      <w:r>
        <w:rPr>
          <w:rFonts w:ascii="宋体" w:hAnsi="宋体" w:eastAsia="宋体" w:cs="宋体"/>
          <w:color w:val="auto"/>
          <w:spacing w:val="-3"/>
          <w:sz w:val="24"/>
          <w:szCs w:val="24"/>
          <w:highlight w:val="none"/>
        </w:rPr>
        <w:t>台风量</w:t>
      </w:r>
      <w:r>
        <w:rPr>
          <w:rFonts w:ascii="Times New Roman" w:hAnsi="Times New Roman" w:eastAsia="Times New Roman" w:cs="Times New Roman"/>
          <w:color w:val="auto"/>
          <w:spacing w:val="-3"/>
          <w:sz w:val="24"/>
          <w:szCs w:val="24"/>
          <w:highlight w:val="none"/>
        </w:rPr>
        <w:t>5000m</w:t>
      </w:r>
      <w:r>
        <w:rPr>
          <w:rFonts w:ascii="Times New Roman" w:hAnsi="Times New Roman" w:eastAsia="Times New Roman" w:cs="Times New Roman"/>
          <w:color w:val="auto"/>
          <w:spacing w:val="-3"/>
          <w:position w:val="7"/>
          <w:sz w:val="15"/>
          <w:szCs w:val="15"/>
          <w:highlight w:val="none"/>
        </w:rPr>
        <w:t>3</w:t>
      </w:r>
      <w:r>
        <w:rPr>
          <w:rFonts w:ascii="Times New Roman" w:hAnsi="Times New Roman" w:eastAsia="Times New Roman" w:cs="Times New Roman"/>
          <w:color w:val="auto"/>
          <w:spacing w:val="-3"/>
          <w:sz w:val="24"/>
          <w:szCs w:val="24"/>
          <w:highlight w:val="none"/>
        </w:rPr>
        <w:t>/h</w:t>
      </w:r>
      <w:r>
        <w:rPr>
          <w:rFonts w:ascii="宋体" w:hAnsi="宋体" w:eastAsia="宋体" w:cs="宋体"/>
          <w:color w:val="auto"/>
          <w:spacing w:val="-3"/>
          <w:sz w:val="24"/>
          <w:szCs w:val="24"/>
          <w:highlight w:val="none"/>
        </w:rPr>
        <w:t>的风机收集恶臭污染物（收集率为</w:t>
      </w:r>
      <w:r>
        <w:rPr>
          <w:rFonts w:ascii="Times New Roman" w:hAnsi="Times New Roman" w:eastAsia="Times New Roman" w:cs="Times New Roman"/>
          <w:color w:val="auto"/>
          <w:spacing w:val="-1"/>
          <w:sz w:val="24"/>
          <w:szCs w:val="24"/>
          <w:highlight w:val="none"/>
        </w:rPr>
        <w:t>95%</w:t>
      </w:r>
      <w:r>
        <w:rPr>
          <w:rFonts w:ascii="宋体" w:hAnsi="宋体" w:eastAsia="宋体" w:cs="宋体"/>
          <w:color w:val="auto"/>
          <w:spacing w:val="5"/>
          <w:sz w:val="24"/>
          <w:szCs w:val="24"/>
          <w:highlight w:val="none"/>
        </w:rPr>
        <w:t>），</w:t>
      </w:r>
      <w:r>
        <w:rPr>
          <w:rFonts w:ascii="宋体" w:hAnsi="宋体" w:eastAsia="宋体" w:cs="宋体"/>
          <w:color w:val="auto"/>
          <w:spacing w:val="-1"/>
          <w:sz w:val="24"/>
          <w:szCs w:val="24"/>
          <w:highlight w:val="none"/>
        </w:rPr>
        <w:t>恶臭废气收集后进入处理效率</w:t>
      </w:r>
      <w:r>
        <w:rPr>
          <w:rFonts w:ascii="Times New Roman" w:hAnsi="Times New Roman" w:eastAsia="Times New Roman" w:cs="Times New Roman"/>
          <w:color w:val="auto"/>
          <w:spacing w:val="-1"/>
          <w:sz w:val="24"/>
          <w:szCs w:val="24"/>
          <w:highlight w:val="none"/>
        </w:rPr>
        <w:t>90%</w:t>
      </w:r>
      <w:r>
        <w:rPr>
          <w:rFonts w:ascii="宋体" w:hAnsi="宋体" w:eastAsia="宋体" w:cs="宋体"/>
          <w:color w:val="auto"/>
          <w:spacing w:val="-2"/>
          <w:sz w:val="24"/>
          <w:szCs w:val="24"/>
          <w:highlight w:val="none"/>
        </w:rPr>
        <w:t>活性炭吸附装置净化处理后经</w:t>
      </w:r>
      <w:r>
        <w:rPr>
          <w:rFonts w:ascii="Times New Roman" w:hAnsi="Times New Roman" w:eastAsia="Times New Roman" w:cs="Times New Roman"/>
          <w:color w:val="auto"/>
          <w:spacing w:val="-2"/>
          <w:sz w:val="24"/>
          <w:szCs w:val="24"/>
          <w:highlight w:val="none"/>
        </w:rPr>
        <w:t>15</w:t>
      </w:r>
      <w:r>
        <w:rPr>
          <w:rFonts w:ascii="宋体" w:hAnsi="宋体" w:eastAsia="宋体" w:cs="宋体"/>
          <w:color w:val="auto"/>
          <w:spacing w:val="-2"/>
          <w:sz w:val="24"/>
          <w:szCs w:val="24"/>
          <w:highlight w:val="none"/>
        </w:rPr>
        <w:t>米高</w:t>
      </w:r>
      <w:r>
        <w:rPr>
          <w:rFonts w:ascii="宋体" w:hAnsi="宋体" w:eastAsia="宋体" w:cs="宋体"/>
          <w:color w:val="auto"/>
          <w:spacing w:val="5"/>
          <w:sz w:val="24"/>
          <w:szCs w:val="24"/>
          <w:highlight w:val="none"/>
        </w:rPr>
        <w:t>排气筒排放。本项目堆肥车间定期喷洒除臭剂，根据《规模化畜禽养殖场氨气</w:t>
      </w:r>
      <w:r>
        <w:rPr>
          <w:rFonts w:ascii="宋体" w:hAnsi="宋体" w:eastAsia="宋体" w:cs="宋体"/>
          <w:color w:val="auto"/>
          <w:spacing w:val="7"/>
          <w:sz w:val="24"/>
          <w:szCs w:val="24"/>
          <w:highlight w:val="none"/>
        </w:rPr>
        <w:t>排放量核算技术指南（试行）》（</w:t>
      </w:r>
      <w:r>
        <w:rPr>
          <w:rFonts w:ascii="Times New Roman" w:hAnsi="Times New Roman" w:eastAsia="Times New Roman" w:cs="Times New Roman"/>
          <w:color w:val="auto"/>
          <w:sz w:val="24"/>
          <w:szCs w:val="24"/>
          <w:highlight w:val="none"/>
        </w:rPr>
        <w:t>HJ</w:t>
      </w:r>
      <w:r>
        <w:rPr>
          <w:rFonts w:ascii="Times New Roman" w:hAnsi="Times New Roman" w:eastAsia="Times New Roman" w:cs="Times New Roman"/>
          <w:color w:val="auto"/>
          <w:spacing w:val="7"/>
          <w:sz w:val="24"/>
          <w:szCs w:val="24"/>
          <w:highlight w:val="none"/>
        </w:rPr>
        <w:t>1434-2025</w:t>
      </w:r>
      <w:r>
        <w:rPr>
          <w:rFonts w:ascii="宋体" w:hAnsi="宋体" w:eastAsia="宋体" w:cs="宋体"/>
          <w:color w:val="auto"/>
          <w:spacing w:val="7"/>
          <w:sz w:val="24"/>
          <w:szCs w:val="24"/>
          <w:highlight w:val="none"/>
        </w:rPr>
        <w:t>）附录</w:t>
      </w:r>
      <w:r>
        <w:rPr>
          <w:rFonts w:ascii="Times New Roman" w:hAnsi="Times New Roman" w:eastAsia="Times New Roman" w:cs="Times New Roman"/>
          <w:color w:val="auto"/>
          <w:spacing w:val="7"/>
          <w:sz w:val="24"/>
          <w:szCs w:val="24"/>
          <w:highlight w:val="none"/>
        </w:rPr>
        <w:t>C</w:t>
      </w:r>
      <w:r>
        <w:rPr>
          <w:rFonts w:ascii="宋体" w:hAnsi="宋体" w:eastAsia="宋体" w:cs="宋体"/>
          <w:color w:val="auto"/>
          <w:spacing w:val="7"/>
          <w:sz w:val="24"/>
          <w:szCs w:val="24"/>
          <w:highlight w:val="none"/>
        </w:rPr>
        <w:t>表</w:t>
      </w:r>
      <w:r>
        <w:rPr>
          <w:rFonts w:ascii="Times New Roman" w:hAnsi="Times New Roman" w:eastAsia="Times New Roman" w:cs="Times New Roman"/>
          <w:color w:val="auto"/>
          <w:spacing w:val="7"/>
          <w:sz w:val="24"/>
          <w:szCs w:val="24"/>
          <w:highlight w:val="none"/>
        </w:rPr>
        <w:t>C.1</w:t>
      </w:r>
      <w:r>
        <w:rPr>
          <w:rFonts w:ascii="宋体" w:hAnsi="宋体" w:eastAsia="宋体" w:cs="宋体"/>
          <w:color w:val="auto"/>
          <w:spacing w:val="7"/>
          <w:sz w:val="24"/>
          <w:szCs w:val="24"/>
          <w:highlight w:val="none"/>
        </w:rPr>
        <w:t>，本项目固</w:t>
      </w:r>
      <w:r>
        <w:rPr>
          <w:rFonts w:ascii="宋体" w:hAnsi="宋体" w:eastAsia="宋体" w:cs="宋体"/>
          <w:color w:val="auto"/>
          <w:spacing w:val="2"/>
          <w:sz w:val="24"/>
          <w:szCs w:val="24"/>
          <w:highlight w:val="none"/>
        </w:rPr>
        <w:t>态粪污处理设施氨减排率为</w:t>
      </w:r>
      <w:r>
        <w:rPr>
          <w:rFonts w:ascii="Times New Roman" w:hAnsi="Times New Roman" w:eastAsia="Times New Roman" w:cs="Times New Roman"/>
          <w:color w:val="auto"/>
          <w:spacing w:val="2"/>
          <w:sz w:val="24"/>
          <w:szCs w:val="24"/>
          <w:highlight w:val="none"/>
        </w:rPr>
        <w:t>40%</w:t>
      </w:r>
      <w:r>
        <w:rPr>
          <w:rFonts w:ascii="宋体" w:hAnsi="宋体" w:eastAsia="宋体" w:cs="宋体"/>
          <w:color w:val="auto"/>
          <w:spacing w:val="2"/>
          <w:sz w:val="24"/>
          <w:szCs w:val="24"/>
          <w:highlight w:val="none"/>
        </w:rPr>
        <w:t>；根据《自</w:t>
      </w:r>
      <w:r>
        <w:rPr>
          <w:rFonts w:ascii="宋体" w:hAnsi="宋体" w:eastAsia="宋体" w:cs="宋体"/>
          <w:color w:val="auto"/>
          <w:spacing w:val="1"/>
          <w:sz w:val="24"/>
          <w:szCs w:val="24"/>
          <w:highlight w:val="none"/>
        </w:rPr>
        <w:t>然科学》现代化农业，</w:t>
      </w:r>
      <w:r>
        <w:rPr>
          <w:rFonts w:ascii="Times New Roman" w:hAnsi="Times New Roman" w:eastAsia="Times New Roman" w:cs="Times New Roman"/>
          <w:color w:val="auto"/>
          <w:spacing w:val="1"/>
          <w:sz w:val="24"/>
          <w:szCs w:val="24"/>
          <w:highlight w:val="none"/>
        </w:rPr>
        <w:t>2011</w:t>
      </w:r>
      <w:r>
        <w:rPr>
          <w:rFonts w:ascii="宋体" w:hAnsi="宋体" w:eastAsia="宋体" w:cs="宋体"/>
          <w:color w:val="auto"/>
          <w:spacing w:val="1"/>
          <w:sz w:val="24"/>
          <w:szCs w:val="24"/>
          <w:highlight w:val="none"/>
        </w:rPr>
        <w:t>年第</w:t>
      </w:r>
      <w:r>
        <w:rPr>
          <w:rFonts w:ascii="Times New Roman" w:hAnsi="Times New Roman" w:eastAsia="Times New Roman" w:cs="Times New Roman"/>
          <w:color w:val="auto"/>
          <w:spacing w:val="1"/>
          <w:sz w:val="24"/>
          <w:szCs w:val="24"/>
          <w:highlight w:val="none"/>
        </w:rPr>
        <w:t>6</w:t>
      </w:r>
      <w:r>
        <w:rPr>
          <w:rFonts w:ascii="宋体" w:hAnsi="宋体" w:eastAsia="宋体" w:cs="宋体"/>
          <w:color w:val="auto"/>
          <w:spacing w:val="1"/>
          <w:sz w:val="24"/>
          <w:szCs w:val="24"/>
          <w:highlight w:val="none"/>
        </w:rPr>
        <w:t>期</w:t>
      </w:r>
      <w:r>
        <w:rPr>
          <w:rFonts w:ascii="宋体" w:hAnsi="宋体" w:eastAsia="宋体" w:cs="宋体"/>
          <w:color w:val="auto"/>
          <w:spacing w:val="-3"/>
          <w:sz w:val="24"/>
          <w:szCs w:val="24"/>
          <w:highlight w:val="none"/>
        </w:rPr>
        <w:t>（总第</w:t>
      </w:r>
      <w:r>
        <w:rPr>
          <w:rFonts w:ascii="Times New Roman" w:hAnsi="Times New Roman" w:eastAsia="Times New Roman" w:cs="Times New Roman"/>
          <w:color w:val="auto"/>
          <w:spacing w:val="-3"/>
          <w:sz w:val="24"/>
          <w:szCs w:val="24"/>
          <w:highlight w:val="none"/>
        </w:rPr>
        <w:t>383</w:t>
      </w:r>
      <w:r>
        <w:rPr>
          <w:rFonts w:ascii="宋体" w:hAnsi="宋体" w:eastAsia="宋体" w:cs="宋体"/>
          <w:color w:val="auto"/>
          <w:spacing w:val="-3"/>
          <w:sz w:val="24"/>
          <w:szCs w:val="24"/>
          <w:highlight w:val="none"/>
        </w:rPr>
        <w:t>期）</w:t>
      </w:r>
      <w:r>
        <w:rPr>
          <w:rFonts w:ascii="Times New Roman" w:hAnsi="Times New Roman" w:eastAsia="Times New Roman" w:cs="Times New Roman"/>
          <w:color w:val="auto"/>
          <w:spacing w:val="-3"/>
          <w:sz w:val="24"/>
          <w:szCs w:val="24"/>
          <w:highlight w:val="none"/>
        </w:rPr>
        <w:t>“</w:t>
      </w:r>
      <w:r>
        <w:rPr>
          <w:rFonts w:ascii="宋体" w:hAnsi="宋体" w:eastAsia="宋体" w:cs="宋体"/>
          <w:color w:val="auto"/>
          <w:spacing w:val="-3"/>
          <w:sz w:val="24"/>
          <w:szCs w:val="24"/>
          <w:highlight w:val="none"/>
        </w:rPr>
        <w:t>微生物除臭剂研究进展</w:t>
      </w:r>
      <w:r>
        <w:rPr>
          <w:rFonts w:ascii="Times New Roman" w:hAnsi="Times New Roman" w:eastAsia="Times New Roman" w:cs="Times New Roman"/>
          <w:color w:val="auto"/>
          <w:spacing w:val="-3"/>
          <w:sz w:val="24"/>
          <w:szCs w:val="24"/>
          <w:highlight w:val="none"/>
        </w:rPr>
        <w:t>”</w:t>
      </w:r>
      <w:r>
        <w:rPr>
          <w:rFonts w:ascii="宋体" w:hAnsi="宋体" w:eastAsia="宋体" w:cs="宋体"/>
          <w:color w:val="auto"/>
          <w:spacing w:val="-3"/>
          <w:sz w:val="24"/>
          <w:szCs w:val="24"/>
          <w:highlight w:val="none"/>
        </w:rPr>
        <w:t>（赵晓峰</w:t>
      </w:r>
      <w:r>
        <w:rPr>
          <w:rFonts w:ascii="宋体" w:hAnsi="宋体" w:eastAsia="宋体" w:cs="宋体"/>
          <w:color w:val="auto"/>
          <w:spacing w:val="-4"/>
          <w:sz w:val="24"/>
          <w:szCs w:val="24"/>
          <w:highlight w:val="none"/>
        </w:rPr>
        <w:t>，隋文志）的资料，经国家环境</w:t>
      </w:r>
      <w:r>
        <w:rPr>
          <w:rFonts w:ascii="宋体" w:hAnsi="宋体" w:eastAsia="宋体" w:cs="宋体"/>
          <w:color w:val="auto"/>
          <w:spacing w:val="-2"/>
          <w:sz w:val="24"/>
          <w:szCs w:val="24"/>
          <w:highlight w:val="none"/>
        </w:rPr>
        <w:t>分析测试中心和陕西环境监测中心测试万洁芬对</w:t>
      </w:r>
      <w:r>
        <w:rPr>
          <w:rFonts w:ascii="Times New Roman" w:hAnsi="Times New Roman" w:eastAsia="Times New Roman" w:cs="Times New Roman"/>
          <w:color w:val="auto"/>
          <w:spacing w:val="-2"/>
          <w:sz w:val="24"/>
          <w:szCs w:val="24"/>
          <w:highlight w:val="none"/>
        </w:rPr>
        <w:t>H</w:t>
      </w:r>
      <w:r>
        <w:rPr>
          <w:rFonts w:ascii="Times New Roman" w:hAnsi="Times New Roman" w:eastAsia="Times New Roman" w:cs="Times New Roman"/>
          <w:color w:val="auto"/>
          <w:spacing w:val="-2"/>
          <w:position w:val="-1"/>
          <w:sz w:val="15"/>
          <w:szCs w:val="15"/>
          <w:highlight w:val="none"/>
        </w:rPr>
        <w:t>2</w:t>
      </w:r>
      <w:r>
        <w:rPr>
          <w:rFonts w:ascii="Times New Roman" w:hAnsi="Times New Roman" w:eastAsia="Times New Roman" w:cs="Times New Roman"/>
          <w:color w:val="auto"/>
          <w:spacing w:val="-2"/>
          <w:sz w:val="24"/>
          <w:szCs w:val="24"/>
          <w:highlight w:val="none"/>
        </w:rPr>
        <w:t>S</w:t>
      </w:r>
      <w:r>
        <w:rPr>
          <w:rFonts w:ascii="宋体" w:hAnsi="宋体" w:eastAsia="宋体" w:cs="宋体"/>
          <w:color w:val="auto"/>
          <w:spacing w:val="-2"/>
          <w:sz w:val="24"/>
          <w:szCs w:val="24"/>
          <w:highlight w:val="none"/>
        </w:rPr>
        <w:t>的去除效率分别</w:t>
      </w:r>
      <w:r>
        <w:rPr>
          <w:rFonts w:ascii="Times New Roman" w:hAnsi="Times New Roman" w:eastAsia="Times New Roman" w:cs="Times New Roman"/>
          <w:color w:val="auto"/>
          <w:spacing w:val="-2"/>
          <w:sz w:val="24"/>
          <w:szCs w:val="24"/>
          <w:highlight w:val="none"/>
        </w:rPr>
        <w:t>89%</w:t>
      </w:r>
      <w:r>
        <w:rPr>
          <w:rFonts w:ascii="宋体" w:hAnsi="宋体" w:eastAsia="宋体" w:cs="宋体"/>
          <w:color w:val="auto"/>
          <w:spacing w:val="-2"/>
          <w:sz w:val="24"/>
          <w:szCs w:val="24"/>
          <w:highlight w:val="none"/>
        </w:rPr>
        <w:t>。</w:t>
      </w:r>
    </w:p>
    <w:p w14:paraId="5DD1C762">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w:t>
      </w:r>
      <w:r>
        <w:rPr>
          <w:rFonts w:hint="eastAsia" w:ascii="Times New Roman" w:hAnsi="Times New Roman" w:cs="Times New Roman"/>
          <w:snapToGrid w:val="0"/>
          <w:color w:val="auto"/>
          <w:kern w:val="0"/>
          <w:highlight w:val="none"/>
          <w:lang w:val="en-US" w:eastAsia="zh-CN"/>
        </w:rPr>
        <w:t>3-4-</w:t>
      </w:r>
      <w:r>
        <w:rPr>
          <w:rFonts w:hint="eastAsia" w:cs="Times New Roman"/>
          <w:snapToGrid w:val="0"/>
          <w:color w:val="auto"/>
          <w:kern w:val="0"/>
          <w:highlight w:val="none"/>
          <w:lang w:val="en-US" w:eastAsia="zh-CN"/>
        </w:rPr>
        <w:t>4</w:t>
      </w:r>
      <w:r>
        <w:rPr>
          <w:rFonts w:hint="default" w:ascii="Times New Roman" w:hAnsi="Times New Roman" w:cs="Times New Roman"/>
          <w:snapToGrid w:val="0"/>
          <w:color w:val="auto"/>
          <w:kern w:val="0"/>
          <w:highlight w:val="none"/>
        </w:rPr>
        <w:t xml:space="preserve"> </w:t>
      </w:r>
      <w:r>
        <w:rPr>
          <w:rFonts w:hint="eastAsia" w:ascii="Times New Roman" w:hAnsi="Times New Roman" w:cs="Times New Roman"/>
          <w:snapToGrid w:val="0"/>
          <w:color w:val="auto"/>
          <w:kern w:val="0"/>
          <w:highlight w:val="none"/>
          <w:lang w:val="en-US" w:eastAsia="zh-CN"/>
        </w:rPr>
        <w:t>堆肥间</w:t>
      </w:r>
      <w:r>
        <w:rPr>
          <w:rFonts w:hint="default" w:ascii="Times New Roman" w:hAnsi="Times New Roman" w:cs="Times New Roman"/>
          <w:snapToGrid w:val="0"/>
          <w:color w:val="auto"/>
          <w:kern w:val="0"/>
          <w:highlight w:val="none"/>
        </w:rPr>
        <w:t>恶臭气体排放情况统计表</w:t>
      </w:r>
    </w:p>
    <w:p w14:paraId="3CD53124">
      <w:pPr>
        <w:spacing w:line="71" w:lineRule="exact"/>
        <w:rPr>
          <w:color w:val="auto"/>
          <w:highlight w:val="none"/>
        </w:rPr>
      </w:pPr>
    </w:p>
    <w:tbl>
      <w:tblPr>
        <w:tblStyle w:val="4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425"/>
        <w:gridCol w:w="427"/>
        <w:gridCol w:w="588"/>
        <w:gridCol w:w="425"/>
        <w:gridCol w:w="794"/>
        <w:gridCol w:w="794"/>
        <w:gridCol w:w="1108"/>
        <w:gridCol w:w="450"/>
        <w:gridCol w:w="425"/>
        <w:gridCol w:w="794"/>
        <w:gridCol w:w="1065"/>
        <w:gridCol w:w="534"/>
      </w:tblGrid>
      <w:tr w14:paraId="0DDB0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 w:type="pct"/>
            <w:vMerge w:val="restart"/>
            <w:vAlign w:val="center"/>
          </w:tcPr>
          <w:p w14:paraId="345827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工序/生产线</w:t>
            </w:r>
          </w:p>
        </w:tc>
        <w:tc>
          <w:tcPr>
            <w:tcW w:w="513" w:type="pct"/>
            <w:gridSpan w:val="2"/>
            <w:vMerge w:val="restart"/>
            <w:vAlign w:val="center"/>
          </w:tcPr>
          <w:p w14:paraId="79B4C75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tc>
        <w:tc>
          <w:tcPr>
            <w:tcW w:w="354" w:type="pct"/>
            <w:vMerge w:val="restart"/>
            <w:vAlign w:val="center"/>
          </w:tcPr>
          <w:p w14:paraId="4B321B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1212" w:type="pct"/>
            <w:gridSpan w:val="3"/>
            <w:vAlign w:val="center"/>
          </w:tcPr>
          <w:p w14:paraId="38A9D04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污染物产生</w:t>
            </w:r>
          </w:p>
        </w:tc>
        <w:tc>
          <w:tcPr>
            <w:tcW w:w="938" w:type="pct"/>
            <w:gridSpan w:val="2"/>
            <w:vAlign w:val="center"/>
          </w:tcPr>
          <w:p w14:paraId="5EF94CF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治理措施</w:t>
            </w:r>
          </w:p>
        </w:tc>
        <w:tc>
          <w:tcPr>
            <w:tcW w:w="1375" w:type="pct"/>
            <w:gridSpan w:val="3"/>
            <w:vAlign w:val="center"/>
          </w:tcPr>
          <w:p w14:paraId="60E911A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w:t>
            </w:r>
          </w:p>
        </w:tc>
        <w:tc>
          <w:tcPr>
            <w:tcW w:w="321" w:type="pct"/>
            <w:vMerge w:val="restart"/>
            <w:vAlign w:val="center"/>
          </w:tcPr>
          <w:p w14:paraId="3B3CEFF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w:t>
            </w:r>
          </w:p>
          <w:p w14:paraId="266898B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时间</w:t>
            </w:r>
          </w:p>
        </w:tc>
      </w:tr>
      <w:tr w14:paraId="7F1D4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4" w:type="pct"/>
            <w:vMerge w:val="continue"/>
            <w:vAlign w:val="center"/>
          </w:tcPr>
          <w:p w14:paraId="5D695021">
            <w:pPr>
              <w:pStyle w:val="146"/>
              <w:rPr>
                <w:rFonts w:hint="default" w:ascii="Times New Roman" w:hAnsi="Times New Roman" w:eastAsia="宋体" w:cs="Times New Roman"/>
                <w:color w:val="auto"/>
                <w:highlight w:val="none"/>
              </w:rPr>
            </w:pPr>
          </w:p>
        </w:tc>
        <w:tc>
          <w:tcPr>
            <w:tcW w:w="513" w:type="pct"/>
            <w:gridSpan w:val="2"/>
            <w:vMerge w:val="continue"/>
            <w:vAlign w:val="center"/>
          </w:tcPr>
          <w:p w14:paraId="3EEF0426">
            <w:pPr>
              <w:pStyle w:val="146"/>
              <w:rPr>
                <w:rFonts w:hint="default" w:ascii="Times New Roman" w:hAnsi="Times New Roman" w:eastAsia="宋体" w:cs="Times New Roman"/>
                <w:color w:val="auto"/>
                <w:highlight w:val="none"/>
              </w:rPr>
            </w:pPr>
          </w:p>
        </w:tc>
        <w:tc>
          <w:tcPr>
            <w:tcW w:w="354" w:type="pct"/>
            <w:vMerge w:val="continue"/>
            <w:vAlign w:val="center"/>
          </w:tcPr>
          <w:p w14:paraId="4F484F83">
            <w:pPr>
              <w:pStyle w:val="146"/>
              <w:rPr>
                <w:rFonts w:hint="default" w:ascii="Times New Roman" w:hAnsi="Times New Roman" w:eastAsia="宋体" w:cs="Times New Roman"/>
                <w:color w:val="auto"/>
                <w:highlight w:val="none"/>
              </w:rPr>
            </w:pPr>
          </w:p>
        </w:tc>
        <w:tc>
          <w:tcPr>
            <w:tcW w:w="256" w:type="pct"/>
            <w:vAlign w:val="center"/>
          </w:tcPr>
          <w:p w14:paraId="5013B3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w:t>
            </w:r>
          </w:p>
          <w:p w14:paraId="5F8D9C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方法</w:t>
            </w:r>
          </w:p>
        </w:tc>
        <w:tc>
          <w:tcPr>
            <w:tcW w:w="478" w:type="pct"/>
            <w:vAlign w:val="center"/>
          </w:tcPr>
          <w:p w14:paraId="3A21D3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废气产生量t/a</w:t>
            </w:r>
          </w:p>
        </w:tc>
        <w:tc>
          <w:tcPr>
            <w:tcW w:w="478" w:type="pct"/>
            <w:vAlign w:val="center"/>
          </w:tcPr>
          <w:p w14:paraId="26D071A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废气产生量kg/h</w:t>
            </w:r>
          </w:p>
        </w:tc>
        <w:tc>
          <w:tcPr>
            <w:tcW w:w="667" w:type="pct"/>
            <w:vAlign w:val="center"/>
          </w:tcPr>
          <w:p w14:paraId="261A08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w:t>
            </w:r>
          </w:p>
        </w:tc>
        <w:tc>
          <w:tcPr>
            <w:tcW w:w="271" w:type="pct"/>
            <w:vAlign w:val="center"/>
          </w:tcPr>
          <w:p w14:paraId="2BDEB02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效率/%</w:t>
            </w:r>
          </w:p>
        </w:tc>
        <w:tc>
          <w:tcPr>
            <w:tcW w:w="256" w:type="pct"/>
            <w:vAlign w:val="center"/>
          </w:tcPr>
          <w:p w14:paraId="651F239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w:t>
            </w:r>
          </w:p>
          <w:p w14:paraId="301A7C6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方法</w:t>
            </w:r>
          </w:p>
        </w:tc>
        <w:tc>
          <w:tcPr>
            <w:tcW w:w="478" w:type="pct"/>
            <w:vAlign w:val="center"/>
          </w:tcPr>
          <w:p w14:paraId="36805D5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c>
          <w:tcPr>
            <w:tcW w:w="640" w:type="pct"/>
            <w:vAlign w:val="center"/>
          </w:tcPr>
          <w:p w14:paraId="0FAC78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排放量/kg/h</w:t>
            </w:r>
          </w:p>
        </w:tc>
        <w:tc>
          <w:tcPr>
            <w:tcW w:w="321" w:type="pct"/>
            <w:vMerge w:val="continue"/>
            <w:vAlign w:val="center"/>
          </w:tcPr>
          <w:p w14:paraId="796D99BF">
            <w:pPr>
              <w:pStyle w:val="146"/>
              <w:rPr>
                <w:rFonts w:hint="default" w:ascii="Times New Roman" w:hAnsi="Times New Roman" w:eastAsia="宋体" w:cs="Times New Roman"/>
                <w:color w:val="auto"/>
                <w:highlight w:val="none"/>
              </w:rPr>
            </w:pPr>
          </w:p>
        </w:tc>
      </w:tr>
      <w:tr w14:paraId="143F40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284" w:type="pct"/>
            <w:vMerge w:val="restart"/>
            <w:vAlign w:val="center"/>
          </w:tcPr>
          <w:p w14:paraId="6FF86744">
            <w:pPr>
              <w:pStyle w:val="146"/>
              <w:rPr>
                <w:rFonts w:hint="default"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堆肥过程</w:t>
            </w:r>
          </w:p>
        </w:tc>
        <w:tc>
          <w:tcPr>
            <w:tcW w:w="256" w:type="pct"/>
            <w:vMerge w:val="restart"/>
            <w:vAlign w:val="center"/>
          </w:tcPr>
          <w:p w14:paraId="0B400103">
            <w:pPr>
              <w:pStyle w:val="146"/>
              <w:rPr>
                <w:rFonts w:hint="eastAsia" w:ascii="Times New Roman" w:hAnsi="Times New Roman" w:eastAsia="宋体" w:cs="Times New Roman"/>
                <w:color w:val="auto"/>
                <w:highlight w:val="none"/>
                <w:lang w:eastAsia="zh-CN"/>
              </w:rPr>
            </w:pPr>
            <w:r>
              <w:rPr>
                <w:rFonts w:hint="eastAsia" w:eastAsia="宋体" w:cs="Times New Roman"/>
                <w:snapToGrid w:val="0"/>
                <w:color w:val="auto"/>
                <w:highlight w:val="none"/>
                <w:lang w:val="en-US" w:eastAsia="zh-CN"/>
              </w:rPr>
              <w:t>堆肥间</w:t>
            </w:r>
          </w:p>
        </w:tc>
        <w:tc>
          <w:tcPr>
            <w:tcW w:w="256" w:type="pct"/>
            <w:vMerge w:val="restart"/>
            <w:vAlign w:val="center"/>
          </w:tcPr>
          <w:p w14:paraId="3F70CF19">
            <w:pPr>
              <w:pStyle w:val="146"/>
              <w:rPr>
                <w:rFonts w:hint="eastAsia"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有组织</w:t>
            </w:r>
          </w:p>
        </w:tc>
        <w:tc>
          <w:tcPr>
            <w:tcW w:w="354" w:type="pct"/>
            <w:vAlign w:val="center"/>
          </w:tcPr>
          <w:p w14:paraId="65DA7F3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256" w:type="pct"/>
            <w:vMerge w:val="restart"/>
            <w:vAlign w:val="center"/>
          </w:tcPr>
          <w:p w14:paraId="7F56103D">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系数法</w:t>
            </w:r>
          </w:p>
        </w:tc>
        <w:tc>
          <w:tcPr>
            <w:tcW w:w="794" w:type="dxa"/>
            <w:vAlign w:val="center"/>
          </w:tcPr>
          <w:p w14:paraId="37A9188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4.182 </w:t>
            </w:r>
          </w:p>
        </w:tc>
        <w:tc>
          <w:tcPr>
            <w:tcW w:w="794" w:type="dxa"/>
            <w:vAlign w:val="center"/>
          </w:tcPr>
          <w:p w14:paraId="294A90AA">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0.477 </w:t>
            </w:r>
          </w:p>
        </w:tc>
        <w:tc>
          <w:tcPr>
            <w:tcW w:w="938" w:type="pct"/>
            <w:gridSpan w:val="2"/>
            <w:vAlign w:val="center"/>
          </w:tcPr>
          <w:p w14:paraId="685669D1">
            <w:pPr>
              <w:pStyle w:val="146"/>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highlight w:val="none"/>
                <w:lang w:val="en-US" w:eastAsia="zh-CN"/>
              </w:rPr>
              <w:t>恶臭污染物收集（收集率为95%），活性炭吸附，去除效率90%</w:t>
            </w:r>
          </w:p>
        </w:tc>
        <w:tc>
          <w:tcPr>
            <w:tcW w:w="256" w:type="pct"/>
            <w:vMerge w:val="restart"/>
            <w:vAlign w:val="center"/>
          </w:tcPr>
          <w:p w14:paraId="291E753D">
            <w:pPr>
              <w:pStyle w:val="146"/>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系数法</w:t>
            </w:r>
          </w:p>
        </w:tc>
        <w:tc>
          <w:tcPr>
            <w:tcW w:w="794" w:type="dxa"/>
            <w:vAlign w:val="center"/>
          </w:tcPr>
          <w:p w14:paraId="5DD58F0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w:t>
            </w:r>
            <w:r>
              <w:rPr>
                <w:rFonts w:hint="eastAsia" w:eastAsia="宋体" w:cs="Times New Roman"/>
                <w:color w:val="auto"/>
                <w:kern w:val="0"/>
                <w:sz w:val="21"/>
                <w:szCs w:val="20"/>
                <w:highlight w:val="none"/>
                <w:lang w:val="en-US" w:eastAsia="zh-CN" w:bidi="ar-SA"/>
              </w:rPr>
              <w:t>394</w:t>
            </w:r>
            <w:r>
              <w:rPr>
                <w:rFonts w:hint="eastAsia" w:ascii="Times New Roman" w:hAnsi="Times New Roman" w:eastAsia="宋体" w:cs="Times New Roman"/>
                <w:color w:val="auto"/>
                <w:kern w:val="0"/>
                <w:sz w:val="21"/>
                <w:szCs w:val="20"/>
                <w:highlight w:val="none"/>
                <w:lang w:val="en-US" w:eastAsia="zh-CN" w:bidi="ar-SA"/>
              </w:rPr>
              <w:t xml:space="preserve"> </w:t>
            </w:r>
          </w:p>
        </w:tc>
        <w:tc>
          <w:tcPr>
            <w:tcW w:w="1065" w:type="dxa"/>
            <w:vAlign w:val="center"/>
          </w:tcPr>
          <w:p w14:paraId="7A95B4F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w:t>
            </w:r>
            <w:r>
              <w:rPr>
                <w:rFonts w:hint="eastAsia" w:eastAsia="宋体" w:cs="Times New Roman"/>
                <w:color w:val="auto"/>
                <w:kern w:val="0"/>
                <w:sz w:val="21"/>
                <w:szCs w:val="20"/>
                <w:highlight w:val="none"/>
                <w:lang w:val="en-US" w:eastAsia="zh-CN" w:bidi="ar-SA"/>
              </w:rPr>
              <w:t>45</w:t>
            </w:r>
          </w:p>
        </w:tc>
        <w:tc>
          <w:tcPr>
            <w:tcW w:w="321" w:type="pct"/>
            <w:vMerge w:val="restart"/>
            <w:vAlign w:val="center"/>
          </w:tcPr>
          <w:p w14:paraId="208FEC5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highlight w:val="none"/>
              </w:rPr>
              <w:t>8760</w:t>
            </w:r>
            <w:r>
              <w:rPr>
                <w:rFonts w:hint="default" w:ascii="Times New Roman" w:hAnsi="Times New Roman" w:eastAsia="宋体" w:cs="Times New Roman"/>
                <w:color w:val="auto"/>
                <w:highlight w:val="none"/>
              </w:rPr>
              <w:t>h</w:t>
            </w:r>
          </w:p>
        </w:tc>
      </w:tr>
      <w:tr w14:paraId="1880C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284" w:type="pct"/>
            <w:vMerge w:val="continue"/>
            <w:vAlign w:val="center"/>
          </w:tcPr>
          <w:p w14:paraId="78A9B693">
            <w:pPr>
              <w:pStyle w:val="146"/>
              <w:rPr>
                <w:rFonts w:hint="default" w:ascii="Times New Roman" w:hAnsi="Times New Roman" w:eastAsia="宋体" w:cs="Times New Roman"/>
                <w:color w:val="auto"/>
                <w:highlight w:val="none"/>
              </w:rPr>
            </w:pPr>
          </w:p>
        </w:tc>
        <w:tc>
          <w:tcPr>
            <w:tcW w:w="256" w:type="pct"/>
            <w:vMerge w:val="continue"/>
            <w:vAlign w:val="center"/>
          </w:tcPr>
          <w:p w14:paraId="7A4C056B">
            <w:pPr>
              <w:pStyle w:val="146"/>
              <w:rPr>
                <w:rFonts w:hint="default" w:ascii="Times New Roman" w:hAnsi="Times New Roman" w:eastAsia="宋体" w:cs="Times New Roman"/>
                <w:color w:val="auto"/>
                <w:highlight w:val="none"/>
              </w:rPr>
            </w:pPr>
          </w:p>
        </w:tc>
        <w:tc>
          <w:tcPr>
            <w:tcW w:w="256" w:type="pct"/>
            <w:vMerge w:val="continue"/>
            <w:vAlign w:val="center"/>
          </w:tcPr>
          <w:p w14:paraId="766AFC79">
            <w:pPr>
              <w:pStyle w:val="146"/>
              <w:rPr>
                <w:rFonts w:hint="default" w:ascii="Times New Roman" w:hAnsi="Times New Roman" w:eastAsia="宋体" w:cs="Times New Roman"/>
                <w:color w:val="auto"/>
                <w:highlight w:val="none"/>
              </w:rPr>
            </w:pPr>
          </w:p>
        </w:tc>
        <w:tc>
          <w:tcPr>
            <w:tcW w:w="354" w:type="pct"/>
            <w:vAlign w:val="center"/>
          </w:tcPr>
          <w:p w14:paraId="050F936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256" w:type="pct"/>
            <w:vMerge w:val="continue"/>
            <w:vAlign w:val="center"/>
          </w:tcPr>
          <w:p w14:paraId="0BA7C84A">
            <w:pPr>
              <w:pStyle w:val="146"/>
              <w:rPr>
                <w:rFonts w:hint="default" w:ascii="Times New Roman" w:hAnsi="Times New Roman" w:eastAsia="宋体" w:cs="Times New Roman"/>
                <w:color w:val="auto"/>
                <w:highlight w:val="none"/>
              </w:rPr>
            </w:pPr>
          </w:p>
        </w:tc>
        <w:tc>
          <w:tcPr>
            <w:tcW w:w="794" w:type="dxa"/>
            <w:vAlign w:val="center"/>
          </w:tcPr>
          <w:p w14:paraId="2C75A36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0.419 </w:t>
            </w:r>
          </w:p>
        </w:tc>
        <w:tc>
          <w:tcPr>
            <w:tcW w:w="794" w:type="dxa"/>
            <w:vAlign w:val="center"/>
          </w:tcPr>
          <w:p w14:paraId="643687EB">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0.048 </w:t>
            </w:r>
          </w:p>
        </w:tc>
        <w:tc>
          <w:tcPr>
            <w:tcW w:w="938" w:type="pct"/>
            <w:gridSpan w:val="2"/>
            <w:shd w:val="clear" w:color="auto" w:fill="auto"/>
            <w:vAlign w:val="center"/>
          </w:tcPr>
          <w:p w14:paraId="11701EC4">
            <w:pPr>
              <w:pStyle w:val="146"/>
              <w:rPr>
                <w:rFonts w:hint="default" w:ascii="Times New Roman" w:hAnsi="Times New Roman" w:eastAsia="仿宋"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highlight w:val="none"/>
                <w:lang w:val="en-US" w:eastAsia="zh-CN"/>
              </w:rPr>
              <w:t>恶臭污染物收集（收集率为95%），活性炭吸附，去除效率90%</w:t>
            </w:r>
          </w:p>
        </w:tc>
        <w:tc>
          <w:tcPr>
            <w:tcW w:w="256" w:type="pct"/>
            <w:vMerge w:val="continue"/>
            <w:vAlign w:val="center"/>
          </w:tcPr>
          <w:p w14:paraId="473F8C3F">
            <w:pPr>
              <w:pStyle w:val="146"/>
              <w:rPr>
                <w:rFonts w:hint="default" w:ascii="Times New Roman" w:hAnsi="Times New Roman" w:eastAsia="宋体" w:cs="Times New Roman"/>
                <w:color w:val="auto"/>
                <w:highlight w:val="none"/>
              </w:rPr>
            </w:pPr>
          </w:p>
        </w:tc>
        <w:tc>
          <w:tcPr>
            <w:tcW w:w="794" w:type="dxa"/>
            <w:shd w:val="clear" w:color="auto" w:fill="auto"/>
            <w:vAlign w:val="center"/>
          </w:tcPr>
          <w:p w14:paraId="27292CEB">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w:t>
            </w:r>
            <w:r>
              <w:rPr>
                <w:rFonts w:hint="eastAsia" w:eastAsia="宋体" w:cs="Times New Roman"/>
                <w:color w:val="auto"/>
                <w:kern w:val="0"/>
                <w:sz w:val="21"/>
                <w:szCs w:val="20"/>
                <w:highlight w:val="none"/>
                <w:lang w:val="en-US" w:eastAsia="zh-CN" w:bidi="ar-SA"/>
              </w:rPr>
              <w:t>40</w:t>
            </w:r>
          </w:p>
        </w:tc>
        <w:tc>
          <w:tcPr>
            <w:tcW w:w="1065" w:type="dxa"/>
            <w:shd w:val="clear" w:color="auto" w:fill="auto"/>
            <w:vAlign w:val="center"/>
          </w:tcPr>
          <w:p w14:paraId="5CA2AD7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0.00</w:t>
            </w:r>
            <w:r>
              <w:rPr>
                <w:rFonts w:hint="eastAsia" w:eastAsia="宋体" w:cs="Times New Roman"/>
                <w:color w:val="auto"/>
                <w:kern w:val="0"/>
                <w:sz w:val="21"/>
                <w:szCs w:val="20"/>
                <w:highlight w:val="none"/>
                <w:lang w:val="en-US" w:eastAsia="zh-CN" w:bidi="ar-SA"/>
              </w:rPr>
              <w:t>456</w:t>
            </w:r>
          </w:p>
        </w:tc>
        <w:tc>
          <w:tcPr>
            <w:tcW w:w="321" w:type="pct"/>
            <w:vMerge w:val="continue"/>
            <w:vAlign w:val="center"/>
          </w:tcPr>
          <w:p w14:paraId="0A8619E9">
            <w:pPr>
              <w:pStyle w:val="146"/>
              <w:rPr>
                <w:rFonts w:hint="default" w:ascii="Times New Roman" w:hAnsi="Times New Roman" w:eastAsia="宋体" w:cs="Times New Roman"/>
                <w:color w:val="auto"/>
                <w:highlight w:val="none"/>
              </w:rPr>
            </w:pPr>
          </w:p>
        </w:tc>
      </w:tr>
      <w:tr w14:paraId="498D59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284" w:type="pct"/>
            <w:vMerge w:val="continue"/>
            <w:vAlign w:val="center"/>
          </w:tcPr>
          <w:p w14:paraId="1D6A827E">
            <w:pPr>
              <w:pStyle w:val="146"/>
              <w:rPr>
                <w:rFonts w:hint="default" w:ascii="Times New Roman" w:hAnsi="Times New Roman" w:eastAsia="宋体" w:cs="Times New Roman"/>
                <w:color w:val="auto"/>
                <w:highlight w:val="none"/>
              </w:rPr>
            </w:pPr>
          </w:p>
        </w:tc>
        <w:tc>
          <w:tcPr>
            <w:tcW w:w="256" w:type="pct"/>
            <w:vMerge w:val="continue"/>
            <w:vAlign w:val="center"/>
          </w:tcPr>
          <w:p w14:paraId="302C7E7B">
            <w:pPr>
              <w:pStyle w:val="146"/>
              <w:rPr>
                <w:rFonts w:hint="default" w:ascii="Times New Roman" w:hAnsi="Times New Roman" w:eastAsia="宋体" w:cs="Times New Roman"/>
                <w:color w:val="auto"/>
                <w:highlight w:val="none"/>
              </w:rPr>
            </w:pPr>
          </w:p>
        </w:tc>
        <w:tc>
          <w:tcPr>
            <w:tcW w:w="256" w:type="pct"/>
            <w:vMerge w:val="restart"/>
            <w:vAlign w:val="center"/>
          </w:tcPr>
          <w:p w14:paraId="06AC559A">
            <w:pPr>
              <w:pStyle w:val="146"/>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无组织</w:t>
            </w:r>
          </w:p>
        </w:tc>
        <w:tc>
          <w:tcPr>
            <w:tcW w:w="354" w:type="pct"/>
            <w:shd w:val="clear" w:color="auto" w:fill="auto"/>
            <w:vAlign w:val="center"/>
          </w:tcPr>
          <w:p w14:paraId="777F3AB7">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256" w:type="pct"/>
            <w:vMerge w:val="continue"/>
            <w:vAlign w:val="center"/>
          </w:tcPr>
          <w:p w14:paraId="3EC4EB17">
            <w:pPr>
              <w:pStyle w:val="146"/>
              <w:rPr>
                <w:rFonts w:hint="default" w:ascii="Times New Roman" w:hAnsi="Times New Roman" w:eastAsia="宋体" w:cs="Times New Roman"/>
                <w:color w:val="auto"/>
                <w:highlight w:val="none"/>
              </w:rPr>
            </w:pPr>
          </w:p>
        </w:tc>
        <w:tc>
          <w:tcPr>
            <w:tcW w:w="794" w:type="dxa"/>
            <w:vAlign w:val="center"/>
          </w:tcPr>
          <w:p w14:paraId="6EDAFEB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0.209 </w:t>
            </w:r>
          </w:p>
        </w:tc>
        <w:tc>
          <w:tcPr>
            <w:tcW w:w="794" w:type="dxa"/>
            <w:vAlign w:val="center"/>
          </w:tcPr>
          <w:p w14:paraId="32539AC0">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0.024 </w:t>
            </w:r>
          </w:p>
        </w:tc>
        <w:tc>
          <w:tcPr>
            <w:tcW w:w="938" w:type="pct"/>
            <w:gridSpan w:val="2"/>
            <w:shd w:val="clear" w:color="auto" w:fill="auto"/>
            <w:vAlign w:val="center"/>
          </w:tcPr>
          <w:p w14:paraId="7D1570E9">
            <w:pPr>
              <w:pStyle w:val="146"/>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喷洒除臭剂，去处效率</w:t>
            </w:r>
            <w:r>
              <w:rPr>
                <w:rFonts w:hint="eastAsia" w:ascii="Times New Roman" w:hAnsi="Times New Roman" w:eastAsia="宋体" w:cs="Times New Roman"/>
                <w:snapToGrid w:val="0"/>
                <w:color w:val="auto"/>
                <w:highlight w:val="none"/>
                <w:lang w:val="en-US" w:eastAsia="zh-CN"/>
              </w:rPr>
              <w:t>40</w:t>
            </w:r>
            <w:r>
              <w:rPr>
                <w:rFonts w:hint="default" w:ascii="Times New Roman" w:hAnsi="Times New Roman" w:eastAsia="宋体" w:cs="Times New Roman"/>
                <w:snapToGrid w:val="0"/>
                <w:color w:val="auto"/>
                <w:highlight w:val="none"/>
              </w:rPr>
              <w:t>%。</w:t>
            </w:r>
          </w:p>
        </w:tc>
        <w:tc>
          <w:tcPr>
            <w:tcW w:w="256" w:type="pct"/>
            <w:vMerge w:val="continue"/>
            <w:vAlign w:val="center"/>
          </w:tcPr>
          <w:p w14:paraId="235630DB">
            <w:pPr>
              <w:pStyle w:val="146"/>
              <w:rPr>
                <w:rFonts w:hint="default" w:ascii="Times New Roman" w:hAnsi="Times New Roman" w:eastAsia="宋体" w:cs="Times New Roman"/>
                <w:color w:val="auto"/>
                <w:highlight w:val="none"/>
              </w:rPr>
            </w:pPr>
          </w:p>
        </w:tc>
        <w:tc>
          <w:tcPr>
            <w:tcW w:w="794" w:type="dxa"/>
            <w:shd w:val="clear" w:color="auto" w:fill="auto"/>
            <w:vAlign w:val="center"/>
          </w:tcPr>
          <w:p w14:paraId="272050C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w:t>
            </w:r>
            <w:r>
              <w:rPr>
                <w:rFonts w:hint="eastAsia" w:eastAsia="宋体" w:cs="Times New Roman"/>
                <w:color w:val="auto"/>
                <w:kern w:val="0"/>
                <w:sz w:val="21"/>
                <w:szCs w:val="20"/>
                <w:highlight w:val="none"/>
                <w:lang w:val="en-US" w:eastAsia="zh-CN" w:bidi="ar-SA"/>
              </w:rPr>
              <w:t>126</w:t>
            </w:r>
            <w:r>
              <w:rPr>
                <w:rFonts w:hint="eastAsia" w:ascii="Times New Roman" w:hAnsi="Times New Roman" w:eastAsia="宋体" w:cs="Times New Roman"/>
                <w:color w:val="auto"/>
                <w:kern w:val="0"/>
                <w:sz w:val="21"/>
                <w:szCs w:val="20"/>
                <w:highlight w:val="none"/>
                <w:lang w:val="en-US" w:eastAsia="zh-CN" w:bidi="ar-SA"/>
              </w:rPr>
              <w:t xml:space="preserve"> </w:t>
            </w:r>
          </w:p>
        </w:tc>
        <w:tc>
          <w:tcPr>
            <w:tcW w:w="1065" w:type="dxa"/>
            <w:shd w:val="clear" w:color="auto" w:fill="auto"/>
            <w:vAlign w:val="center"/>
          </w:tcPr>
          <w:p w14:paraId="7B3F897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w:t>
            </w:r>
            <w:r>
              <w:rPr>
                <w:rFonts w:hint="eastAsia" w:eastAsia="宋体" w:cs="Times New Roman"/>
                <w:color w:val="auto"/>
                <w:kern w:val="0"/>
                <w:sz w:val="21"/>
                <w:szCs w:val="20"/>
                <w:highlight w:val="none"/>
                <w:lang w:val="en-US" w:eastAsia="zh-CN" w:bidi="ar-SA"/>
              </w:rPr>
              <w:t>144</w:t>
            </w:r>
          </w:p>
        </w:tc>
        <w:tc>
          <w:tcPr>
            <w:tcW w:w="321" w:type="pct"/>
            <w:vMerge w:val="continue"/>
            <w:vAlign w:val="center"/>
          </w:tcPr>
          <w:p w14:paraId="5A3DCB0B">
            <w:pPr>
              <w:pStyle w:val="146"/>
              <w:rPr>
                <w:rFonts w:hint="default" w:ascii="Times New Roman" w:hAnsi="Times New Roman" w:eastAsia="宋体" w:cs="Times New Roman"/>
                <w:color w:val="auto"/>
                <w:highlight w:val="none"/>
              </w:rPr>
            </w:pPr>
          </w:p>
        </w:tc>
      </w:tr>
      <w:tr w14:paraId="379A9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284" w:type="pct"/>
            <w:vMerge w:val="continue"/>
            <w:vAlign w:val="center"/>
          </w:tcPr>
          <w:p w14:paraId="3C30485C">
            <w:pPr>
              <w:pStyle w:val="146"/>
              <w:rPr>
                <w:rFonts w:hint="default" w:ascii="Times New Roman" w:hAnsi="Times New Roman" w:eastAsia="宋体" w:cs="Times New Roman"/>
                <w:color w:val="auto"/>
                <w:highlight w:val="none"/>
              </w:rPr>
            </w:pPr>
          </w:p>
        </w:tc>
        <w:tc>
          <w:tcPr>
            <w:tcW w:w="256" w:type="pct"/>
            <w:vMerge w:val="continue"/>
            <w:vAlign w:val="center"/>
          </w:tcPr>
          <w:p w14:paraId="3BC7C443">
            <w:pPr>
              <w:pStyle w:val="146"/>
              <w:rPr>
                <w:rFonts w:hint="default" w:ascii="Times New Roman" w:hAnsi="Times New Roman" w:eastAsia="宋体" w:cs="Times New Roman"/>
                <w:color w:val="auto"/>
                <w:highlight w:val="none"/>
              </w:rPr>
            </w:pPr>
          </w:p>
        </w:tc>
        <w:tc>
          <w:tcPr>
            <w:tcW w:w="256" w:type="pct"/>
            <w:vMerge w:val="continue"/>
            <w:vAlign w:val="center"/>
          </w:tcPr>
          <w:p w14:paraId="55D4D915">
            <w:pPr>
              <w:pStyle w:val="146"/>
              <w:rPr>
                <w:rFonts w:hint="default" w:ascii="Times New Roman" w:hAnsi="Times New Roman" w:eastAsia="宋体" w:cs="Times New Roman"/>
                <w:color w:val="auto"/>
                <w:highlight w:val="none"/>
              </w:rPr>
            </w:pPr>
          </w:p>
        </w:tc>
        <w:tc>
          <w:tcPr>
            <w:tcW w:w="354" w:type="pct"/>
            <w:shd w:val="clear" w:color="auto" w:fill="auto"/>
            <w:vAlign w:val="center"/>
          </w:tcPr>
          <w:p w14:paraId="5FB17DA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256" w:type="pct"/>
            <w:vMerge w:val="continue"/>
            <w:vAlign w:val="center"/>
          </w:tcPr>
          <w:p w14:paraId="2E925D73">
            <w:pPr>
              <w:pStyle w:val="146"/>
              <w:rPr>
                <w:rFonts w:hint="default" w:ascii="Times New Roman" w:hAnsi="Times New Roman" w:eastAsia="宋体" w:cs="Times New Roman"/>
                <w:color w:val="auto"/>
                <w:highlight w:val="none"/>
              </w:rPr>
            </w:pPr>
          </w:p>
        </w:tc>
        <w:tc>
          <w:tcPr>
            <w:tcW w:w="794" w:type="dxa"/>
            <w:vAlign w:val="center"/>
          </w:tcPr>
          <w:p w14:paraId="2844B37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0.021 </w:t>
            </w:r>
          </w:p>
        </w:tc>
        <w:tc>
          <w:tcPr>
            <w:tcW w:w="794" w:type="dxa"/>
            <w:vAlign w:val="center"/>
          </w:tcPr>
          <w:p w14:paraId="5B49219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 xml:space="preserve">0.002 </w:t>
            </w:r>
          </w:p>
        </w:tc>
        <w:tc>
          <w:tcPr>
            <w:tcW w:w="938" w:type="pct"/>
            <w:gridSpan w:val="2"/>
            <w:shd w:val="clear" w:color="auto" w:fill="auto"/>
            <w:vAlign w:val="center"/>
          </w:tcPr>
          <w:p w14:paraId="074C4ED8">
            <w:pPr>
              <w:pStyle w:val="146"/>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喷洒除臭剂，去处效率89%。</w:t>
            </w:r>
          </w:p>
        </w:tc>
        <w:tc>
          <w:tcPr>
            <w:tcW w:w="256" w:type="pct"/>
            <w:vMerge w:val="continue"/>
            <w:vAlign w:val="center"/>
          </w:tcPr>
          <w:p w14:paraId="662A05A7">
            <w:pPr>
              <w:pStyle w:val="146"/>
              <w:rPr>
                <w:rFonts w:hint="default" w:ascii="Times New Roman" w:hAnsi="Times New Roman" w:eastAsia="宋体" w:cs="Times New Roman"/>
                <w:color w:val="auto"/>
                <w:highlight w:val="none"/>
              </w:rPr>
            </w:pPr>
          </w:p>
        </w:tc>
        <w:tc>
          <w:tcPr>
            <w:tcW w:w="478" w:type="pct"/>
            <w:shd w:val="clear" w:color="auto" w:fill="auto"/>
            <w:vAlign w:val="center"/>
          </w:tcPr>
          <w:p w14:paraId="135D0D0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0.00</w:t>
            </w:r>
            <w:r>
              <w:rPr>
                <w:rFonts w:hint="eastAsia" w:eastAsia="宋体" w:cs="Times New Roman"/>
                <w:color w:val="auto"/>
                <w:kern w:val="0"/>
                <w:sz w:val="21"/>
                <w:szCs w:val="20"/>
                <w:highlight w:val="none"/>
                <w:lang w:val="en-US" w:eastAsia="zh-CN" w:bidi="ar-SA"/>
              </w:rPr>
              <w:t>19</w:t>
            </w:r>
          </w:p>
        </w:tc>
        <w:tc>
          <w:tcPr>
            <w:tcW w:w="640" w:type="pct"/>
            <w:shd w:val="clear" w:color="auto" w:fill="auto"/>
            <w:vAlign w:val="center"/>
          </w:tcPr>
          <w:p w14:paraId="40C75609">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w:t>
            </w:r>
            <w:r>
              <w:rPr>
                <w:rFonts w:hint="eastAsia" w:eastAsia="宋体" w:cs="Times New Roman"/>
                <w:color w:val="auto"/>
                <w:kern w:val="0"/>
                <w:sz w:val="21"/>
                <w:szCs w:val="20"/>
                <w:highlight w:val="none"/>
                <w:lang w:val="en-US" w:eastAsia="zh-CN" w:bidi="ar-SA"/>
              </w:rPr>
              <w:t>.2</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-4</w:t>
            </w:r>
          </w:p>
        </w:tc>
        <w:tc>
          <w:tcPr>
            <w:tcW w:w="321" w:type="pct"/>
            <w:vMerge w:val="continue"/>
            <w:vAlign w:val="center"/>
          </w:tcPr>
          <w:p w14:paraId="20CEA949">
            <w:pPr>
              <w:pStyle w:val="146"/>
              <w:rPr>
                <w:rFonts w:hint="default" w:ascii="Times New Roman" w:hAnsi="Times New Roman" w:eastAsia="宋体" w:cs="Times New Roman"/>
                <w:color w:val="auto"/>
                <w:highlight w:val="none"/>
              </w:rPr>
            </w:pPr>
          </w:p>
        </w:tc>
      </w:tr>
    </w:tbl>
    <w:p w14:paraId="48844FBB">
      <w:pPr>
        <w:keepNext w:val="0"/>
        <w:keepLines w:val="0"/>
        <w:pageBreakBefore w:val="0"/>
        <w:kinsoku/>
        <w:wordWrap/>
        <w:overflowPunct/>
        <w:topLinePunct w:val="0"/>
        <w:autoSpaceDE/>
        <w:autoSpaceDN/>
        <w:bidi w:val="0"/>
        <w:adjustRightInd w:val="0"/>
        <w:snapToGrid w:val="0"/>
        <w:spacing w:before="118" w:line="500" w:lineRule="atLeast"/>
        <w:textAlignment w:val="auto"/>
        <w:rPr>
          <w:rFonts w:hint="eastAsia" w:ascii="宋体" w:hAnsi="宋体" w:eastAsia="宋体" w:cs="宋体"/>
          <w:color w:val="auto"/>
          <w:sz w:val="24"/>
          <w:szCs w:val="24"/>
          <w:highlight w:val="none"/>
          <w:lang w:eastAsia="zh-CN"/>
        </w:rPr>
      </w:pPr>
      <w:r>
        <w:rPr>
          <w:rFonts w:ascii="宋体" w:hAnsi="宋体" w:eastAsia="宋体" w:cs="宋体"/>
          <w:color w:val="auto"/>
          <w:spacing w:val="-3"/>
          <w:sz w:val="24"/>
          <w:szCs w:val="24"/>
          <w:highlight w:val="none"/>
        </w:rPr>
        <w:t>（</w:t>
      </w:r>
      <w:r>
        <w:rPr>
          <w:rFonts w:hint="eastAsia" w:eastAsia="宋体" w:cs="Times New Roman"/>
          <w:color w:val="auto"/>
          <w:spacing w:val="-3"/>
          <w:sz w:val="24"/>
          <w:szCs w:val="24"/>
          <w:highlight w:val="none"/>
          <w:lang w:val="en-US" w:eastAsia="zh-CN"/>
        </w:rPr>
        <w:t>2</w:t>
      </w:r>
      <w:r>
        <w:rPr>
          <w:rFonts w:ascii="宋体" w:hAnsi="宋体" w:eastAsia="宋体" w:cs="宋体"/>
          <w:color w:val="auto"/>
          <w:spacing w:val="-3"/>
          <w:sz w:val="24"/>
          <w:szCs w:val="24"/>
          <w:highlight w:val="none"/>
        </w:rPr>
        <w:t>）堆肥车间颗粒物</w:t>
      </w:r>
    </w:p>
    <w:p w14:paraId="1315EEF5">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rFonts w:ascii="宋体" w:hAnsi="宋体" w:eastAsia="宋体" w:cs="宋体"/>
          <w:color w:val="auto"/>
          <w:spacing w:val="-1"/>
          <w:sz w:val="24"/>
          <w:szCs w:val="24"/>
          <w:highlight w:val="none"/>
        </w:rPr>
      </w:pPr>
      <w:r>
        <w:rPr>
          <w:rFonts w:ascii="宋体" w:hAnsi="宋体" w:eastAsia="宋体" w:cs="宋体"/>
          <w:color w:val="auto"/>
          <w:spacing w:val="3"/>
          <w:sz w:val="24"/>
          <w:szCs w:val="24"/>
          <w:highlight w:val="none"/>
        </w:rPr>
        <w:t>本项目</w:t>
      </w:r>
      <w:r>
        <w:rPr>
          <w:rFonts w:hint="eastAsia" w:ascii="宋体" w:hAnsi="宋体" w:eastAsia="宋体" w:cs="宋体"/>
          <w:color w:val="auto"/>
          <w:spacing w:val="3"/>
          <w:sz w:val="24"/>
          <w:szCs w:val="24"/>
          <w:highlight w:val="none"/>
          <w:lang w:val="en-US" w:eastAsia="zh-CN"/>
        </w:rPr>
        <w:t>牛</w:t>
      </w:r>
      <w:r>
        <w:rPr>
          <w:rFonts w:ascii="宋体" w:hAnsi="宋体" w:eastAsia="宋体" w:cs="宋体"/>
          <w:color w:val="auto"/>
          <w:spacing w:val="3"/>
          <w:sz w:val="24"/>
          <w:szCs w:val="24"/>
          <w:highlight w:val="none"/>
        </w:rPr>
        <w:t>粪采用好氧堆肥工艺处理，堆肥过程需通过翻抛</w:t>
      </w:r>
      <w:r>
        <w:rPr>
          <w:rFonts w:ascii="宋体" w:hAnsi="宋体" w:eastAsia="宋体" w:cs="宋体"/>
          <w:color w:val="auto"/>
          <w:spacing w:val="2"/>
          <w:sz w:val="24"/>
          <w:szCs w:val="24"/>
          <w:highlight w:val="none"/>
        </w:rPr>
        <w:t>设备对堆体进行定</w:t>
      </w:r>
      <w:r>
        <w:rPr>
          <w:rFonts w:ascii="宋体" w:hAnsi="宋体" w:eastAsia="宋体" w:cs="宋体"/>
          <w:color w:val="auto"/>
          <w:spacing w:val="3"/>
          <w:sz w:val="24"/>
          <w:szCs w:val="24"/>
          <w:highlight w:val="none"/>
        </w:rPr>
        <w:t>期翻堆作业，以保障物料供氧均匀、发酵充分。在</w:t>
      </w:r>
      <w:r>
        <w:rPr>
          <w:rFonts w:ascii="宋体" w:hAnsi="宋体" w:eastAsia="宋体" w:cs="宋体"/>
          <w:color w:val="auto"/>
          <w:spacing w:val="2"/>
          <w:sz w:val="24"/>
          <w:szCs w:val="24"/>
          <w:highlight w:val="none"/>
        </w:rPr>
        <w:t>翻堆、抛撒、推移等机械作业</w:t>
      </w:r>
      <w:r>
        <w:rPr>
          <w:rFonts w:ascii="宋体" w:hAnsi="宋体" w:eastAsia="宋体" w:cs="宋体"/>
          <w:color w:val="auto"/>
          <w:spacing w:val="3"/>
          <w:sz w:val="24"/>
          <w:szCs w:val="24"/>
          <w:highlight w:val="none"/>
        </w:rPr>
        <w:t>环节，堆体物料受机械扰动、破碎及气流夹带作用</w:t>
      </w:r>
      <w:r>
        <w:rPr>
          <w:rFonts w:ascii="宋体" w:hAnsi="宋体" w:eastAsia="宋体" w:cs="宋体"/>
          <w:color w:val="auto"/>
          <w:spacing w:val="2"/>
          <w:sz w:val="24"/>
          <w:szCs w:val="24"/>
          <w:highlight w:val="none"/>
        </w:rPr>
        <w:t>，会产生颗粒物。项目采取控</w:t>
      </w:r>
      <w:r>
        <w:rPr>
          <w:rFonts w:ascii="宋体" w:hAnsi="宋体" w:eastAsia="宋体" w:cs="宋体"/>
          <w:color w:val="auto"/>
          <w:spacing w:val="3"/>
          <w:sz w:val="24"/>
          <w:szCs w:val="24"/>
          <w:highlight w:val="none"/>
        </w:rPr>
        <w:t>制堆肥含水率、密闭发酵车间、机械通风集气、优</w:t>
      </w:r>
      <w:r>
        <w:rPr>
          <w:rFonts w:ascii="宋体" w:hAnsi="宋体" w:eastAsia="宋体" w:cs="宋体"/>
          <w:color w:val="auto"/>
          <w:spacing w:val="2"/>
          <w:sz w:val="24"/>
          <w:szCs w:val="24"/>
          <w:highlight w:val="none"/>
        </w:rPr>
        <w:t>化翻堆作业时间等措施，可有</w:t>
      </w:r>
      <w:r>
        <w:rPr>
          <w:rFonts w:ascii="宋体" w:hAnsi="宋体" w:eastAsia="宋体" w:cs="宋体"/>
          <w:color w:val="auto"/>
          <w:sz w:val="24"/>
          <w:szCs w:val="24"/>
          <w:highlight w:val="none"/>
        </w:rPr>
        <w:t>效降低翻堆过程颗粒物的产生量，颗粒物的产生量较小</w:t>
      </w:r>
      <w:r>
        <w:rPr>
          <w:rFonts w:ascii="宋体" w:hAnsi="宋体" w:eastAsia="宋体" w:cs="宋体"/>
          <w:color w:val="auto"/>
          <w:spacing w:val="-1"/>
          <w:sz w:val="24"/>
          <w:szCs w:val="24"/>
          <w:highlight w:val="none"/>
        </w:rPr>
        <w:t>，对周围环境影响较小。</w:t>
      </w:r>
    </w:p>
    <w:p w14:paraId="0830C727">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500" w:lineRule="atLeast"/>
        <w:ind w:leftChars="200"/>
        <w:jc w:val="left"/>
        <w:textAlignment w:val="auto"/>
        <w:rPr>
          <w:rFonts w:hint="eastAsia" w:eastAsia="宋体" w:cs="Times New Roman"/>
          <w:color w:val="auto"/>
          <w:highlight w:val="none"/>
          <w:lang w:val="en-US" w:eastAsia="zh-CN"/>
        </w:rPr>
      </w:pPr>
      <w:r>
        <w:rPr>
          <w:rFonts w:hint="eastAsia" w:cs="Times New Roman"/>
          <w:color w:val="auto"/>
          <w:highlight w:val="none"/>
          <w:lang w:val="en-US" w:eastAsia="zh-CN"/>
        </w:rPr>
        <w:t>（3）</w:t>
      </w:r>
      <w:r>
        <w:rPr>
          <w:rFonts w:hint="eastAsia" w:eastAsia="宋体" w:cs="Times New Roman"/>
          <w:color w:val="auto"/>
          <w:highlight w:val="none"/>
          <w:lang w:val="en-US" w:eastAsia="zh-CN"/>
        </w:rPr>
        <w:t>储粪间、青贮窖异味</w:t>
      </w:r>
    </w:p>
    <w:p w14:paraId="0D4C9374">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line="500" w:lineRule="atLeast"/>
        <w:ind w:firstLine="480" w:firstLineChars="200"/>
        <w:jc w:val="left"/>
        <w:textAlignment w:val="auto"/>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储粪间用于存放冬季不能及时消纳于农田的腐熟固体粪肥，腐熟的固体粪肥颜色基</w:t>
      </w:r>
      <w:r>
        <w:rPr>
          <w:rFonts w:hint="eastAsia" w:ascii="Times New Roman" w:hAnsi="Times New Roman" w:eastAsia="宋体" w:cs="Times New Roman"/>
          <w:color w:val="auto"/>
          <w:highlight w:val="none"/>
          <w:lang w:val="en-US" w:eastAsia="zh-CN"/>
        </w:rPr>
        <w:t>本为褐色、深褐色或黑褐色，半干燥，疏松多孔，松软、均匀，呈粉状或粒状，无恶臭</w:t>
      </w:r>
      <w:r>
        <w:rPr>
          <w:rFonts w:hint="default" w:ascii="Times New Roman" w:hAnsi="Times New Roman" w:eastAsia="宋体" w:cs="Times New Roman"/>
          <w:color w:val="auto"/>
          <w:highlight w:val="none"/>
          <w:lang w:val="en-US" w:eastAsia="zh-CN"/>
        </w:rPr>
        <w:t>，略带泥土香或酵素的酸香</w:t>
      </w:r>
      <w:r>
        <w:rPr>
          <w:rFonts w:hint="eastAsia" w:ascii="Times New Roman" w:hAnsi="Times New Roman" w:eastAsia="宋体" w:cs="Times New Roman"/>
          <w:color w:val="auto"/>
          <w:highlight w:val="none"/>
          <w:lang w:val="en-US" w:eastAsia="zh-CN"/>
        </w:rPr>
        <w:t>，存放期间基本无异味产生，对周围环境不会产生较大影响。</w:t>
      </w:r>
    </w:p>
    <w:p w14:paraId="0D2B2908">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rFonts w:hint="eastAsia" w:ascii="宋体" w:hAnsi="宋体" w:eastAsia="宋体" w:cs="宋体"/>
          <w:color w:val="auto"/>
          <w:spacing w:val="-1"/>
          <w:sz w:val="24"/>
          <w:szCs w:val="24"/>
          <w:highlight w:val="none"/>
          <w:lang w:val="en-US" w:eastAsia="zh-CN"/>
        </w:rPr>
      </w:pPr>
      <w:r>
        <w:rPr>
          <w:rFonts w:hint="default" w:ascii="Times New Roman" w:hAnsi="Times New Roman" w:eastAsia="宋体" w:cs="Times New Roman"/>
          <w:color w:val="auto"/>
          <w:highlight w:val="none"/>
          <w:lang w:val="en-US" w:eastAsia="zh-CN"/>
        </w:rPr>
        <w:t>青贮窖用于制作和存放青贮饲料。正常密封发酵良好的青贮饲料，气味呈浓郁的酸香或酒香，无腐败恶臭。存放期间，只要保持窖体密封完好、顶部覆膜或覆土无破损、窖壁无渗漏，青贮窖基本无异味外溢，对周围环境不会产生明显影响。</w:t>
      </w:r>
    </w:p>
    <w:p w14:paraId="07F77F5D">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3.4.2.2废水污染源强核算</w:t>
      </w:r>
    </w:p>
    <w:p w14:paraId="61E1A4C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（1）养殖废水</w:t>
      </w:r>
    </w:p>
    <w:p w14:paraId="2AFA3088">
      <w:pPr>
        <w:pStyle w:val="67"/>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w:t>
      </w:r>
      <w:r>
        <w:rPr>
          <w:rFonts w:hint="default" w:ascii="Times New Roman" w:hAnsi="Times New Roman" w:eastAsia="宋体" w:cs="Times New Roman"/>
          <w:color w:val="auto"/>
          <w:highlight w:val="none"/>
          <w:lang w:val="en-US" w:eastAsia="zh-CN"/>
        </w:rPr>
        <w:t>肉</w:t>
      </w:r>
      <w:r>
        <w:rPr>
          <w:rFonts w:hint="default" w:ascii="Times New Roman" w:hAnsi="Times New Roman" w:eastAsia="宋体" w:cs="Times New Roman"/>
          <w:color w:val="auto"/>
          <w:highlight w:val="none"/>
        </w:rPr>
        <w:t>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存栏肉牛</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w:t>
      </w:r>
      <w:r>
        <w:rPr>
          <w:rFonts w:hint="default" w:ascii="Times New Roman" w:hAnsi="Times New Roman" w:eastAsia="宋体" w:cs="Times New Roman"/>
          <w:color w:val="auto"/>
          <w:highlight w:val="none"/>
        </w:rPr>
        <w:t>。根据《畜禽养殖业污染治理工程技术规范》</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"https://www.mee.gov.cn/ywgz/fgbz/bz/bzwb/other/hjbhgc/200910/W020111114548449997495.pdf"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（HJ497－2009）</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的资料性附录A“畜禽养殖废水水质和粪污产生量”，牛尿液量为10kg/</w:t>
      </w:r>
      <w:r>
        <w:rPr>
          <w:rFonts w:hint="default" w:ascii="Times New Roman" w:hAnsi="Times New Roman" w:eastAsia="宋体" w:cs="Times New Roman"/>
          <w:color w:val="auto"/>
          <w:highlight w:val="none"/>
          <w:lang w:val="en-US" w:eastAsia="zh-CN"/>
        </w:rPr>
        <w:t>头</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szCs w:val="24"/>
          <w:highlight w:val="none"/>
        </w:rPr>
        <w:t>，</w:t>
      </w:r>
      <w:r>
        <w:rPr>
          <w:rFonts w:hint="eastAsia" w:eastAsia="宋体" w:cs="Times New Roman"/>
          <w:color w:val="auto"/>
          <w:szCs w:val="24"/>
          <w:highlight w:val="none"/>
          <w:lang w:val="en-US" w:eastAsia="zh-CN"/>
        </w:rPr>
        <w:t>则本项目牛尿产生量为</w:t>
      </w:r>
      <w:r>
        <w:rPr>
          <w:rFonts w:hint="eastAsia" w:eastAsia="宋体" w:cs="Times New Roman"/>
          <w:color w:val="auto"/>
          <w:highlight w:val="none"/>
          <w:lang w:val="en-US" w:eastAsia="zh-CN"/>
        </w:rPr>
        <w:t>21900t/a，60t/d。</w:t>
      </w:r>
      <w:r>
        <w:rPr>
          <w:rFonts w:hint="default" w:ascii="Times New Roman" w:hAnsi="Times New Roman" w:eastAsia="宋体" w:cs="Times New Roman"/>
          <w:color w:val="auto"/>
          <w:sz w:val="24"/>
          <w:szCs w:val="24"/>
          <w:highlight w:val="none"/>
          <w:lang w:val="en-US" w:eastAsia="zh-CN"/>
        </w:rPr>
        <w:t>牛饮水大部分被牛只吸收，其余以牛尿形式排出，牛舍采用垫草垫料工艺，牛尿经垫草垫料吸收后，一部分转化为无臭气体（如二氧化碳、水蒸气等）蒸发，剩余被垫草吸收，牛尿液可实现零排放。</w:t>
      </w:r>
    </w:p>
    <w:p w14:paraId="60ED9D2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w:t>
      </w:r>
    </w:p>
    <w:p w14:paraId="2C5EE054">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在玉米秸秆青贮过程中将会有青贮渗滤液产生，根据《全株玉米青贮渗出液资源的开发利用》（陕西农业科学，2010（2），第98页），青贮渗滤液产生量约为172L/t青贮料。本项目玉米秸秆</w:t>
      </w:r>
      <w:r>
        <w:rPr>
          <w:rFonts w:hint="eastAsia" w:eastAsia="宋体" w:cs="Times New Roman"/>
          <w:color w:val="auto"/>
          <w:highlight w:val="none"/>
          <w:lang w:val="en-US" w:eastAsia="zh-CN"/>
        </w:rPr>
        <w:t>及青饲料</w:t>
      </w:r>
      <w:r>
        <w:rPr>
          <w:rFonts w:hint="default" w:ascii="Times New Roman" w:hAnsi="Times New Roman" w:eastAsia="宋体" w:cs="Times New Roman"/>
          <w:color w:val="auto"/>
          <w:highlight w:val="none"/>
        </w:rPr>
        <w:t>青贮</w:t>
      </w:r>
      <w:r>
        <w:rPr>
          <w:rFonts w:hint="eastAsia" w:eastAsia="宋体" w:cs="Times New Roman"/>
          <w:color w:val="auto"/>
          <w:highlight w:val="none"/>
          <w:lang w:val="en-US" w:eastAsia="zh-CN"/>
        </w:rPr>
        <w:t>总</w:t>
      </w:r>
      <w:r>
        <w:rPr>
          <w:rFonts w:hint="default" w:ascii="Times New Roman" w:hAnsi="Times New Roman" w:eastAsia="宋体" w:cs="Times New Roman"/>
          <w:color w:val="auto"/>
          <w:highlight w:val="none"/>
        </w:rPr>
        <w:t>量为</w:t>
      </w:r>
      <w:r>
        <w:rPr>
          <w:rFonts w:hint="eastAsia" w:eastAsia="宋体" w:cs="Times New Roman"/>
          <w:color w:val="auto"/>
          <w:highlight w:val="none"/>
          <w:lang w:val="en-US" w:eastAsia="zh-CN"/>
        </w:rPr>
        <w:t>96000</w:t>
      </w:r>
      <w:r>
        <w:rPr>
          <w:rFonts w:hint="default" w:ascii="Times New Roman" w:hAnsi="Times New Roman" w:eastAsia="宋体" w:cs="Times New Roman"/>
          <w:color w:val="auto"/>
          <w:highlight w:val="none"/>
        </w:rPr>
        <w:t>t/a，青贮时间约为30d，则青贮池渗滤液产生量为</w:t>
      </w:r>
      <w:r>
        <w:rPr>
          <w:rFonts w:hint="eastAsia" w:eastAsia="宋体" w:cs="Times New Roman"/>
          <w:color w:val="auto"/>
          <w:highlight w:val="none"/>
          <w:lang w:val="en-US" w:eastAsia="zh-CN"/>
        </w:rPr>
        <w:t>16512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eastAsia" w:eastAsia="宋体" w:cs="Times New Roman"/>
          <w:color w:val="auto"/>
          <w:highlight w:val="none"/>
          <w:lang w:val="en-US" w:eastAsia="zh-CN"/>
        </w:rPr>
        <w:t>45.2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/d。本项目在青贮窑底设置排水管道，渗滤液排入青贮液接收池中。采取将青贮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渗滤液与精料按比例配合饲喂肉牛，其味道酸甜，可促进食欲，但须随配随用，以免发霉。冬季不进行玉米秸秆青贮发酵生产，无渗滤液产生。</w:t>
      </w:r>
    </w:p>
    <w:p w14:paraId="3EC76F1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渗滤液</w:t>
      </w:r>
    </w:p>
    <w:p w14:paraId="6B54E7F4">
      <w:pPr>
        <w:pStyle w:val="67"/>
        <w:ind w:firstLine="480"/>
        <w:rPr>
          <w:rFonts w:hint="default"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本项目</w:t>
      </w:r>
      <w:r>
        <w:rPr>
          <w:rFonts w:hint="default" w:ascii="Times New Roman" w:hAnsi="Times New Roman" w:eastAsia="宋体" w:cs="Times New Roman"/>
          <w:color w:val="auto"/>
          <w:sz w:val="24"/>
          <w:szCs w:val="24"/>
          <w:highlight w:val="none"/>
          <w:lang w:eastAsia="zh-CN"/>
        </w:rPr>
        <w:t>废垫草垫料（含粪尿）产生量为</w:t>
      </w:r>
      <w:r>
        <w:rPr>
          <w:rFonts w:hint="eastAsia" w:cs="Times New Roman"/>
          <w:color w:val="auto"/>
          <w:sz w:val="24"/>
          <w:szCs w:val="24"/>
          <w:highlight w:val="none"/>
          <w:lang w:val="en-US" w:eastAsia="zh-CN"/>
        </w:rPr>
        <w:t>26018.2</w:t>
      </w:r>
      <w:r>
        <w:rPr>
          <w:rFonts w:hint="default" w:ascii="Times New Roman" w:hAnsi="Times New Roman" w:eastAsia="宋体" w:cs="Times New Roman"/>
          <w:color w:val="auto"/>
          <w:sz w:val="24"/>
          <w:szCs w:val="24"/>
          <w:highlight w:val="none"/>
          <w:lang w:val="en-US" w:eastAsia="zh-CN"/>
        </w:rPr>
        <w:t>t/a，</w:t>
      </w:r>
      <w:r>
        <w:rPr>
          <w:rFonts w:hint="eastAsia" w:ascii="Times New Roman" w:hAnsi="Times New Roman" w:eastAsia="宋体" w:cs="Times New Roman"/>
          <w:color w:val="auto"/>
          <w:sz w:val="24"/>
          <w:szCs w:val="24"/>
          <w:highlight w:val="none"/>
          <w:lang w:val="en-US" w:eastAsia="zh-CN"/>
        </w:rPr>
        <w:t>全部收集后运输至堆肥间进行好氧堆肥，</w:t>
      </w:r>
      <w:r>
        <w:rPr>
          <w:rFonts w:hint="default" w:ascii="Times New Roman" w:hAnsi="Times New Roman" w:eastAsia="宋体" w:cs="Times New Roman"/>
          <w:color w:val="auto"/>
          <w:highlight w:val="none"/>
          <w:lang w:val="en-US" w:eastAsia="zh-CN"/>
        </w:rPr>
        <w:t>堆肥间</w:t>
      </w:r>
      <w:r>
        <w:rPr>
          <w:rFonts w:hint="eastAsia" w:eastAsia="宋体" w:cs="Times New Roman"/>
          <w:color w:val="auto"/>
          <w:highlight w:val="none"/>
          <w:lang w:val="en-US" w:eastAsia="zh-CN"/>
        </w:rPr>
        <w:t>平均2天用翻堆机翻堆一次，</w:t>
      </w:r>
      <w:r>
        <w:rPr>
          <w:rFonts w:hint="default" w:ascii="Times New Roman" w:hAnsi="Times New Roman" w:eastAsia="宋体" w:cs="Times New Roman"/>
          <w:color w:val="auto"/>
          <w:highlight w:val="none"/>
        </w:rPr>
        <w:t>内部周围设置导流槽收集渗滤液</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设置一处渗滤液收集池（</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进行收集，依据企业经验值，结合</w:t>
      </w:r>
      <w:r>
        <w:rPr>
          <w:rFonts w:ascii="宋体" w:hAnsi="宋体" w:eastAsia="宋体" w:cs="宋体"/>
          <w:color w:val="auto"/>
          <w:sz w:val="24"/>
          <w:szCs w:val="24"/>
          <w:highlight w:val="none"/>
        </w:rPr>
        <w:t>本项目原料特性、堆肥工艺与防雨防渗措施，</w:t>
      </w:r>
      <w:r>
        <w:rPr>
          <w:rFonts w:hint="eastAsia" w:ascii="宋体" w:hAnsi="宋体" w:eastAsia="宋体" w:cs="宋体"/>
          <w:color w:val="auto"/>
          <w:sz w:val="24"/>
          <w:szCs w:val="24"/>
          <w:highlight w:val="none"/>
          <w:lang w:val="en-US" w:eastAsia="zh-CN"/>
        </w:rPr>
        <w:t>垫料中污水渗</w:t>
      </w:r>
      <w:r>
        <w:rPr>
          <w:rFonts w:hint="default" w:ascii="Times New Roman" w:hAnsi="Times New Roman" w:eastAsia="宋体" w:cs="Times New Roman"/>
          <w:color w:val="auto"/>
          <w:sz w:val="24"/>
          <w:szCs w:val="24"/>
          <w:highlight w:val="none"/>
          <w:lang w:val="en-US" w:eastAsia="zh-CN"/>
        </w:rPr>
        <w:t>透系数取值0.235m³/t原料。</w:t>
      </w:r>
      <w:r>
        <w:rPr>
          <w:rFonts w:hint="eastAsia" w:ascii="Times New Roman" w:hAnsi="Times New Roman" w:eastAsia="宋体" w:cs="Times New Roman"/>
          <w:color w:val="auto"/>
          <w:sz w:val="24"/>
          <w:szCs w:val="24"/>
          <w:highlight w:val="none"/>
          <w:lang w:val="en-US" w:eastAsia="zh-CN"/>
        </w:rPr>
        <w:t>则本项目堆肥间渗滤液产生量为</w:t>
      </w:r>
      <w:r>
        <w:rPr>
          <w:rFonts w:hint="eastAsia" w:eastAsia="宋体" w:cs="Times New Roman"/>
          <w:color w:val="auto"/>
          <w:sz w:val="24"/>
          <w:szCs w:val="24"/>
          <w:highlight w:val="none"/>
          <w:lang w:val="en-US" w:eastAsia="zh-CN"/>
        </w:rPr>
        <w:t>6114.3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/a，</w:t>
      </w:r>
      <w:r>
        <w:rPr>
          <w:rFonts w:hint="eastAsia" w:eastAsia="宋体" w:cs="Times New Roman"/>
          <w:color w:val="auto"/>
          <w:sz w:val="24"/>
          <w:szCs w:val="24"/>
          <w:highlight w:val="none"/>
          <w:lang w:val="en-US" w:eastAsia="zh-CN"/>
        </w:rPr>
        <w:t>16.8</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w:t>
      </w:r>
      <w:r>
        <w:rPr>
          <w:rFonts w:hint="eastAsia" w:eastAsia="宋体" w:cs="Times New Roman"/>
          <w:color w:val="auto"/>
          <w:sz w:val="24"/>
          <w:szCs w:val="24"/>
          <w:highlight w:val="none"/>
          <w:lang w:val="en-US" w:eastAsia="zh-CN"/>
        </w:rPr>
        <w:t>渗滤液来自固体粪肥好氧发酵期间沉淀而来的污水，其污染物浓度产生量参照丁京涛等（2020，农业工程学报）、王雪（2022，东北农业大学硕士论文）文献，COD浓度范围10000～38000mg/L，氨氮浓度范围1000～2800mg/L，本项目预测取其最大值，则本项目COD产生浓度为38000mg/L，氨氮产生浓度为2800mg/L。</w:t>
      </w:r>
    </w:p>
    <w:p w14:paraId="485296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初期雨水</w:t>
      </w:r>
    </w:p>
    <w:p w14:paraId="5706F3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初期雨水的估算方法，以暴雨量的前15min雨量作为初期雨水量。本评价采用暴雨强度及雨水流量计算公式进行估算，计算公式如下</w:t>
      </w:r>
    </w:p>
    <w:p w14:paraId="4A88280A">
      <w:pPr>
        <w:pStyle w:val="67"/>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V=q×ψ×F×t×60/1000</w:t>
      </w:r>
    </w:p>
    <w:p w14:paraId="0B997C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71CF064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t——降雨历时，min，取15；</w:t>
      </w:r>
    </w:p>
    <w:p w14:paraId="4C1CCC84">
      <w:pPr>
        <w:pStyle w:val="6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F——汇水面积，hm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，本项目厂区占地面积为</w:t>
      </w:r>
      <w:r>
        <w:rPr>
          <w:rFonts w:hint="eastAsia" w:eastAsia="宋体" w:cs="Times New Roman"/>
          <w:color w:val="auto"/>
          <w:highlight w:val="none"/>
          <w:lang w:val="en-US" w:eastAsia="zh-CN"/>
        </w:rPr>
        <w:t>56.4161万</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经与企业</w:t>
      </w:r>
      <w:r>
        <w:rPr>
          <w:rFonts w:hint="eastAsia" w:ascii="Times New Roman" w:hAnsi="Times New Roman" w:eastAsia="宋体" w:cs="Times New Roman"/>
          <w:color w:val="auto"/>
          <w:highlight w:val="none"/>
          <w:lang w:val="en-US" w:eastAsia="zh-CN"/>
        </w:rPr>
        <w:t>核实，道路硬化面积为</w:t>
      </w:r>
      <w:r>
        <w:rPr>
          <w:rFonts w:hint="eastAsia" w:eastAsia="宋体" w:cs="Times New Roman"/>
          <w:color w:val="auto"/>
          <w:highlight w:val="none"/>
          <w:lang w:val="en-US" w:eastAsia="zh-CN"/>
        </w:rPr>
        <w:t>66300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lang w:eastAsia="zh-CN"/>
        </w:rPr>
        <w:t>。</w:t>
      </w:r>
    </w:p>
    <w:p w14:paraId="37EB08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ψ——径流系数，取0.</w:t>
      </w:r>
      <w:r>
        <w:rPr>
          <w:rFonts w:hint="eastAsia" w:eastAsia="宋体" w:cs="Times New Roman"/>
          <w:color w:val="auto"/>
          <w:highlight w:val="none"/>
          <w:lang w:val="en-US" w:eastAsia="zh-CN"/>
        </w:rPr>
        <w:t>9</w:t>
      </w:r>
      <w:r>
        <w:rPr>
          <w:rFonts w:hint="default" w:ascii="Times New Roman" w:hAnsi="Times New Roman" w:eastAsia="宋体" w:cs="Times New Roman"/>
          <w:color w:val="auto"/>
          <w:highlight w:val="none"/>
        </w:rPr>
        <w:t>；</w:t>
      </w:r>
    </w:p>
    <w:p w14:paraId="29E6BBD6">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q——设计暴雨强度，L/(s·hm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)，当地暴雨强度：q＝</w:t>
      </w:r>
      <w:r>
        <w:rPr>
          <w:rFonts w:hint="default" w:ascii="Times New Roman" w:hAnsi="Times New Roman" w:eastAsia="宋体" w:cs="Times New Roman"/>
          <w:color w:val="auto"/>
          <w:highlight w:val="none"/>
          <w:lang w:val="en-US" w:eastAsia="zh-CN"/>
        </w:rPr>
        <w:t>2806</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en-US" w:eastAsia="zh-CN"/>
        </w:rPr>
        <w:t>831</w:t>
      </w:r>
      <w:r>
        <w:rPr>
          <w:rFonts w:hint="default" w:ascii="Times New Roman" w:hAnsi="Times New Roman" w:eastAsia="宋体" w:cs="Times New Roman"/>
          <w:color w:val="auto"/>
          <w:highlight w:val="none"/>
        </w:rPr>
        <w:t>lgP)/(t+</w:t>
      </w:r>
      <w:r>
        <w:rPr>
          <w:rFonts w:hint="default" w:ascii="Times New Roman" w:hAnsi="Times New Roman" w:eastAsia="宋体" w:cs="Times New Roman"/>
          <w:color w:val="auto"/>
          <w:highlight w:val="none"/>
          <w:lang w:val="en-US" w:eastAsia="zh-CN"/>
        </w:rPr>
        <w:t>8.5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vertAlign w:val="superscript"/>
        </w:rPr>
        <w:t>0.</w:t>
      </w:r>
      <w:r>
        <w:rPr>
          <w:rFonts w:hint="default" w:ascii="Times New Roman" w:hAnsi="Times New Roman" w:eastAsia="宋体" w:cs="Times New Roman"/>
          <w:color w:val="auto"/>
          <w:highlight w:val="none"/>
          <w:vertAlign w:val="superscript"/>
          <w:lang w:val="en-US" w:eastAsia="zh-CN"/>
        </w:rPr>
        <w:t>93</w:t>
      </w:r>
      <w:r>
        <w:rPr>
          <w:rFonts w:hint="default" w:ascii="Times New Roman" w:hAnsi="Times New Roman" w:eastAsia="宋体" w:cs="Times New Roman"/>
          <w:color w:val="auto"/>
          <w:highlight w:val="none"/>
        </w:rPr>
        <w:t>，其中P为设计重现期，取</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a，t为降雨历时，取15min，计算可得q值为</w:t>
      </w:r>
      <w:r>
        <w:rPr>
          <w:rFonts w:hint="eastAsia" w:ascii="Times New Roman" w:hAnsi="Times New Roman" w:eastAsia="宋体" w:cs="Times New Roman"/>
          <w:color w:val="auto"/>
          <w:highlight w:val="none"/>
          <w:lang w:val="en-US" w:eastAsia="zh-CN"/>
        </w:rPr>
        <w:t>186.15</w:t>
      </w:r>
      <w:r>
        <w:rPr>
          <w:rFonts w:hint="default" w:ascii="Times New Roman" w:hAnsi="Times New Roman" w:eastAsia="宋体" w:cs="Times New Roman"/>
          <w:color w:val="auto"/>
          <w:highlight w:val="none"/>
        </w:rPr>
        <w:t>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雨水流量Q值为</w:t>
      </w:r>
      <w:r>
        <w:rPr>
          <w:rFonts w:hint="eastAsia" w:eastAsia="宋体" w:cs="Times New Roman"/>
          <w:color w:val="auto"/>
          <w:highlight w:val="none"/>
          <w:lang w:val="en-US" w:eastAsia="zh-CN"/>
        </w:rPr>
        <w:t>1110.73</w:t>
      </w:r>
      <w:r>
        <w:rPr>
          <w:rFonts w:hint="default" w:ascii="Times New Roman" w:hAnsi="Times New Roman" w:eastAsia="宋体" w:cs="Times New Roman"/>
          <w:color w:val="auto"/>
          <w:highlight w:val="none"/>
          <w:lang w:val="en-US" w:eastAsia="zh-CN"/>
        </w:rPr>
        <w:t>L/s。</w:t>
      </w:r>
    </w:p>
    <w:p w14:paraId="2ABBB08B">
      <w:pPr>
        <w:pStyle w:val="67"/>
        <w:ind w:firstLine="480"/>
        <w:rPr>
          <w:rFonts w:hint="default" w:ascii="Times New Roman" w:hAnsi="Times New Roman" w:eastAsia="宋体" w:cs="Times New Roman"/>
          <w:color w:val="auto"/>
          <w:highlight w:val="none"/>
          <w:lang w:val="en-US" w:eastAsia="zh-CN"/>
        </w:rPr>
      </w:pPr>
    </w:p>
    <w:p w14:paraId="372B1DE2">
      <w:pPr>
        <w:bidi w:val="0"/>
        <w:rPr>
          <w:rFonts w:hint="default"/>
          <w:color w:val="auto"/>
          <w:highlight w:val="none"/>
          <w:lang w:val="en-US" w:eastAsia="zh-CN"/>
        </w:rPr>
      </w:pPr>
    </w:p>
    <w:p w14:paraId="186782E6">
      <w:pPr>
        <w:bidi w:val="0"/>
        <w:rPr>
          <w:rFonts w:hint="default"/>
          <w:color w:val="auto"/>
          <w:highlight w:val="none"/>
          <w:lang w:val="en-US" w:eastAsia="zh-CN"/>
        </w:rPr>
      </w:pPr>
    </w:p>
    <w:p w14:paraId="7B1A9EE8">
      <w:pPr>
        <w:bidi w:val="0"/>
        <w:rPr>
          <w:rFonts w:hint="default"/>
          <w:color w:val="auto"/>
          <w:highlight w:val="none"/>
          <w:lang w:val="en-US" w:eastAsia="zh-CN"/>
        </w:rPr>
      </w:pPr>
    </w:p>
    <w:p w14:paraId="1757B8CF">
      <w:pPr>
        <w:bidi w:val="0"/>
        <w:rPr>
          <w:rFonts w:hint="default"/>
          <w:color w:val="auto"/>
          <w:highlight w:val="none"/>
          <w:lang w:val="en-US" w:eastAsia="zh-CN"/>
        </w:rPr>
      </w:pPr>
    </w:p>
    <w:p w14:paraId="03FEC177">
      <w:pPr>
        <w:bidi w:val="0"/>
        <w:rPr>
          <w:rFonts w:hint="default"/>
          <w:color w:val="auto"/>
          <w:highlight w:val="none"/>
          <w:lang w:val="en-US" w:eastAsia="zh-CN"/>
        </w:rPr>
      </w:pPr>
    </w:p>
    <w:p w14:paraId="274339B0">
      <w:pPr>
        <w:bidi w:val="0"/>
        <w:rPr>
          <w:rFonts w:hint="default"/>
          <w:color w:val="auto"/>
          <w:highlight w:val="none"/>
          <w:lang w:val="en-US" w:eastAsia="zh-CN"/>
        </w:rPr>
      </w:pPr>
    </w:p>
    <w:p w14:paraId="15538E83">
      <w:pPr>
        <w:bidi w:val="0"/>
        <w:rPr>
          <w:rFonts w:hint="default"/>
          <w:color w:val="auto"/>
          <w:highlight w:val="none"/>
          <w:lang w:val="en-US" w:eastAsia="zh-CN"/>
        </w:rPr>
      </w:pPr>
    </w:p>
    <w:p w14:paraId="110657ED">
      <w:pPr>
        <w:bidi w:val="0"/>
        <w:rPr>
          <w:rFonts w:hint="default"/>
          <w:color w:val="auto"/>
          <w:highlight w:val="none"/>
          <w:lang w:val="en-US" w:eastAsia="zh-CN"/>
        </w:rPr>
      </w:pPr>
    </w:p>
    <w:p w14:paraId="1227C3FD">
      <w:pPr>
        <w:bidi w:val="0"/>
        <w:rPr>
          <w:rFonts w:hint="default"/>
          <w:color w:val="auto"/>
          <w:highlight w:val="none"/>
          <w:lang w:val="en-US" w:eastAsia="zh-CN"/>
        </w:rPr>
      </w:pPr>
    </w:p>
    <w:p w14:paraId="534A7505">
      <w:pPr>
        <w:bidi w:val="0"/>
        <w:rPr>
          <w:rFonts w:hint="default"/>
          <w:color w:val="auto"/>
          <w:highlight w:val="none"/>
          <w:lang w:val="en-US" w:eastAsia="zh-CN"/>
        </w:rPr>
      </w:pPr>
    </w:p>
    <w:p w14:paraId="068BAD3D">
      <w:pPr>
        <w:pStyle w:val="67"/>
        <w:ind w:firstLine="480"/>
        <w:rPr>
          <w:rFonts w:hint="default" w:ascii="Times New Roman" w:hAnsi="Times New Roman" w:eastAsia="宋体" w:cs="Times New Roman"/>
          <w:color w:val="auto"/>
          <w:highlight w:val="none"/>
          <w:lang w:val="en-US" w:eastAsia="zh-CN"/>
        </w:rPr>
      </w:pPr>
      <w:r>
        <w:rPr>
          <w:color w:val="auto"/>
          <w:highlight w:val="none"/>
        </w:rPr>
        <w:drawing>
          <wp:anchor distT="0" distB="0" distL="114300" distR="114300" simplePos="0" relativeHeight="251691008" behindDoc="0" locked="0" layoutInCell="1" allowOverlap="1">
            <wp:simplePos x="0" y="0"/>
            <wp:positionH relativeFrom="column">
              <wp:posOffset>1071245</wp:posOffset>
            </wp:positionH>
            <wp:positionV relativeFrom="paragraph">
              <wp:posOffset>-122555</wp:posOffset>
            </wp:positionV>
            <wp:extent cx="3115310" cy="3033395"/>
            <wp:effectExtent l="0" t="0" r="8890" b="14605"/>
            <wp:wrapNone/>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34"/>
                    <a:stretch>
                      <a:fillRect/>
                    </a:stretch>
                  </pic:blipFill>
                  <pic:spPr>
                    <a:xfrm>
                      <a:off x="0" y="0"/>
                      <a:ext cx="3115310" cy="3033395"/>
                    </a:xfrm>
                    <a:prstGeom prst="rect">
                      <a:avLst/>
                    </a:prstGeom>
                    <a:noFill/>
                    <a:ln>
                      <a:noFill/>
                    </a:ln>
                  </pic:spPr>
                </pic:pic>
              </a:graphicData>
            </a:graphic>
          </wp:anchor>
        </w:drawing>
      </w:r>
    </w:p>
    <w:p w14:paraId="664656D5">
      <w:pPr>
        <w:pStyle w:val="67"/>
        <w:ind w:firstLine="480"/>
        <w:rPr>
          <w:rFonts w:hint="default" w:ascii="Times New Roman" w:hAnsi="Times New Roman" w:eastAsia="宋体" w:cs="Times New Roman"/>
          <w:color w:val="auto"/>
          <w:highlight w:val="none"/>
          <w:lang w:val="en-US" w:eastAsia="zh-CN"/>
        </w:rPr>
      </w:pPr>
    </w:p>
    <w:p w14:paraId="51CC4EB2">
      <w:pPr>
        <w:pStyle w:val="67"/>
        <w:ind w:firstLine="480"/>
        <w:rPr>
          <w:rFonts w:hint="default" w:ascii="Times New Roman" w:hAnsi="Times New Roman" w:eastAsia="宋体" w:cs="Times New Roman"/>
          <w:color w:val="auto"/>
          <w:highlight w:val="none"/>
          <w:lang w:val="en-US" w:eastAsia="zh-CN"/>
        </w:rPr>
      </w:pPr>
    </w:p>
    <w:p w14:paraId="2E20DA62">
      <w:pPr>
        <w:pStyle w:val="67"/>
        <w:ind w:firstLine="480"/>
        <w:rPr>
          <w:rFonts w:hint="default" w:ascii="Times New Roman" w:hAnsi="Times New Roman" w:eastAsia="宋体" w:cs="Times New Roman"/>
          <w:color w:val="auto"/>
          <w:highlight w:val="none"/>
          <w:lang w:val="en-US" w:eastAsia="zh-CN"/>
        </w:rPr>
      </w:pPr>
    </w:p>
    <w:p w14:paraId="30C3D5CE">
      <w:pPr>
        <w:pStyle w:val="67"/>
        <w:ind w:firstLine="480"/>
        <w:rPr>
          <w:rFonts w:hint="default" w:ascii="Times New Roman" w:hAnsi="Times New Roman" w:eastAsia="宋体" w:cs="Times New Roman"/>
          <w:color w:val="auto"/>
          <w:highlight w:val="none"/>
          <w:lang w:val="en-US" w:eastAsia="zh-CN"/>
        </w:rPr>
      </w:pPr>
    </w:p>
    <w:p w14:paraId="22DD206D">
      <w:pPr>
        <w:pStyle w:val="67"/>
        <w:ind w:firstLine="480"/>
        <w:rPr>
          <w:rFonts w:hint="default" w:ascii="Times New Roman" w:hAnsi="Times New Roman" w:eastAsia="宋体" w:cs="Times New Roman"/>
          <w:color w:val="auto"/>
          <w:highlight w:val="none"/>
          <w:lang w:val="en-US" w:eastAsia="zh-CN"/>
        </w:rPr>
      </w:pPr>
    </w:p>
    <w:p w14:paraId="5EBF216D">
      <w:pPr>
        <w:pStyle w:val="67"/>
        <w:ind w:firstLine="480"/>
        <w:rPr>
          <w:rFonts w:hint="default" w:ascii="Times New Roman" w:hAnsi="Times New Roman" w:eastAsia="宋体" w:cs="Times New Roman"/>
          <w:color w:val="auto"/>
          <w:highlight w:val="none"/>
          <w:lang w:val="en-US" w:eastAsia="zh-CN"/>
        </w:rPr>
      </w:pPr>
    </w:p>
    <w:p w14:paraId="771D1072">
      <w:pPr>
        <w:pStyle w:val="67"/>
        <w:ind w:firstLine="480"/>
        <w:rPr>
          <w:rFonts w:hint="default" w:ascii="Times New Roman" w:hAnsi="Times New Roman" w:eastAsia="宋体" w:cs="Times New Roman"/>
          <w:color w:val="auto"/>
          <w:highlight w:val="none"/>
          <w:lang w:val="en-US" w:eastAsia="zh-CN"/>
        </w:rPr>
      </w:pPr>
    </w:p>
    <w:p w14:paraId="2429C8D0">
      <w:pPr>
        <w:pStyle w:val="67"/>
        <w:ind w:firstLine="480"/>
        <w:rPr>
          <w:rFonts w:hint="default" w:ascii="Times New Roman" w:hAnsi="Times New Roman" w:eastAsia="宋体" w:cs="Times New Roman"/>
          <w:color w:val="auto"/>
          <w:highlight w:val="none"/>
          <w:lang w:val="en-US" w:eastAsia="zh-CN"/>
        </w:rPr>
      </w:pPr>
    </w:p>
    <w:p w14:paraId="436FF2B5">
      <w:pPr>
        <w:pStyle w:val="67"/>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图3</w:t>
      </w:r>
      <w:r>
        <w:rPr>
          <w:rFonts w:hint="eastAsia" w:eastAsia="黑体" w:cs="Times New Roman"/>
          <w:color w:val="auto"/>
          <w:highlight w:val="none"/>
          <w:lang w:val="en-US" w:eastAsia="zh-CN"/>
        </w:rPr>
        <w:t>.</w:t>
      </w:r>
      <w:r>
        <w:rPr>
          <w:rFonts w:hint="eastAsia" w:ascii="Times New Roman" w:hAnsi="Times New Roman" w:eastAsia="黑体" w:cs="Times New Roman"/>
          <w:color w:val="auto"/>
          <w:highlight w:val="none"/>
          <w:lang w:val="en-US" w:eastAsia="zh-CN"/>
        </w:rPr>
        <w:t>4-1</w:t>
      </w:r>
      <w:r>
        <w:rPr>
          <w:rFonts w:hint="default" w:ascii="Times New Roman" w:hAnsi="Times New Roman" w:eastAsia="黑体" w:cs="Times New Roman"/>
          <w:color w:val="auto"/>
          <w:highlight w:val="none"/>
          <w:lang w:val="en-US" w:eastAsia="zh-CN"/>
        </w:rPr>
        <w:t xml:space="preserve"> 初期雨水计算图</w:t>
      </w:r>
      <w:r>
        <w:rPr>
          <w:rFonts w:hint="eastAsia" w:eastAsia="黑体" w:cs="Times New Roman"/>
          <w:color w:val="auto"/>
          <w:highlight w:val="none"/>
          <w:lang w:val="en-US" w:eastAsia="zh-CN"/>
        </w:rPr>
        <w:t>（一）</w:t>
      </w:r>
    </w:p>
    <w:p w14:paraId="420B18C8">
      <w:pPr>
        <w:pStyle w:val="67"/>
        <w:ind w:firstLine="48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厂区绿化用地、活动场地及预留空地</w:t>
      </w:r>
      <w:r>
        <w:rPr>
          <w:rFonts w:hint="eastAsia" w:ascii="Times New Roman" w:hAnsi="Times New Roman" w:eastAsia="宋体" w:cs="Times New Roman"/>
          <w:color w:val="auto"/>
          <w:highlight w:val="none"/>
          <w:lang w:val="en-US" w:eastAsia="zh-CN"/>
        </w:rPr>
        <w:t>汇水面积为</w:t>
      </w:r>
      <w:r>
        <w:rPr>
          <w:rFonts w:hint="eastAsia" w:eastAsia="宋体" w:cs="Times New Roman"/>
          <w:color w:val="auto"/>
          <w:highlight w:val="none"/>
          <w:lang w:val="en-US" w:eastAsia="zh-CN"/>
        </w:rPr>
        <w:t>404135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应根据不同地貌分别计算其暴雨强度。</w:t>
      </w:r>
    </w:p>
    <w:p w14:paraId="2CC6A41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ψ——径流系数，取0.</w:t>
      </w:r>
      <w:r>
        <w:rPr>
          <w:rFonts w:hint="eastAsia" w:eastAsia="宋体" w:cs="Times New Roman"/>
          <w:color w:val="auto"/>
          <w:highlight w:val="none"/>
          <w:lang w:val="en-US" w:eastAsia="zh-CN"/>
        </w:rPr>
        <w:t>15</w:t>
      </w:r>
      <w:r>
        <w:rPr>
          <w:rFonts w:hint="default" w:ascii="Times New Roman" w:hAnsi="Times New Roman" w:eastAsia="宋体" w:cs="Times New Roman"/>
          <w:color w:val="auto"/>
          <w:highlight w:val="none"/>
        </w:rPr>
        <w:t>；</w:t>
      </w:r>
    </w:p>
    <w:p w14:paraId="49B36EDD">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q——设计暴雨强度，L/(s·hm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)，当地暴雨强度：q＝</w:t>
      </w:r>
      <w:r>
        <w:rPr>
          <w:rFonts w:hint="default" w:ascii="Times New Roman" w:hAnsi="Times New Roman" w:eastAsia="宋体" w:cs="Times New Roman"/>
          <w:color w:val="auto"/>
          <w:highlight w:val="none"/>
          <w:lang w:val="en-US" w:eastAsia="zh-CN"/>
        </w:rPr>
        <w:t>2806</w:t>
      </w:r>
      <w:r>
        <w:rPr>
          <w:rFonts w:hint="default" w:ascii="Times New Roman" w:hAnsi="Times New Roman" w:eastAsia="宋体" w:cs="Times New Roman"/>
          <w:color w:val="auto"/>
          <w:highlight w:val="none"/>
        </w:rPr>
        <w:t>(1+0.</w:t>
      </w:r>
      <w:r>
        <w:rPr>
          <w:rFonts w:hint="default" w:ascii="Times New Roman" w:hAnsi="Times New Roman" w:eastAsia="宋体" w:cs="Times New Roman"/>
          <w:color w:val="auto"/>
          <w:highlight w:val="none"/>
          <w:lang w:val="en-US" w:eastAsia="zh-CN"/>
        </w:rPr>
        <w:t>831</w:t>
      </w:r>
      <w:r>
        <w:rPr>
          <w:rFonts w:hint="default" w:ascii="Times New Roman" w:hAnsi="Times New Roman" w:eastAsia="宋体" w:cs="Times New Roman"/>
          <w:color w:val="auto"/>
          <w:highlight w:val="none"/>
        </w:rPr>
        <w:t>lgP)/(t+</w:t>
      </w:r>
      <w:r>
        <w:rPr>
          <w:rFonts w:hint="default" w:ascii="Times New Roman" w:hAnsi="Times New Roman" w:eastAsia="宋体" w:cs="Times New Roman"/>
          <w:color w:val="auto"/>
          <w:highlight w:val="none"/>
          <w:lang w:val="en-US" w:eastAsia="zh-CN"/>
        </w:rPr>
        <w:t>8.5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vertAlign w:val="superscript"/>
        </w:rPr>
        <w:t>0.</w:t>
      </w:r>
      <w:r>
        <w:rPr>
          <w:rFonts w:hint="default" w:ascii="Times New Roman" w:hAnsi="Times New Roman" w:eastAsia="宋体" w:cs="Times New Roman"/>
          <w:color w:val="auto"/>
          <w:highlight w:val="none"/>
          <w:vertAlign w:val="superscript"/>
          <w:lang w:val="en-US" w:eastAsia="zh-CN"/>
        </w:rPr>
        <w:t>93</w:t>
      </w:r>
      <w:r>
        <w:rPr>
          <w:rFonts w:hint="default" w:ascii="Times New Roman" w:hAnsi="Times New Roman" w:eastAsia="宋体" w:cs="Times New Roman"/>
          <w:color w:val="auto"/>
          <w:highlight w:val="none"/>
        </w:rPr>
        <w:t>，其中P为设计重现期，取</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a，t为降雨历时，取15min，计算可得q值为</w:t>
      </w:r>
      <w:r>
        <w:rPr>
          <w:rFonts w:hint="eastAsia" w:ascii="Times New Roman" w:hAnsi="Times New Roman" w:eastAsia="宋体" w:cs="Times New Roman"/>
          <w:color w:val="auto"/>
          <w:highlight w:val="none"/>
          <w:lang w:val="en-US" w:eastAsia="zh-CN"/>
        </w:rPr>
        <w:t>186.15</w:t>
      </w:r>
      <w:r>
        <w:rPr>
          <w:rFonts w:hint="default" w:ascii="Times New Roman" w:hAnsi="Times New Roman" w:eastAsia="宋体" w:cs="Times New Roman"/>
          <w:color w:val="auto"/>
          <w:highlight w:val="none"/>
        </w:rPr>
        <w:t>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雨水流量Q值为</w:t>
      </w:r>
      <w:r>
        <w:rPr>
          <w:rFonts w:hint="eastAsia" w:eastAsia="宋体" w:cs="Times New Roman"/>
          <w:color w:val="auto"/>
          <w:highlight w:val="none"/>
          <w:lang w:val="en-US" w:eastAsia="zh-CN"/>
        </w:rPr>
        <w:t>1128.42</w:t>
      </w:r>
      <w:r>
        <w:rPr>
          <w:rFonts w:hint="default" w:ascii="Times New Roman" w:hAnsi="Times New Roman" w:eastAsia="宋体" w:cs="Times New Roman"/>
          <w:color w:val="auto"/>
          <w:highlight w:val="none"/>
          <w:lang w:val="en-US" w:eastAsia="zh-CN"/>
        </w:rPr>
        <w:t>L/s。</w:t>
      </w:r>
    </w:p>
    <w:p w14:paraId="528CC462">
      <w:pPr>
        <w:pStyle w:val="67"/>
        <w:ind w:firstLine="480"/>
        <w:rPr>
          <w:rFonts w:hint="default" w:ascii="Times New Roman" w:hAnsi="Times New Roman" w:eastAsia="宋体" w:cs="Times New Roman"/>
          <w:color w:val="auto"/>
          <w:highlight w:val="none"/>
          <w:lang w:val="en-US" w:eastAsia="zh-CN"/>
        </w:rPr>
      </w:pPr>
      <w:r>
        <w:rPr>
          <w:color w:val="auto"/>
          <w:highlight w:val="none"/>
        </w:rPr>
        <w:drawing>
          <wp:anchor distT="0" distB="0" distL="114300" distR="114300" simplePos="0" relativeHeight="251692032" behindDoc="0" locked="0" layoutInCell="1" allowOverlap="1">
            <wp:simplePos x="0" y="0"/>
            <wp:positionH relativeFrom="column">
              <wp:posOffset>986155</wp:posOffset>
            </wp:positionH>
            <wp:positionV relativeFrom="paragraph">
              <wp:posOffset>76200</wp:posOffset>
            </wp:positionV>
            <wp:extent cx="3265170" cy="3153410"/>
            <wp:effectExtent l="0" t="0" r="11430" b="8890"/>
            <wp:wrapNone/>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
                    <pic:cNvPicPr>
                      <a:picLocks noChangeAspect="1"/>
                    </pic:cNvPicPr>
                  </pic:nvPicPr>
                  <pic:blipFill>
                    <a:blip r:embed="rId35"/>
                    <a:stretch>
                      <a:fillRect/>
                    </a:stretch>
                  </pic:blipFill>
                  <pic:spPr>
                    <a:xfrm>
                      <a:off x="0" y="0"/>
                      <a:ext cx="3265170" cy="3153410"/>
                    </a:xfrm>
                    <a:prstGeom prst="rect">
                      <a:avLst/>
                    </a:prstGeom>
                    <a:noFill/>
                    <a:ln>
                      <a:noFill/>
                    </a:ln>
                  </pic:spPr>
                </pic:pic>
              </a:graphicData>
            </a:graphic>
          </wp:anchor>
        </w:drawing>
      </w:r>
    </w:p>
    <w:p w14:paraId="2668D40E">
      <w:pPr>
        <w:pStyle w:val="67"/>
        <w:ind w:firstLine="480"/>
        <w:rPr>
          <w:rFonts w:hint="default" w:ascii="Times New Roman" w:hAnsi="Times New Roman" w:eastAsia="宋体" w:cs="Times New Roman"/>
          <w:color w:val="auto"/>
          <w:highlight w:val="none"/>
        </w:rPr>
      </w:pPr>
    </w:p>
    <w:p w14:paraId="16D3486F">
      <w:pPr>
        <w:pStyle w:val="67"/>
        <w:ind w:firstLine="480"/>
        <w:rPr>
          <w:rFonts w:hint="default" w:ascii="Times New Roman" w:hAnsi="Times New Roman" w:eastAsia="宋体" w:cs="Times New Roman"/>
          <w:color w:val="auto"/>
          <w:highlight w:val="none"/>
        </w:rPr>
      </w:pPr>
    </w:p>
    <w:p w14:paraId="298F00BD">
      <w:pPr>
        <w:pStyle w:val="67"/>
        <w:ind w:firstLine="480"/>
        <w:rPr>
          <w:rFonts w:hint="default" w:ascii="Times New Roman" w:hAnsi="Times New Roman" w:eastAsia="宋体" w:cs="Times New Roman"/>
          <w:color w:val="auto"/>
          <w:highlight w:val="none"/>
        </w:rPr>
      </w:pPr>
    </w:p>
    <w:p w14:paraId="2313E730">
      <w:pPr>
        <w:pStyle w:val="67"/>
        <w:ind w:firstLine="480"/>
        <w:rPr>
          <w:rFonts w:hint="default" w:ascii="Times New Roman" w:hAnsi="Times New Roman" w:eastAsia="宋体" w:cs="Times New Roman"/>
          <w:color w:val="auto"/>
          <w:highlight w:val="none"/>
        </w:rPr>
      </w:pPr>
    </w:p>
    <w:p w14:paraId="4492D1C6">
      <w:pPr>
        <w:pStyle w:val="67"/>
        <w:ind w:firstLine="480"/>
        <w:rPr>
          <w:rFonts w:hint="default" w:ascii="Times New Roman" w:hAnsi="Times New Roman" w:eastAsia="宋体" w:cs="Times New Roman"/>
          <w:color w:val="auto"/>
          <w:highlight w:val="none"/>
        </w:rPr>
      </w:pPr>
    </w:p>
    <w:p w14:paraId="23CE98F7">
      <w:pPr>
        <w:pStyle w:val="67"/>
        <w:ind w:firstLine="480"/>
        <w:rPr>
          <w:rFonts w:hint="default" w:ascii="Times New Roman" w:hAnsi="Times New Roman" w:eastAsia="宋体" w:cs="Times New Roman"/>
          <w:color w:val="auto"/>
          <w:highlight w:val="none"/>
        </w:rPr>
      </w:pPr>
    </w:p>
    <w:p w14:paraId="01EED045">
      <w:pPr>
        <w:pStyle w:val="67"/>
        <w:ind w:firstLine="480"/>
        <w:rPr>
          <w:rFonts w:hint="default" w:ascii="Times New Roman" w:hAnsi="Times New Roman" w:eastAsia="宋体" w:cs="Times New Roman"/>
          <w:color w:val="auto"/>
          <w:highlight w:val="none"/>
        </w:rPr>
      </w:pPr>
    </w:p>
    <w:p w14:paraId="44F2D8FD">
      <w:pPr>
        <w:pStyle w:val="67"/>
        <w:ind w:firstLine="480"/>
        <w:rPr>
          <w:rFonts w:hint="default" w:ascii="Times New Roman" w:hAnsi="Times New Roman" w:eastAsia="宋体" w:cs="Times New Roman"/>
          <w:color w:val="auto"/>
          <w:highlight w:val="none"/>
        </w:rPr>
      </w:pPr>
    </w:p>
    <w:p w14:paraId="1F4F9FB6">
      <w:pPr>
        <w:pStyle w:val="67"/>
        <w:ind w:firstLine="480"/>
        <w:rPr>
          <w:rFonts w:hint="default" w:ascii="Times New Roman" w:hAnsi="Times New Roman" w:eastAsia="宋体" w:cs="Times New Roman"/>
          <w:color w:val="auto"/>
          <w:highlight w:val="none"/>
        </w:rPr>
      </w:pPr>
    </w:p>
    <w:p w14:paraId="564FE420">
      <w:pPr>
        <w:pStyle w:val="67"/>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黑体" w:cs="Times New Roman"/>
          <w:color w:val="auto"/>
          <w:highlight w:val="none"/>
          <w:lang w:val="en-US" w:eastAsia="zh-CN"/>
        </w:rPr>
        <w:t>图3</w:t>
      </w:r>
      <w:r>
        <w:rPr>
          <w:rFonts w:hint="eastAsia" w:eastAsia="黑体" w:cs="Times New Roman"/>
          <w:color w:val="auto"/>
          <w:highlight w:val="none"/>
          <w:lang w:val="en-US" w:eastAsia="zh-CN"/>
        </w:rPr>
        <w:t>.4-2</w:t>
      </w:r>
      <w:r>
        <w:rPr>
          <w:rFonts w:hint="default" w:ascii="Times New Roman" w:hAnsi="Times New Roman" w:eastAsia="黑体" w:cs="Times New Roman"/>
          <w:color w:val="auto"/>
          <w:highlight w:val="none"/>
          <w:lang w:val="en-US" w:eastAsia="zh-CN"/>
        </w:rPr>
        <w:t>初期雨水计算图</w:t>
      </w:r>
      <w:r>
        <w:rPr>
          <w:rFonts w:hint="eastAsia" w:eastAsia="黑体" w:cs="Times New Roman"/>
          <w:color w:val="auto"/>
          <w:highlight w:val="none"/>
          <w:lang w:val="en-US" w:eastAsia="zh-CN"/>
        </w:rPr>
        <w:t>（二）</w:t>
      </w:r>
    </w:p>
    <w:p w14:paraId="220B83A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经以上公式计算得出厂区场地15min内收集的</w:t>
      </w:r>
      <w:r>
        <w:rPr>
          <w:rFonts w:hint="eastAsia" w:eastAsia="宋体" w:cs="Times New Roman"/>
          <w:color w:val="auto"/>
          <w:highlight w:val="none"/>
          <w:lang w:val="en-US" w:eastAsia="zh-CN"/>
        </w:rPr>
        <w:t>总</w:t>
      </w:r>
      <w:r>
        <w:rPr>
          <w:rFonts w:hint="default" w:ascii="Times New Roman" w:hAnsi="Times New Roman" w:eastAsia="宋体" w:cs="Times New Roman"/>
          <w:color w:val="auto"/>
          <w:highlight w:val="none"/>
        </w:rPr>
        <w:t>初期雨水量为</w:t>
      </w:r>
      <w:r>
        <w:rPr>
          <w:rFonts w:hint="eastAsia" w:eastAsia="宋体" w:cs="Times New Roman"/>
          <w:color w:val="auto"/>
          <w:highlight w:val="none"/>
          <w:lang w:val="en-US" w:eastAsia="zh-CN"/>
        </w:rPr>
        <w:t>2239.15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。则初期雨水经厂区排水沟汇入厂区一座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初期雨水收集池内，雨水收集后用于厂区</w:t>
      </w:r>
      <w:r>
        <w:rPr>
          <w:rFonts w:hint="eastAsia" w:eastAsia="宋体" w:cs="Times New Roman"/>
          <w:color w:val="auto"/>
          <w:highlight w:val="none"/>
          <w:lang w:val="en-US" w:eastAsia="zh-CN"/>
        </w:rPr>
        <w:t>绿化及</w:t>
      </w:r>
      <w:r>
        <w:rPr>
          <w:rFonts w:hint="default" w:ascii="Times New Roman" w:hAnsi="Times New Roman" w:eastAsia="宋体" w:cs="Times New Roman"/>
          <w:color w:val="auto"/>
          <w:highlight w:val="none"/>
        </w:rPr>
        <w:t>洒水降尘，不外排</w:t>
      </w:r>
    </w:p>
    <w:p w14:paraId="5F38F794">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w:t>
      </w:r>
      <w:r>
        <w:rPr>
          <w:rFonts w:hint="eastAsia" w:ascii="Times New Roman" w:hAnsi="Times New Roman" w:cs="Times New Roman"/>
          <w:snapToGrid w:val="0"/>
          <w:color w:val="auto"/>
          <w:kern w:val="0"/>
          <w:highlight w:val="none"/>
          <w:lang w:val="en-US" w:eastAsia="zh-CN"/>
        </w:rPr>
        <w:t>3-4-</w:t>
      </w:r>
      <w:r>
        <w:rPr>
          <w:rFonts w:hint="eastAsia" w:cs="Times New Roman"/>
          <w:snapToGrid w:val="0"/>
          <w:color w:val="auto"/>
          <w:kern w:val="0"/>
          <w:highlight w:val="none"/>
          <w:lang w:val="en-US" w:eastAsia="zh-CN"/>
        </w:rPr>
        <w:t>5</w:t>
      </w:r>
      <w:r>
        <w:rPr>
          <w:rFonts w:hint="default" w:ascii="Times New Roman" w:hAnsi="Times New Roman" w:cs="Times New Roman"/>
          <w:snapToGrid w:val="0"/>
          <w:color w:val="auto"/>
          <w:kern w:val="0"/>
          <w:highlight w:val="none"/>
        </w:rPr>
        <w:t xml:space="preserve"> </w:t>
      </w:r>
      <w:r>
        <w:rPr>
          <w:rFonts w:hint="eastAsia" w:ascii="Times New Roman" w:hAnsi="Times New Roman" w:cs="Times New Roman"/>
          <w:snapToGrid w:val="0"/>
          <w:color w:val="auto"/>
          <w:kern w:val="0"/>
          <w:highlight w:val="none"/>
          <w:lang w:val="en-US" w:eastAsia="zh-CN"/>
        </w:rPr>
        <w:t>废水</w:t>
      </w:r>
      <w:r>
        <w:rPr>
          <w:rFonts w:hint="default" w:ascii="Times New Roman" w:hAnsi="Times New Roman" w:cs="Times New Roman"/>
          <w:snapToGrid w:val="0"/>
          <w:color w:val="auto"/>
          <w:kern w:val="0"/>
          <w:highlight w:val="none"/>
        </w:rPr>
        <w:t>排放情况统计表</w:t>
      </w:r>
    </w:p>
    <w:tbl>
      <w:tblPr>
        <w:tblStyle w:val="47"/>
        <w:tblW w:w="4999" w:type="pct"/>
        <w:tblInd w:w="0" w:type="dxa"/>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Layout w:type="fixed"/>
        <w:tblCellMar>
          <w:top w:w="15" w:type="dxa"/>
          <w:left w:w="15" w:type="dxa"/>
          <w:bottom w:w="15" w:type="dxa"/>
          <w:right w:w="15" w:type="dxa"/>
        </w:tblCellMar>
      </w:tblPr>
      <w:tblGrid>
        <w:gridCol w:w="525"/>
        <w:gridCol w:w="989"/>
        <w:gridCol w:w="1500"/>
        <w:gridCol w:w="1440"/>
        <w:gridCol w:w="1305"/>
        <w:gridCol w:w="1725"/>
        <w:gridCol w:w="821"/>
      </w:tblGrid>
      <w:tr w14:paraId="6AABD4DE">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CellMar>
            <w:top w:w="15" w:type="dxa"/>
            <w:left w:w="15" w:type="dxa"/>
            <w:bottom w:w="15" w:type="dxa"/>
            <w:right w:w="15" w:type="dxa"/>
          </w:tblCellMar>
        </w:tblPrEx>
        <w:trPr>
          <w:trHeight w:val="283" w:hRule="atLeast"/>
          <w:tblHeader/>
        </w:trPr>
        <w:tc>
          <w:tcPr>
            <w:tcW w:w="525" w:type="dxa"/>
            <w:tcBorders>
              <w:tl2br w:val="nil"/>
              <w:tr2bl w:val="nil"/>
            </w:tcBorders>
            <w:shd w:val="clear" w:color="auto" w:fill="auto"/>
            <w:tcMar>
              <w:top w:w="120" w:type="dxa"/>
              <w:left w:w="120" w:type="dxa"/>
              <w:bottom w:w="120" w:type="dxa"/>
              <w:right w:w="120" w:type="dxa"/>
            </w:tcMar>
            <w:vAlign w:val="center"/>
          </w:tcPr>
          <w:p w14:paraId="5E9F4972">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序号</w:t>
            </w:r>
          </w:p>
        </w:tc>
        <w:tc>
          <w:tcPr>
            <w:tcW w:w="989" w:type="dxa"/>
            <w:tcBorders>
              <w:tl2br w:val="nil"/>
              <w:tr2bl w:val="nil"/>
            </w:tcBorders>
            <w:shd w:val="clear" w:color="auto" w:fill="auto"/>
            <w:tcMar>
              <w:top w:w="120" w:type="dxa"/>
              <w:left w:w="120" w:type="dxa"/>
              <w:bottom w:w="120" w:type="dxa"/>
              <w:right w:w="120" w:type="dxa"/>
            </w:tcMar>
            <w:vAlign w:val="center"/>
          </w:tcPr>
          <w:p w14:paraId="36C5F0DA">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废水种类</w:t>
            </w:r>
          </w:p>
        </w:tc>
        <w:tc>
          <w:tcPr>
            <w:tcW w:w="1500" w:type="dxa"/>
            <w:tcBorders>
              <w:tl2br w:val="nil"/>
              <w:tr2bl w:val="nil"/>
            </w:tcBorders>
            <w:shd w:val="clear" w:color="auto" w:fill="auto"/>
            <w:tcMar>
              <w:top w:w="120" w:type="dxa"/>
              <w:left w:w="120" w:type="dxa"/>
              <w:bottom w:w="120" w:type="dxa"/>
              <w:right w:w="120" w:type="dxa"/>
            </w:tcMar>
            <w:vAlign w:val="center"/>
          </w:tcPr>
          <w:p w14:paraId="3BCB9262">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日均产生量(m³/d)</w:t>
            </w:r>
          </w:p>
        </w:tc>
        <w:tc>
          <w:tcPr>
            <w:tcW w:w="1440" w:type="dxa"/>
            <w:tcBorders>
              <w:tl2br w:val="nil"/>
              <w:tr2bl w:val="nil"/>
            </w:tcBorders>
            <w:shd w:val="clear" w:color="auto" w:fill="auto"/>
            <w:tcMar>
              <w:top w:w="120" w:type="dxa"/>
              <w:left w:w="120" w:type="dxa"/>
              <w:bottom w:w="120" w:type="dxa"/>
              <w:right w:w="120" w:type="dxa"/>
            </w:tcMar>
            <w:vAlign w:val="center"/>
          </w:tcPr>
          <w:p w14:paraId="4456DC5E">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COD（mg/L）</w:t>
            </w:r>
          </w:p>
        </w:tc>
        <w:tc>
          <w:tcPr>
            <w:tcW w:w="1305" w:type="dxa"/>
            <w:tcBorders>
              <w:tl2br w:val="nil"/>
              <w:tr2bl w:val="nil"/>
            </w:tcBorders>
            <w:shd w:val="clear" w:color="auto" w:fill="auto"/>
            <w:tcMar>
              <w:top w:w="120" w:type="dxa"/>
              <w:left w:w="120" w:type="dxa"/>
              <w:bottom w:w="120" w:type="dxa"/>
              <w:right w:w="120" w:type="dxa"/>
            </w:tcMar>
            <w:vAlign w:val="center"/>
          </w:tcPr>
          <w:p w14:paraId="50ECF28B">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氨氮（mg/L）</w:t>
            </w:r>
          </w:p>
        </w:tc>
        <w:tc>
          <w:tcPr>
            <w:tcW w:w="1725" w:type="dxa"/>
            <w:tcBorders>
              <w:tl2br w:val="nil"/>
              <w:tr2bl w:val="nil"/>
            </w:tcBorders>
            <w:shd w:val="clear" w:color="auto" w:fill="auto"/>
            <w:tcMar>
              <w:top w:w="120" w:type="dxa"/>
              <w:left w:w="120" w:type="dxa"/>
              <w:bottom w:w="120" w:type="dxa"/>
              <w:right w:w="120" w:type="dxa"/>
            </w:tcMar>
            <w:vAlign w:val="center"/>
          </w:tcPr>
          <w:p w14:paraId="4989C818">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处置去向</w:t>
            </w:r>
          </w:p>
        </w:tc>
        <w:tc>
          <w:tcPr>
            <w:tcW w:w="821" w:type="dxa"/>
            <w:tcBorders>
              <w:tl2br w:val="nil"/>
              <w:tr2bl w:val="nil"/>
            </w:tcBorders>
            <w:shd w:val="clear" w:color="auto" w:fill="auto"/>
            <w:tcMar>
              <w:top w:w="120" w:type="dxa"/>
              <w:left w:w="120" w:type="dxa"/>
              <w:bottom w:w="120" w:type="dxa"/>
              <w:right w:w="120" w:type="dxa"/>
            </w:tcMar>
            <w:vAlign w:val="center"/>
          </w:tcPr>
          <w:p w14:paraId="49F718F4">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排放情况</w:t>
            </w:r>
          </w:p>
        </w:tc>
      </w:tr>
      <w:tr w14:paraId="7BD608EF">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CellMar>
            <w:top w:w="15" w:type="dxa"/>
            <w:left w:w="15" w:type="dxa"/>
            <w:bottom w:w="15" w:type="dxa"/>
            <w:right w:w="15" w:type="dxa"/>
          </w:tblCellMar>
        </w:tblPrEx>
        <w:trPr>
          <w:trHeight w:val="283" w:hRule="atLeast"/>
        </w:trPr>
        <w:tc>
          <w:tcPr>
            <w:tcW w:w="525" w:type="dxa"/>
            <w:tcBorders>
              <w:tl2br w:val="nil"/>
              <w:tr2bl w:val="nil"/>
            </w:tcBorders>
            <w:shd w:val="clear" w:color="auto" w:fill="auto"/>
            <w:tcMar>
              <w:top w:w="120" w:type="dxa"/>
              <w:left w:w="120" w:type="dxa"/>
              <w:bottom w:w="120" w:type="dxa"/>
              <w:right w:w="120" w:type="dxa"/>
            </w:tcMar>
            <w:vAlign w:val="center"/>
          </w:tcPr>
          <w:p w14:paraId="6CA63F4D">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p>
        </w:tc>
        <w:tc>
          <w:tcPr>
            <w:tcW w:w="989" w:type="dxa"/>
            <w:tcBorders>
              <w:tl2br w:val="nil"/>
              <w:tr2bl w:val="nil"/>
            </w:tcBorders>
            <w:shd w:val="clear" w:color="auto" w:fill="auto"/>
            <w:tcMar>
              <w:top w:w="120" w:type="dxa"/>
              <w:left w:w="120" w:type="dxa"/>
              <w:bottom w:w="120" w:type="dxa"/>
              <w:right w:w="120" w:type="dxa"/>
            </w:tcMar>
            <w:vAlign w:val="center"/>
          </w:tcPr>
          <w:p w14:paraId="3F46E7FB">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养殖牛尿废水</w:t>
            </w:r>
          </w:p>
        </w:tc>
        <w:tc>
          <w:tcPr>
            <w:tcW w:w="1500" w:type="dxa"/>
            <w:tcBorders>
              <w:tl2br w:val="nil"/>
              <w:tr2bl w:val="nil"/>
            </w:tcBorders>
            <w:shd w:val="clear" w:color="auto" w:fill="auto"/>
            <w:tcMar>
              <w:top w:w="120" w:type="dxa"/>
              <w:left w:w="120" w:type="dxa"/>
              <w:bottom w:w="120" w:type="dxa"/>
              <w:right w:w="120" w:type="dxa"/>
            </w:tcMar>
            <w:vAlign w:val="center"/>
          </w:tcPr>
          <w:p w14:paraId="30AB14C4">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60.00</w:t>
            </w:r>
          </w:p>
        </w:tc>
        <w:tc>
          <w:tcPr>
            <w:tcW w:w="1440" w:type="dxa"/>
            <w:tcBorders>
              <w:tl2br w:val="nil"/>
              <w:tr2bl w:val="nil"/>
            </w:tcBorders>
            <w:shd w:val="clear" w:color="auto" w:fill="auto"/>
            <w:tcMar>
              <w:top w:w="120" w:type="dxa"/>
              <w:left w:w="120" w:type="dxa"/>
              <w:bottom w:w="120" w:type="dxa"/>
              <w:right w:w="120" w:type="dxa"/>
            </w:tcMar>
            <w:vAlign w:val="center"/>
          </w:tcPr>
          <w:p w14:paraId="4633B69F">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305" w:type="dxa"/>
            <w:tcBorders>
              <w:tl2br w:val="nil"/>
              <w:tr2bl w:val="nil"/>
            </w:tcBorders>
            <w:shd w:val="clear" w:color="auto" w:fill="auto"/>
            <w:tcMar>
              <w:top w:w="120" w:type="dxa"/>
              <w:left w:w="120" w:type="dxa"/>
              <w:bottom w:w="120" w:type="dxa"/>
              <w:right w:w="120" w:type="dxa"/>
            </w:tcMar>
            <w:vAlign w:val="center"/>
          </w:tcPr>
          <w:p w14:paraId="36D4C9C0">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725" w:type="dxa"/>
            <w:tcBorders>
              <w:tl2br w:val="nil"/>
              <w:tr2bl w:val="nil"/>
            </w:tcBorders>
            <w:shd w:val="clear" w:color="auto" w:fill="auto"/>
            <w:tcMar>
              <w:top w:w="120" w:type="dxa"/>
              <w:left w:w="120" w:type="dxa"/>
              <w:bottom w:w="120" w:type="dxa"/>
              <w:right w:w="120" w:type="dxa"/>
            </w:tcMar>
            <w:vAlign w:val="center"/>
          </w:tcPr>
          <w:p w14:paraId="429F9E8B">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垫草垫料吸附</w:t>
            </w:r>
          </w:p>
        </w:tc>
        <w:tc>
          <w:tcPr>
            <w:tcW w:w="821" w:type="dxa"/>
            <w:tcBorders>
              <w:tl2br w:val="nil"/>
              <w:tr2bl w:val="nil"/>
            </w:tcBorders>
            <w:shd w:val="clear" w:color="auto" w:fill="auto"/>
            <w:tcMar>
              <w:top w:w="120" w:type="dxa"/>
              <w:left w:w="120" w:type="dxa"/>
              <w:bottom w:w="120" w:type="dxa"/>
              <w:right w:w="120" w:type="dxa"/>
            </w:tcMar>
            <w:vAlign w:val="center"/>
          </w:tcPr>
          <w:p w14:paraId="39A5F105">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外排</w:t>
            </w:r>
          </w:p>
        </w:tc>
      </w:tr>
      <w:tr w14:paraId="7C08724E">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CellMar>
            <w:top w:w="15" w:type="dxa"/>
            <w:left w:w="15" w:type="dxa"/>
            <w:bottom w:w="15" w:type="dxa"/>
            <w:right w:w="15" w:type="dxa"/>
          </w:tblCellMar>
        </w:tblPrEx>
        <w:trPr>
          <w:trHeight w:val="283" w:hRule="atLeast"/>
        </w:trPr>
        <w:tc>
          <w:tcPr>
            <w:tcW w:w="525" w:type="dxa"/>
            <w:tcBorders>
              <w:tl2br w:val="nil"/>
              <w:tr2bl w:val="nil"/>
            </w:tcBorders>
            <w:shd w:val="clear" w:color="auto" w:fill="auto"/>
            <w:tcMar>
              <w:top w:w="120" w:type="dxa"/>
              <w:left w:w="120" w:type="dxa"/>
              <w:bottom w:w="120" w:type="dxa"/>
              <w:right w:w="120" w:type="dxa"/>
            </w:tcMar>
            <w:vAlign w:val="center"/>
          </w:tcPr>
          <w:p w14:paraId="3F6F65C5">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p>
        </w:tc>
        <w:tc>
          <w:tcPr>
            <w:tcW w:w="989" w:type="dxa"/>
            <w:tcBorders>
              <w:tl2br w:val="nil"/>
              <w:tr2bl w:val="nil"/>
            </w:tcBorders>
            <w:shd w:val="clear" w:color="auto" w:fill="auto"/>
            <w:tcMar>
              <w:top w:w="120" w:type="dxa"/>
              <w:left w:w="120" w:type="dxa"/>
              <w:bottom w:w="120" w:type="dxa"/>
              <w:right w:w="120" w:type="dxa"/>
            </w:tcMar>
            <w:vAlign w:val="center"/>
          </w:tcPr>
          <w:p w14:paraId="67922A38">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青贮窖渗滤液</w:t>
            </w:r>
          </w:p>
        </w:tc>
        <w:tc>
          <w:tcPr>
            <w:tcW w:w="1500" w:type="dxa"/>
            <w:tcBorders>
              <w:tl2br w:val="nil"/>
              <w:tr2bl w:val="nil"/>
            </w:tcBorders>
            <w:shd w:val="clear" w:color="auto" w:fill="auto"/>
            <w:tcMar>
              <w:top w:w="120" w:type="dxa"/>
              <w:left w:w="120" w:type="dxa"/>
              <w:bottom w:w="120" w:type="dxa"/>
              <w:right w:w="120" w:type="dxa"/>
            </w:tcMar>
            <w:vAlign w:val="center"/>
          </w:tcPr>
          <w:p w14:paraId="6BE58BBF">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550.40</w:t>
            </w:r>
          </w:p>
        </w:tc>
        <w:tc>
          <w:tcPr>
            <w:tcW w:w="1440" w:type="dxa"/>
            <w:tcBorders>
              <w:tl2br w:val="nil"/>
              <w:tr2bl w:val="nil"/>
            </w:tcBorders>
            <w:shd w:val="clear" w:color="auto" w:fill="auto"/>
            <w:tcMar>
              <w:top w:w="120" w:type="dxa"/>
              <w:left w:w="120" w:type="dxa"/>
              <w:bottom w:w="120" w:type="dxa"/>
              <w:right w:w="120" w:type="dxa"/>
            </w:tcMar>
            <w:vAlign w:val="center"/>
          </w:tcPr>
          <w:p w14:paraId="1B7CD5F8">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305" w:type="dxa"/>
            <w:tcBorders>
              <w:tl2br w:val="nil"/>
              <w:tr2bl w:val="nil"/>
            </w:tcBorders>
            <w:shd w:val="clear" w:color="auto" w:fill="auto"/>
            <w:tcMar>
              <w:top w:w="120" w:type="dxa"/>
              <w:left w:w="120" w:type="dxa"/>
              <w:bottom w:w="120" w:type="dxa"/>
              <w:right w:w="120" w:type="dxa"/>
            </w:tcMar>
            <w:vAlign w:val="center"/>
          </w:tcPr>
          <w:p w14:paraId="3D50310F">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725" w:type="dxa"/>
            <w:tcBorders>
              <w:tl2br w:val="nil"/>
              <w:tr2bl w:val="nil"/>
            </w:tcBorders>
            <w:shd w:val="clear" w:color="auto" w:fill="auto"/>
            <w:tcMar>
              <w:top w:w="120" w:type="dxa"/>
              <w:left w:w="120" w:type="dxa"/>
              <w:bottom w:w="120" w:type="dxa"/>
              <w:right w:w="120" w:type="dxa"/>
            </w:tcMar>
            <w:vAlign w:val="center"/>
          </w:tcPr>
          <w:p w14:paraId="7EE2F609">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收集池收集，搭配精料饲喂肉牛</w:t>
            </w:r>
          </w:p>
        </w:tc>
        <w:tc>
          <w:tcPr>
            <w:tcW w:w="821" w:type="dxa"/>
            <w:tcBorders>
              <w:tl2br w:val="nil"/>
              <w:tr2bl w:val="nil"/>
            </w:tcBorders>
            <w:shd w:val="clear" w:color="auto" w:fill="auto"/>
            <w:tcMar>
              <w:top w:w="120" w:type="dxa"/>
              <w:left w:w="120" w:type="dxa"/>
              <w:bottom w:w="120" w:type="dxa"/>
              <w:right w:w="120" w:type="dxa"/>
            </w:tcMar>
            <w:vAlign w:val="center"/>
          </w:tcPr>
          <w:p w14:paraId="41736526">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外排</w:t>
            </w:r>
          </w:p>
        </w:tc>
      </w:tr>
      <w:tr w14:paraId="4D51F2D5">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CellMar>
            <w:top w:w="15" w:type="dxa"/>
            <w:left w:w="15" w:type="dxa"/>
            <w:bottom w:w="15" w:type="dxa"/>
            <w:right w:w="15" w:type="dxa"/>
          </w:tblCellMar>
        </w:tblPrEx>
        <w:trPr>
          <w:trHeight w:val="283" w:hRule="atLeast"/>
        </w:trPr>
        <w:tc>
          <w:tcPr>
            <w:tcW w:w="525" w:type="dxa"/>
            <w:tcBorders>
              <w:tl2br w:val="nil"/>
              <w:tr2bl w:val="nil"/>
            </w:tcBorders>
            <w:shd w:val="clear" w:color="auto" w:fill="auto"/>
            <w:tcMar>
              <w:top w:w="120" w:type="dxa"/>
              <w:left w:w="120" w:type="dxa"/>
              <w:bottom w:w="120" w:type="dxa"/>
              <w:right w:w="120" w:type="dxa"/>
            </w:tcMar>
            <w:vAlign w:val="center"/>
          </w:tcPr>
          <w:p w14:paraId="37912C38">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w:t>
            </w:r>
          </w:p>
        </w:tc>
        <w:tc>
          <w:tcPr>
            <w:tcW w:w="989" w:type="dxa"/>
            <w:tcBorders>
              <w:tl2br w:val="nil"/>
              <w:tr2bl w:val="nil"/>
            </w:tcBorders>
            <w:shd w:val="clear" w:color="auto" w:fill="auto"/>
            <w:tcMar>
              <w:top w:w="120" w:type="dxa"/>
              <w:left w:w="120" w:type="dxa"/>
              <w:bottom w:w="120" w:type="dxa"/>
              <w:right w:w="120" w:type="dxa"/>
            </w:tcMar>
            <w:vAlign w:val="center"/>
          </w:tcPr>
          <w:p w14:paraId="2259AB5E">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堆肥间渗滤液</w:t>
            </w:r>
          </w:p>
        </w:tc>
        <w:tc>
          <w:tcPr>
            <w:tcW w:w="1500" w:type="dxa"/>
            <w:tcBorders>
              <w:tl2br w:val="nil"/>
              <w:tr2bl w:val="nil"/>
            </w:tcBorders>
            <w:shd w:val="clear" w:color="auto" w:fill="auto"/>
            <w:tcMar>
              <w:top w:w="120" w:type="dxa"/>
              <w:left w:w="120" w:type="dxa"/>
              <w:bottom w:w="120" w:type="dxa"/>
              <w:right w:w="120" w:type="dxa"/>
            </w:tcMar>
            <w:vAlign w:val="center"/>
          </w:tcPr>
          <w:p w14:paraId="396BA265">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16.75</w:t>
            </w:r>
          </w:p>
        </w:tc>
        <w:tc>
          <w:tcPr>
            <w:tcW w:w="1440" w:type="dxa"/>
            <w:tcBorders>
              <w:tl2br w:val="nil"/>
              <w:tr2bl w:val="nil"/>
            </w:tcBorders>
            <w:shd w:val="clear" w:color="auto" w:fill="auto"/>
            <w:tcMar>
              <w:top w:w="120" w:type="dxa"/>
              <w:left w:w="120" w:type="dxa"/>
              <w:bottom w:w="120" w:type="dxa"/>
              <w:right w:w="120" w:type="dxa"/>
            </w:tcMar>
            <w:vAlign w:val="center"/>
          </w:tcPr>
          <w:p w14:paraId="1941A251">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38000</w:t>
            </w:r>
          </w:p>
        </w:tc>
        <w:tc>
          <w:tcPr>
            <w:tcW w:w="1305" w:type="dxa"/>
            <w:tcBorders>
              <w:tl2br w:val="nil"/>
              <w:tr2bl w:val="nil"/>
            </w:tcBorders>
            <w:shd w:val="clear" w:color="auto" w:fill="auto"/>
            <w:tcMar>
              <w:top w:w="120" w:type="dxa"/>
              <w:left w:w="120" w:type="dxa"/>
              <w:bottom w:w="120" w:type="dxa"/>
              <w:right w:w="120" w:type="dxa"/>
            </w:tcMar>
            <w:vAlign w:val="center"/>
          </w:tcPr>
          <w:p w14:paraId="4C0CB79A">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2800</w:t>
            </w:r>
          </w:p>
        </w:tc>
        <w:tc>
          <w:tcPr>
            <w:tcW w:w="1725" w:type="dxa"/>
            <w:tcBorders>
              <w:tl2br w:val="nil"/>
              <w:tr2bl w:val="nil"/>
            </w:tcBorders>
            <w:shd w:val="clear" w:color="auto" w:fill="auto"/>
            <w:tcMar>
              <w:top w:w="120" w:type="dxa"/>
              <w:left w:w="120" w:type="dxa"/>
              <w:bottom w:w="120" w:type="dxa"/>
              <w:right w:w="120" w:type="dxa"/>
            </w:tcMar>
            <w:vAlign w:val="center"/>
          </w:tcPr>
          <w:p w14:paraId="5099B906">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收集池收集，定期回喷堆肥翻拌消纳</w:t>
            </w:r>
          </w:p>
        </w:tc>
        <w:tc>
          <w:tcPr>
            <w:tcW w:w="821" w:type="dxa"/>
            <w:tcBorders>
              <w:tl2br w:val="nil"/>
              <w:tr2bl w:val="nil"/>
            </w:tcBorders>
            <w:shd w:val="clear" w:color="auto" w:fill="auto"/>
            <w:tcMar>
              <w:top w:w="120" w:type="dxa"/>
              <w:left w:w="120" w:type="dxa"/>
              <w:bottom w:w="120" w:type="dxa"/>
              <w:right w:w="120" w:type="dxa"/>
            </w:tcMar>
            <w:vAlign w:val="center"/>
          </w:tcPr>
          <w:p w14:paraId="5A2757B7">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外排</w:t>
            </w:r>
          </w:p>
        </w:tc>
      </w:tr>
      <w:tr w14:paraId="29E580B0">
        <w:tblPrEx>
          <w:tblBorders>
            <w:top w:val="single" w:color="000000" w:themeColor="text1" w:sz="12" w:space="0"/>
            <w:left w:val="none" w:color="auto" w:sz="0" w:space="0"/>
            <w:bottom w:val="single" w:color="000000" w:themeColor="text1" w:sz="12" w:space="0"/>
            <w:right w:val="none" w:color="auto" w:sz="0" w:space="0"/>
            <w:insideH w:val="single" w:color="000000" w:themeColor="text1" w:sz="6" w:space="0"/>
            <w:insideV w:val="single" w:color="000000" w:themeColor="text1" w:sz="6" w:space="0"/>
          </w:tblBorders>
          <w:shd w:val="clear" w:color="auto" w:fill="auto"/>
          <w:tblCellMar>
            <w:top w:w="15" w:type="dxa"/>
            <w:left w:w="15" w:type="dxa"/>
            <w:bottom w:w="15" w:type="dxa"/>
            <w:right w:w="15" w:type="dxa"/>
          </w:tblCellMar>
        </w:tblPrEx>
        <w:trPr>
          <w:trHeight w:val="283" w:hRule="atLeast"/>
        </w:trPr>
        <w:tc>
          <w:tcPr>
            <w:tcW w:w="525" w:type="dxa"/>
            <w:tcBorders>
              <w:tl2br w:val="nil"/>
              <w:tr2bl w:val="nil"/>
            </w:tcBorders>
            <w:shd w:val="clear" w:color="auto" w:fill="auto"/>
            <w:tcMar>
              <w:top w:w="120" w:type="dxa"/>
              <w:left w:w="120" w:type="dxa"/>
              <w:bottom w:w="120" w:type="dxa"/>
              <w:right w:w="120" w:type="dxa"/>
            </w:tcMar>
            <w:vAlign w:val="center"/>
          </w:tcPr>
          <w:p w14:paraId="3906A6D2">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p>
        </w:tc>
        <w:tc>
          <w:tcPr>
            <w:tcW w:w="989" w:type="dxa"/>
            <w:tcBorders>
              <w:tl2br w:val="nil"/>
              <w:tr2bl w:val="nil"/>
            </w:tcBorders>
            <w:shd w:val="clear" w:color="auto" w:fill="auto"/>
            <w:tcMar>
              <w:top w:w="120" w:type="dxa"/>
              <w:left w:w="120" w:type="dxa"/>
              <w:bottom w:w="120" w:type="dxa"/>
              <w:right w:w="120" w:type="dxa"/>
            </w:tcMar>
            <w:vAlign w:val="center"/>
          </w:tcPr>
          <w:p w14:paraId="4DEBA771">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厂区初期雨水</w:t>
            </w:r>
          </w:p>
        </w:tc>
        <w:tc>
          <w:tcPr>
            <w:tcW w:w="1500" w:type="dxa"/>
            <w:tcBorders>
              <w:tl2br w:val="nil"/>
              <w:tr2bl w:val="nil"/>
            </w:tcBorders>
            <w:shd w:val="clear" w:color="auto" w:fill="auto"/>
            <w:tcMar>
              <w:top w:w="120" w:type="dxa"/>
              <w:left w:w="120" w:type="dxa"/>
              <w:bottom w:w="120" w:type="dxa"/>
              <w:right w:w="120" w:type="dxa"/>
            </w:tcMar>
            <w:vAlign w:val="center"/>
          </w:tcPr>
          <w:p w14:paraId="36749697">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lang w:val="en-US" w:eastAsia="zh-CN"/>
              </w:rPr>
              <w:t>2239.15m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/次</w:t>
            </w:r>
          </w:p>
        </w:tc>
        <w:tc>
          <w:tcPr>
            <w:tcW w:w="1440" w:type="dxa"/>
            <w:tcBorders>
              <w:tl2br w:val="nil"/>
              <w:tr2bl w:val="nil"/>
            </w:tcBorders>
            <w:shd w:val="clear" w:color="auto" w:fill="auto"/>
            <w:tcMar>
              <w:top w:w="120" w:type="dxa"/>
              <w:left w:w="120" w:type="dxa"/>
              <w:bottom w:w="120" w:type="dxa"/>
              <w:right w:w="120" w:type="dxa"/>
            </w:tcMar>
            <w:vAlign w:val="center"/>
          </w:tcPr>
          <w:p w14:paraId="4327516D">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305" w:type="dxa"/>
            <w:tcBorders>
              <w:tl2br w:val="nil"/>
              <w:tr2bl w:val="nil"/>
            </w:tcBorders>
            <w:shd w:val="clear" w:color="auto" w:fill="auto"/>
            <w:tcMar>
              <w:top w:w="120" w:type="dxa"/>
              <w:left w:w="120" w:type="dxa"/>
              <w:bottom w:w="120" w:type="dxa"/>
              <w:right w:w="120" w:type="dxa"/>
            </w:tcMar>
            <w:vAlign w:val="center"/>
          </w:tcPr>
          <w:p w14:paraId="7086F269">
            <w:pPr>
              <w:pStyle w:val="146"/>
              <w:keepNext w:val="0"/>
              <w:keepLines w:val="0"/>
              <w:pageBreakBefore w:val="0"/>
              <w:widowControl w:val="0"/>
              <w:kinsoku/>
              <w:wordWrap/>
              <w:overflowPunct/>
              <w:topLinePunct w:val="0"/>
              <w:autoSpaceDE/>
              <w:autoSpaceDN/>
              <w:bidi w:val="0"/>
              <w:adjustRightInd/>
              <w:snapToGrid w:val="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1725" w:type="dxa"/>
            <w:tcBorders>
              <w:tl2br w:val="nil"/>
              <w:tr2bl w:val="nil"/>
            </w:tcBorders>
            <w:shd w:val="clear" w:color="auto" w:fill="auto"/>
            <w:tcMar>
              <w:top w:w="120" w:type="dxa"/>
              <w:left w:w="120" w:type="dxa"/>
              <w:bottom w:w="120" w:type="dxa"/>
              <w:right w:w="120" w:type="dxa"/>
            </w:tcMar>
            <w:vAlign w:val="center"/>
          </w:tcPr>
          <w:p w14:paraId="6CDBB54F">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初期雨水收集池收集</w:t>
            </w:r>
            <w:r>
              <w:rPr>
                <w:rFonts w:hint="eastAsia" w:ascii="Times New Roman" w:hAnsi="Times New Roman" w:eastAsia="宋体" w:cs="Times New Roman"/>
                <w:color w:val="auto"/>
                <w:highlight w:val="none"/>
                <w:lang w:val="en-US" w:eastAsia="zh-CN"/>
              </w:rPr>
              <w:t>沉淀后用于场地降尘</w:t>
            </w:r>
          </w:p>
        </w:tc>
        <w:tc>
          <w:tcPr>
            <w:tcW w:w="821" w:type="dxa"/>
            <w:tcBorders>
              <w:tl2br w:val="nil"/>
              <w:tr2bl w:val="nil"/>
            </w:tcBorders>
            <w:shd w:val="clear" w:color="auto" w:fill="auto"/>
            <w:tcMar>
              <w:top w:w="120" w:type="dxa"/>
              <w:left w:w="120" w:type="dxa"/>
              <w:bottom w:w="120" w:type="dxa"/>
              <w:right w:w="120" w:type="dxa"/>
            </w:tcMar>
            <w:vAlign w:val="center"/>
          </w:tcPr>
          <w:p w14:paraId="278A96D3">
            <w:pPr>
              <w:pStyle w:val="146"/>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lang w:val="en-US" w:eastAsia="zh-CN"/>
              </w:rPr>
              <w:t>外排</w:t>
            </w:r>
          </w:p>
        </w:tc>
      </w:tr>
    </w:tbl>
    <w:p w14:paraId="3F8FC81D">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3.4.2.3噪声污染源强核算</w:t>
      </w:r>
    </w:p>
    <w:p w14:paraId="4B311052">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本项目的噪声主要来自牛只叫声、风机、水泵等，噪声声级约</w:t>
      </w:r>
      <w:r>
        <w:rPr>
          <w:rFonts w:hint="default" w:ascii="Times New Roman" w:hAnsi="Times New Roman" w:eastAsia="宋体" w:cs="Times New Roman"/>
          <w:color w:val="auto"/>
          <w:highlight w:val="none"/>
          <w:lang w:val="en-US" w:eastAsia="zh-CN"/>
        </w:rPr>
        <w:t>65</w:t>
      </w:r>
      <w:r>
        <w:rPr>
          <w:rFonts w:hint="default" w:ascii="Times New Roman" w:hAnsi="Times New Roman" w:eastAsia="宋体" w:cs="Times New Roman"/>
          <w:color w:val="auto"/>
          <w:highlight w:val="none"/>
        </w:rPr>
        <w:t>-90dB（A），项目主要噪声源及源强见下表。</w:t>
      </w:r>
    </w:p>
    <w:p w14:paraId="3D69C671">
      <w:pPr>
        <w:pStyle w:val="21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305D81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表3-4-</w:t>
      </w:r>
      <w:r>
        <w:rPr>
          <w:rFonts w:hint="eastAsia" w:cs="Times New Roman"/>
          <w:color w:val="auto"/>
          <w:highlight w:val="none"/>
          <w:lang w:val="en-US" w:eastAsia="zh-CN"/>
        </w:rPr>
        <w:t>6</w:t>
      </w:r>
      <w:r>
        <w:rPr>
          <w:rFonts w:hint="default" w:ascii="Times New Roman" w:hAnsi="Times New Roman" w:cs="Times New Roman"/>
          <w:color w:val="auto"/>
          <w:highlight w:val="none"/>
        </w:rPr>
        <w:t>噪声源强一览表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2"/>
        <w:gridCol w:w="780"/>
        <w:gridCol w:w="615"/>
        <w:gridCol w:w="405"/>
        <w:gridCol w:w="690"/>
        <w:gridCol w:w="420"/>
        <w:gridCol w:w="765"/>
        <w:gridCol w:w="810"/>
        <w:gridCol w:w="555"/>
        <w:gridCol w:w="480"/>
        <w:gridCol w:w="555"/>
        <w:gridCol w:w="495"/>
        <w:gridCol w:w="510"/>
        <w:gridCol w:w="495"/>
        <w:gridCol w:w="525"/>
        <w:gridCol w:w="540"/>
        <w:gridCol w:w="540"/>
        <w:gridCol w:w="435"/>
        <w:gridCol w:w="720"/>
        <w:gridCol w:w="495"/>
        <w:gridCol w:w="540"/>
        <w:gridCol w:w="570"/>
        <w:gridCol w:w="531"/>
        <w:gridCol w:w="385"/>
      </w:tblGrid>
      <w:tr w14:paraId="28742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44" w:type="pct"/>
            <w:vMerge w:val="restart"/>
            <w:vAlign w:val="center"/>
          </w:tcPr>
          <w:p w14:paraId="04A178D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94" w:type="pct"/>
            <w:vMerge w:val="restart"/>
            <w:vAlign w:val="center"/>
          </w:tcPr>
          <w:p w14:paraId="2437078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建筑物名称</w:t>
            </w:r>
          </w:p>
        </w:tc>
        <w:tc>
          <w:tcPr>
            <w:tcW w:w="232" w:type="pct"/>
            <w:vMerge w:val="restart"/>
            <w:vAlign w:val="center"/>
          </w:tcPr>
          <w:p w14:paraId="10B5F19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声源名称</w:t>
            </w:r>
          </w:p>
        </w:tc>
        <w:tc>
          <w:tcPr>
            <w:tcW w:w="152" w:type="pct"/>
            <w:vMerge w:val="restart"/>
            <w:vAlign w:val="center"/>
          </w:tcPr>
          <w:p w14:paraId="6354058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型号</w:t>
            </w:r>
          </w:p>
        </w:tc>
        <w:tc>
          <w:tcPr>
            <w:tcW w:w="260" w:type="pct"/>
            <w:vAlign w:val="center"/>
          </w:tcPr>
          <w:p w14:paraId="339326B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声源源强</w:t>
            </w:r>
          </w:p>
        </w:tc>
        <w:tc>
          <w:tcPr>
            <w:tcW w:w="158" w:type="pct"/>
            <w:vMerge w:val="restart"/>
            <w:vAlign w:val="center"/>
          </w:tcPr>
          <w:p w14:paraId="68884AE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声源控制措施</w:t>
            </w:r>
          </w:p>
        </w:tc>
        <w:tc>
          <w:tcPr>
            <w:tcW w:w="804" w:type="pct"/>
            <w:gridSpan w:val="3"/>
            <w:vAlign w:val="center"/>
          </w:tcPr>
          <w:p w14:paraId="257D7AF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空间相对位置/m</w:t>
            </w:r>
          </w:p>
        </w:tc>
        <w:tc>
          <w:tcPr>
            <w:tcW w:w="770" w:type="pct"/>
            <w:gridSpan w:val="4"/>
            <w:vMerge w:val="restart"/>
            <w:vAlign w:val="center"/>
          </w:tcPr>
          <w:p w14:paraId="4379920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距室内边界距离/m</w:t>
            </w:r>
          </w:p>
        </w:tc>
        <w:tc>
          <w:tcPr>
            <w:tcW w:w="793" w:type="pct"/>
            <w:gridSpan w:val="4"/>
            <w:vMerge w:val="restart"/>
            <w:vAlign w:val="center"/>
          </w:tcPr>
          <w:p w14:paraId="0711F2EB">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室内边界声级/dB(A)</w:t>
            </w:r>
          </w:p>
        </w:tc>
        <w:tc>
          <w:tcPr>
            <w:tcW w:w="164" w:type="pct"/>
            <w:vMerge w:val="restart"/>
            <w:vAlign w:val="center"/>
          </w:tcPr>
          <w:p w14:paraId="2E13335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运行时段</w:t>
            </w:r>
          </w:p>
        </w:tc>
        <w:tc>
          <w:tcPr>
            <w:tcW w:w="271" w:type="pct"/>
            <w:vMerge w:val="restart"/>
            <w:vAlign w:val="center"/>
          </w:tcPr>
          <w:p w14:paraId="629902A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建筑物插入损失/dB(A)</w:t>
            </w:r>
          </w:p>
        </w:tc>
        <w:tc>
          <w:tcPr>
            <w:tcW w:w="952" w:type="pct"/>
            <w:gridSpan w:val="5"/>
            <w:vAlign w:val="center"/>
          </w:tcPr>
          <w:p w14:paraId="527AE03C">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建筑物外噪声</w:t>
            </w:r>
          </w:p>
        </w:tc>
      </w:tr>
      <w:tr w14:paraId="2CEFF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44" w:type="pct"/>
            <w:vMerge w:val="continue"/>
            <w:shd w:val="clear" w:color="auto" w:fill="FFFFFF"/>
            <w:vAlign w:val="center"/>
          </w:tcPr>
          <w:p w14:paraId="058444A2">
            <w:pPr>
              <w:pStyle w:val="146"/>
              <w:jc w:val="center"/>
              <w:rPr>
                <w:rFonts w:hint="default" w:ascii="Times New Roman" w:hAnsi="Times New Roman" w:eastAsia="宋体" w:cs="Times New Roman"/>
                <w:color w:val="auto"/>
                <w:highlight w:val="none"/>
              </w:rPr>
            </w:pPr>
          </w:p>
        </w:tc>
        <w:tc>
          <w:tcPr>
            <w:tcW w:w="294" w:type="pct"/>
            <w:vMerge w:val="continue"/>
            <w:shd w:val="clear" w:color="auto" w:fill="FFFFFF"/>
            <w:vAlign w:val="center"/>
          </w:tcPr>
          <w:p w14:paraId="585C96E2">
            <w:pPr>
              <w:pStyle w:val="146"/>
              <w:jc w:val="center"/>
              <w:rPr>
                <w:rFonts w:hint="default" w:ascii="Times New Roman" w:hAnsi="Times New Roman" w:eastAsia="宋体" w:cs="Times New Roman"/>
                <w:color w:val="auto"/>
                <w:highlight w:val="none"/>
              </w:rPr>
            </w:pPr>
          </w:p>
        </w:tc>
        <w:tc>
          <w:tcPr>
            <w:tcW w:w="232" w:type="pct"/>
            <w:vMerge w:val="continue"/>
            <w:shd w:val="clear" w:color="auto" w:fill="FFFFFF"/>
            <w:vAlign w:val="center"/>
          </w:tcPr>
          <w:p w14:paraId="233E68F0">
            <w:pPr>
              <w:pStyle w:val="146"/>
              <w:jc w:val="center"/>
              <w:rPr>
                <w:rFonts w:hint="default" w:ascii="Times New Roman" w:hAnsi="Times New Roman" w:eastAsia="宋体" w:cs="Times New Roman"/>
                <w:color w:val="auto"/>
                <w:highlight w:val="none"/>
              </w:rPr>
            </w:pPr>
          </w:p>
        </w:tc>
        <w:tc>
          <w:tcPr>
            <w:tcW w:w="152" w:type="pct"/>
            <w:vMerge w:val="continue"/>
            <w:shd w:val="clear" w:color="auto" w:fill="FFFFFF"/>
            <w:vAlign w:val="center"/>
          </w:tcPr>
          <w:p w14:paraId="5DEDB53D">
            <w:pPr>
              <w:pStyle w:val="146"/>
              <w:jc w:val="center"/>
              <w:rPr>
                <w:rFonts w:hint="default" w:ascii="Times New Roman" w:hAnsi="Times New Roman" w:eastAsia="宋体" w:cs="Times New Roman"/>
                <w:color w:val="auto"/>
                <w:highlight w:val="none"/>
              </w:rPr>
            </w:pPr>
          </w:p>
        </w:tc>
        <w:tc>
          <w:tcPr>
            <w:tcW w:w="260" w:type="pct"/>
            <w:shd w:val="clear" w:color="auto" w:fill="FFFFFF"/>
            <w:vAlign w:val="center"/>
          </w:tcPr>
          <w:p w14:paraId="36735C33">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声功率级/dB(A)</w:t>
            </w:r>
          </w:p>
        </w:tc>
        <w:tc>
          <w:tcPr>
            <w:tcW w:w="158" w:type="pct"/>
            <w:vMerge w:val="continue"/>
            <w:shd w:val="clear" w:color="auto" w:fill="FFFFFF"/>
            <w:vAlign w:val="center"/>
          </w:tcPr>
          <w:p w14:paraId="114C5408">
            <w:pPr>
              <w:pStyle w:val="146"/>
              <w:jc w:val="center"/>
              <w:rPr>
                <w:rFonts w:hint="default" w:ascii="Times New Roman" w:hAnsi="Times New Roman" w:eastAsia="宋体" w:cs="Times New Roman"/>
                <w:color w:val="auto"/>
                <w:highlight w:val="none"/>
              </w:rPr>
            </w:pPr>
          </w:p>
        </w:tc>
        <w:tc>
          <w:tcPr>
            <w:tcW w:w="288" w:type="pct"/>
            <w:shd w:val="clear" w:color="auto" w:fill="FFFFFF"/>
            <w:vAlign w:val="center"/>
          </w:tcPr>
          <w:p w14:paraId="7947E8D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X</w:t>
            </w:r>
          </w:p>
        </w:tc>
        <w:tc>
          <w:tcPr>
            <w:tcW w:w="305" w:type="pct"/>
            <w:shd w:val="clear" w:color="auto" w:fill="FFFFFF"/>
            <w:vAlign w:val="center"/>
          </w:tcPr>
          <w:p w14:paraId="3B2E692F">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Y</w:t>
            </w:r>
          </w:p>
        </w:tc>
        <w:tc>
          <w:tcPr>
            <w:tcW w:w="209" w:type="pct"/>
            <w:shd w:val="clear" w:color="auto" w:fill="FFFFFF"/>
            <w:vAlign w:val="center"/>
          </w:tcPr>
          <w:p w14:paraId="5B9FF00D">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Z</w:t>
            </w:r>
          </w:p>
        </w:tc>
        <w:tc>
          <w:tcPr>
            <w:tcW w:w="770" w:type="pct"/>
            <w:gridSpan w:val="4"/>
            <w:vMerge w:val="continue"/>
            <w:shd w:val="clear" w:color="auto" w:fill="FFFFFF"/>
            <w:vAlign w:val="center"/>
          </w:tcPr>
          <w:p w14:paraId="3920469D">
            <w:pPr>
              <w:pStyle w:val="146"/>
              <w:jc w:val="center"/>
              <w:rPr>
                <w:rFonts w:hint="default" w:ascii="Times New Roman" w:hAnsi="Times New Roman" w:eastAsia="宋体" w:cs="Times New Roman"/>
                <w:color w:val="auto"/>
                <w:highlight w:val="none"/>
              </w:rPr>
            </w:pPr>
          </w:p>
        </w:tc>
        <w:tc>
          <w:tcPr>
            <w:tcW w:w="793" w:type="pct"/>
            <w:gridSpan w:val="4"/>
            <w:vMerge w:val="continue"/>
            <w:shd w:val="clear" w:color="auto" w:fill="FFFFFF"/>
            <w:vAlign w:val="center"/>
          </w:tcPr>
          <w:p w14:paraId="260361DB">
            <w:pPr>
              <w:pStyle w:val="146"/>
              <w:jc w:val="center"/>
              <w:rPr>
                <w:rFonts w:hint="default" w:ascii="Times New Roman" w:hAnsi="Times New Roman" w:eastAsia="宋体" w:cs="Times New Roman"/>
                <w:color w:val="auto"/>
                <w:highlight w:val="none"/>
              </w:rPr>
            </w:pPr>
          </w:p>
        </w:tc>
        <w:tc>
          <w:tcPr>
            <w:tcW w:w="164" w:type="pct"/>
            <w:vMerge w:val="continue"/>
            <w:shd w:val="clear" w:color="auto" w:fill="FFFFFF"/>
            <w:vAlign w:val="center"/>
          </w:tcPr>
          <w:p w14:paraId="644490C3">
            <w:pPr>
              <w:pStyle w:val="146"/>
              <w:jc w:val="center"/>
              <w:rPr>
                <w:rFonts w:hint="default" w:ascii="Times New Roman" w:hAnsi="Times New Roman" w:eastAsia="宋体" w:cs="Times New Roman"/>
                <w:color w:val="auto"/>
                <w:highlight w:val="none"/>
              </w:rPr>
            </w:pPr>
          </w:p>
        </w:tc>
        <w:tc>
          <w:tcPr>
            <w:tcW w:w="271" w:type="pct"/>
            <w:vMerge w:val="continue"/>
            <w:shd w:val="clear" w:color="auto" w:fill="FFFFFF"/>
            <w:vAlign w:val="center"/>
          </w:tcPr>
          <w:p w14:paraId="03DE49E2">
            <w:pPr>
              <w:pStyle w:val="146"/>
              <w:jc w:val="center"/>
              <w:rPr>
                <w:rFonts w:hint="default" w:ascii="Times New Roman" w:hAnsi="Times New Roman" w:eastAsia="宋体" w:cs="Times New Roman"/>
                <w:color w:val="auto"/>
                <w:highlight w:val="none"/>
              </w:rPr>
            </w:pPr>
          </w:p>
        </w:tc>
        <w:tc>
          <w:tcPr>
            <w:tcW w:w="806" w:type="pct"/>
            <w:gridSpan w:val="4"/>
            <w:shd w:val="clear" w:color="auto" w:fill="FFFFFF"/>
            <w:vAlign w:val="center"/>
          </w:tcPr>
          <w:p w14:paraId="27958E0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声压级/dB(A)</w:t>
            </w:r>
          </w:p>
        </w:tc>
        <w:tc>
          <w:tcPr>
            <w:tcW w:w="145" w:type="pct"/>
            <w:shd w:val="clear" w:color="auto" w:fill="FFFFFF"/>
            <w:vAlign w:val="center"/>
          </w:tcPr>
          <w:p w14:paraId="7CF8ED45">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建筑物外距离</w:t>
            </w:r>
          </w:p>
        </w:tc>
      </w:tr>
      <w:tr w14:paraId="78B43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4C35FDC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94" w:type="pct"/>
            <w:shd w:val="clear" w:color="auto" w:fill="FFFFFF"/>
            <w:vAlign w:val="center"/>
          </w:tcPr>
          <w:p w14:paraId="0A3A0F7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TMR车间及精料库</w:t>
            </w:r>
          </w:p>
        </w:tc>
        <w:tc>
          <w:tcPr>
            <w:tcW w:w="232" w:type="pct"/>
            <w:shd w:val="clear" w:color="auto" w:fill="FFFFFF"/>
            <w:vAlign w:val="center"/>
          </w:tcPr>
          <w:p w14:paraId="00C7200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TMR饲料搅拌罐</w:t>
            </w:r>
          </w:p>
        </w:tc>
        <w:tc>
          <w:tcPr>
            <w:tcW w:w="152" w:type="pct"/>
            <w:shd w:val="clear" w:color="auto" w:fill="FFFFFF"/>
            <w:vAlign w:val="center"/>
          </w:tcPr>
          <w:p w14:paraId="05AF74B1">
            <w:pPr>
              <w:pStyle w:val="146"/>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231951F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158" w:type="pct"/>
            <w:vMerge w:val="restart"/>
            <w:shd w:val="clear" w:color="auto" w:fill="FFFFFF"/>
            <w:vAlign w:val="center"/>
          </w:tcPr>
          <w:p w14:paraId="793F12CA">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低噪设备、厂房隔声、基础减振</w:t>
            </w:r>
          </w:p>
        </w:tc>
        <w:tc>
          <w:tcPr>
            <w:tcW w:w="288" w:type="pct"/>
            <w:shd w:val="clear" w:color="auto" w:fill="FFFFFF"/>
            <w:vAlign w:val="center"/>
          </w:tcPr>
          <w:p w14:paraId="04BAB81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305" w:type="pct"/>
            <w:shd w:val="clear" w:color="auto" w:fill="FFFFFF"/>
            <w:vAlign w:val="center"/>
          </w:tcPr>
          <w:p w14:paraId="21972B5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270.1</w:t>
            </w:r>
          </w:p>
        </w:tc>
        <w:tc>
          <w:tcPr>
            <w:tcW w:w="209" w:type="pct"/>
            <w:shd w:val="clear" w:color="auto" w:fill="FFFFFF"/>
            <w:vAlign w:val="center"/>
          </w:tcPr>
          <w:p w14:paraId="498F620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49C41B1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28.40</w:t>
            </w:r>
          </w:p>
        </w:tc>
        <w:tc>
          <w:tcPr>
            <w:tcW w:w="209" w:type="pct"/>
            <w:shd w:val="clear" w:color="auto" w:fill="FFFFFF"/>
            <w:vAlign w:val="center"/>
          </w:tcPr>
          <w:p w14:paraId="0AECE4C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29.87</w:t>
            </w:r>
          </w:p>
        </w:tc>
        <w:tc>
          <w:tcPr>
            <w:tcW w:w="186" w:type="pct"/>
            <w:shd w:val="clear" w:color="auto" w:fill="FFFFFF"/>
            <w:vAlign w:val="center"/>
          </w:tcPr>
          <w:p w14:paraId="168FAEB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57.54</w:t>
            </w:r>
          </w:p>
        </w:tc>
        <w:tc>
          <w:tcPr>
            <w:tcW w:w="192" w:type="pct"/>
            <w:shd w:val="clear" w:color="auto" w:fill="FFFFFF"/>
            <w:vAlign w:val="center"/>
          </w:tcPr>
          <w:p w14:paraId="2010281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17.95</w:t>
            </w:r>
          </w:p>
        </w:tc>
        <w:tc>
          <w:tcPr>
            <w:tcW w:w="186" w:type="pct"/>
            <w:shd w:val="clear" w:color="auto" w:fill="FFFFFF"/>
            <w:vAlign w:val="center"/>
          </w:tcPr>
          <w:p w14:paraId="1ED946B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59.45</w:t>
            </w:r>
          </w:p>
        </w:tc>
        <w:tc>
          <w:tcPr>
            <w:tcW w:w="198" w:type="pct"/>
            <w:shd w:val="clear" w:color="auto" w:fill="FFFFFF"/>
            <w:vAlign w:val="center"/>
          </w:tcPr>
          <w:p w14:paraId="0EFFE57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59.42</w:t>
            </w:r>
          </w:p>
        </w:tc>
        <w:tc>
          <w:tcPr>
            <w:tcW w:w="203" w:type="pct"/>
            <w:shd w:val="clear" w:color="auto" w:fill="FFFFFF"/>
            <w:vAlign w:val="center"/>
          </w:tcPr>
          <w:p w14:paraId="0744F77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59.22</w:t>
            </w:r>
          </w:p>
        </w:tc>
        <w:tc>
          <w:tcPr>
            <w:tcW w:w="203" w:type="pct"/>
            <w:shd w:val="clear" w:color="auto" w:fill="FFFFFF"/>
            <w:vAlign w:val="center"/>
          </w:tcPr>
          <w:p w14:paraId="39C359A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59.89</w:t>
            </w:r>
          </w:p>
        </w:tc>
        <w:tc>
          <w:tcPr>
            <w:tcW w:w="164" w:type="pct"/>
            <w:shd w:val="clear" w:color="auto" w:fill="FFFFFF"/>
            <w:vAlign w:val="center"/>
          </w:tcPr>
          <w:p w14:paraId="226CE85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406499A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53BAEAD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22220A7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48.80</w:t>
            </w:r>
          </w:p>
        </w:tc>
        <w:tc>
          <w:tcPr>
            <w:tcW w:w="203" w:type="pct"/>
            <w:shd w:val="clear" w:color="auto" w:fill="FFFFFF"/>
            <w:vAlign w:val="center"/>
          </w:tcPr>
          <w:p w14:paraId="26D0FCC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51.50</w:t>
            </w:r>
          </w:p>
        </w:tc>
        <w:tc>
          <w:tcPr>
            <w:tcW w:w="215" w:type="pct"/>
            <w:shd w:val="clear" w:color="auto" w:fill="FFFFFF"/>
            <w:vAlign w:val="center"/>
          </w:tcPr>
          <w:p w14:paraId="49CE7AB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48.56</w:t>
            </w:r>
          </w:p>
        </w:tc>
        <w:tc>
          <w:tcPr>
            <w:tcW w:w="200" w:type="pct"/>
            <w:shd w:val="clear" w:color="auto" w:fill="FFFFFF"/>
            <w:vAlign w:val="center"/>
          </w:tcPr>
          <w:p w14:paraId="7E2C10C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51.97</w:t>
            </w:r>
          </w:p>
        </w:tc>
        <w:tc>
          <w:tcPr>
            <w:tcW w:w="145" w:type="pct"/>
            <w:shd w:val="clear" w:color="auto" w:fill="FFFFFF"/>
            <w:vAlign w:val="center"/>
          </w:tcPr>
          <w:p w14:paraId="428D199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0A75E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0FAC7DF7">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294" w:type="pct"/>
            <w:shd w:val="clear" w:color="auto" w:fill="FFFFFF"/>
            <w:vAlign w:val="center"/>
          </w:tcPr>
          <w:p w14:paraId="02D35C4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堆肥间</w:t>
            </w:r>
          </w:p>
        </w:tc>
        <w:tc>
          <w:tcPr>
            <w:tcW w:w="232" w:type="pct"/>
            <w:shd w:val="clear" w:color="auto" w:fill="FFFFFF"/>
            <w:vAlign w:val="center"/>
          </w:tcPr>
          <w:p w14:paraId="3067CF1E">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换气风机</w:t>
            </w:r>
          </w:p>
        </w:tc>
        <w:tc>
          <w:tcPr>
            <w:tcW w:w="152" w:type="pct"/>
            <w:shd w:val="clear" w:color="auto" w:fill="FFFFFF"/>
            <w:vAlign w:val="center"/>
          </w:tcPr>
          <w:p w14:paraId="50C52CAE">
            <w:pPr>
              <w:pStyle w:val="146"/>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341DB6B9">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w:t>
            </w:r>
          </w:p>
        </w:tc>
        <w:tc>
          <w:tcPr>
            <w:tcW w:w="158" w:type="pct"/>
            <w:vMerge w:val="continue"/>
            <w:shd w:val="clear" w:color="auto" w:fill="FFFFFF"/>
            <w:vAlign w:val="center"/>
          </w:tcPr>
          <w:p w14:paraId="6D19E382">
            <w:pPr>
              <w:pStyle w:val="146"/>
              <w:jc w:val="center"/>
              <w:rPr>
                <w:rFonts w:hint="default" w:ascii="Times New Roman" w:hAnsi="Times New Roman" w:eastAsia="宋体" w:cs="Times New Roman"/>
                <w:snapToGrid w:val="0"/>
                <w:color w:val="auto"/>
                <w:highlight w:val="none"/>
              </w:rPr>
            </w:pPr>
          </w:p>
        </w:tc>
        <w:tc>
          <w:tcPr>
            <w:tcW w:w="288" w:type="pct"/>
            <w:shd w:val="clear" w:color="auto" w:fill="FFFFFF"/>
            <w:vAlign w:val="center"/>
          </w:tcPr>
          <w:p w14:paraId="72D10D1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-158.5</w:t>
            </w:r>
          </w:p>
        </w:tc>
        <w:tc>
          <w:tcPr>
            <w:tcW w:w="305" w:type="pct"/>
            <w:shd w:val="clear" w:color="auto" w:fill="FFFFFF"/>
            <w:vAlign w:val="center"/>
          </w:tcPr>
          <w:p w14:paraId="66C668A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-199.9</w:t>
            </w:r>
          </w:p>
        </w:tc>
        <w:tc>
          <w:tcPr>
            <w:tcW w:w="209" w:type="pct"/>
            <w:shd w:val="clear" w:color="auto" w:fill="FFFFFF"/>
            <w:vAlign w:val="center"/>
          </w:tcPr>
          <w:p w14:paraId="71030B9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54F89D1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5.800</w:t>
            </w:r>
          </w:p>
        </w:tc>
        <w:tc>
          <w:tcPr>
            <w:tcW w:w="209" w:type="pct"/>
            <w:shd w:val="clear" w:color="auto" w:fill="FFFFFF"/>
            <w:vAlign w:val="center"/>
          </w:tcPr>
          <w:p w14:paraId="776E530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16.10</w:t>
            </w:r>
          </w:p>
        </w:tc>
        <w:tc>
          <w:tcPr>
            <w:tcW w:w="186" w:type="pct"/>
            <w:shd w:val="clear" w:color="auto" w:fill="FFFFFF"/>
            <w:vAlign w:val="center"/>
          </w:tcPr>
          <w:p w14:paraId="4965708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12.25</w:t>
            </w:r>
          </w:p>
        </w:tc>
        <w:tc>
          <w:tcPr>
            <w:tcW w:w="192" w:type="pct"/>
            <w:shd w:val="clear" w:color="auto" w:fill="FFFFFF"/>
            <w:vAlign w:val="center"/>
          </w:tcPr>
          <w:p w14:paraId="197832C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82.48</w:t>
            </w:r>
          </w:p>
        </w:tc>
        <w:tc>
          <w:tcPr>
            <w:tcW w:w="186" w:type="pct"/>
            <w:shd w:val="clear" w:color="auto" w:fill="FFFFFF"/>
            <w:vAlign w:val="center"/>
          </w:tcPr>
          <w:p w14:paraId="6530C24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69.23</w:t>
            </w:r>
          </w:p>
        </w:tc>
        <w:tc>
          <w:tcPr>
            <w:tcW w:w="198" w:type="pct"/>
            <w:shd w:val="clear" w:color="auto" w:fill="FFFFFF"/>
            <w:vAlign w:val="center"/>
          </w:tcPr>
          <w:p w14:paraId="149242B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66.29</w:t>
            </w:r>
          </w:p>
        </w:tc>
        <w:tc>
          <w:tcPr>
            <w:tcW w:w="203" w:type="pct"/>
            <w:shd w:val="clear" w:color="auto" w:fill="FFFFFF"/>
            <w:vAlign w:val="center"/>
          </w:tcPr>
          <w:p w14:paraId="6195671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66.72</w:t>
            </w:r>
          </w:p>
        </w:tc>
        <w:tc>
          <w:tcPr>
            <w:tcW w:w="203" w:type="pct"/>
            <w:shd w:val="clear" w:color="auto" w:fill="FFFFFF"/>
            <w:vAlign w:val="center"/>
          </w:tcPr>
          <w:p w14:paraId="2A577CD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65.64</w:t>
            </w:r>
          </w:p>
        </w:tc>
        <w:tc>
          <w:tcPr>
            <w:tcW w:w="164" w:type="pct"/>
            <w:shd w:val="clear" w:color="auto" w:fill="FFFFFF"/>
            <w:vAlign w:val="center"/>
          </w:tcPr>
          <w:p w14:paraId="233D930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0E14025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416EC59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13DE816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.53</w:t>
            </w:r>
          </w:p>
        </w:tc>
        <w:tc>
          <w:tcPr>
            <w:tcW w:w="203" w:type="pct"/>
            <w:shd w:val="clear" w:color="auto" w:fill="FFFFFF"/>
            <w:vAlign w:val="center"/>
          </w:tcPr>
          <w:p w14:paraId="6823E9B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.36</w:t>
            </w:r>
          </w:p>
        </w:tc>
        <w:tc>
          <w:tcPr>
            <w:tcW w:w="215" w:type="pct"/>
            <w:shd w:val="clear" w:color="auto" w:fill="FFFFFF"/>
            <w:vAlign w:val="center"/>
          </w:tcPr>
          <w:p w14:paraId="46CBB6D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02</w:t>
            </w:r>
          </w:p>
        </w:tc>
        <w:tc>
          <w:tcPr>
            <w:tcW w:w="200" w:type="pct"/>
            <w:shd w:val="clear" w:color="auto" w:fill="FFFFFF"/>
            <w:vAlign w:val="center"/>
          </w:tcPr>
          <w:p w14:paraId="6B616B4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.71</w:t>
            </w:r>
          </w:p>
        </w:tc>
        <w:tc>
          <w:tcPr>
            <w:tcW w:w="145" w:type="pct"/>
            <w:shd w:val="clear" w:color="auto" w:fill="FFFFFF"/>
            <w:vAlign w:val="center"/>
          </w:tcPr>
          <w:p w14:paraId="7402557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2877C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537E445C">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p>
        </w:tc>
        <w:tc>
          <w:tcPr>
            <w:tcW w:w="294" w:type="pct"/>
            <w:shd w:val="clear" w:color="auto" w:fill="FFFFFF"/>
            <w:vAlign w:val="center"/>
          </w:tcPr>
          <w:p w14:paraId="5B098C4B">
            <w:pPr>
              <w:pStyle w:val="146"/>
              <w:ind w:left="0" w:leftChars="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堆肥间</w:t>
            </w:r>
          </w:p>
        </w:tc>
        <w:tc>
          <w:tcPr>
            <w:tcW w:w="232" w:type="pct"/>
            <w:shd w:val="clear" w:color="auto" w:fill="FFFFFF"/>
            <w:vAlign w:val="center"/>
          </w:tcPr>
          <w:p w14:paraId="37FFA3B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振动机</w:t>
            </w:r>
          </w:p>
        </w:tc>
        <w:tc>
          <w:tcPr>
            <w:tcW w:w="152" w:type="pct"/>
            <w:shd w:val="clear" w:color="auto" w:fill="FFFFFF"/>
            <w:vAlign w:val="center"/>
          </w:tcPr>
          <w:p w14:paraId="7CC75EC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394F6BB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158" w:type="pct"/>
            <w:vMerge w:val="continue"/>
            <w:shd w:val="clear" w:color="auto" w:fill="FFFFFF"/>
            <w:vAlign w:val="center"/>
          </w:tcPr>
          <w:p w14:paraId="3AB06D18">
            <w:pPr>
              <w:pStyle w:val="146"/>
              <w:jc w:val="center"/>
              <w:rPr>
                <w:rFonts w:hint="default" w:ascii="Times New Roman" w:hAnsi="Times New Roman" w:eastAsia="宋体" w:cs="Times New Roman"/>
                <w:snapToGrid w:val="0"/>
                <w:color w:val="auto"/>
                <w:highlight w:val="none"/>
              </w:rPr>
            </w:pPr>
          </w:p>
        </w:tc>
        <w:tc>
          <w:tcPr>
            <w:tcW w:w="288" w:type="pct"/>
            <w:shd w:val="clear" w:color="auto" w:fill="FFFFFF"/>
            <w:vAlign w:val="center"/>
          </w:tcPr>
          <w:p w14:paraId="32317D7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-145.9</w:t>
            </w:r>
          </w:p>
        </w:tc>
        <w:tc>
          <w:tcPr>
            <w:tcW w:w="305" w:type="pct"/>
            <w:shd w:val="clear" w:color="auto" w:fill="FFFFFF"/>
            <w:vAlign w:val="center"/>
          </w:tcPr>
          <w:p w14:paraId="04261A8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-200.6</w:t>
            </w:r>
          </w:p>
        </w:tc>
        <w:tc>
          <w:tcPr>
            <w:tcW w:w="209" w:type="pct"/>
            <w:shd w:val="clear" w:color="auto" w:fill="FFFFFF"/>
            <w:vAlign w:val="center"/>
          </w:tcPr>
          <w:p w14:paraId="71A682E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330F1EF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18.40</w:t>
            </w:r>
          </w:p>
        </w:tc>
        <w:tc>
          <w:tcPr>
            <w:tcW w:w="209" w:type="pct"/>
            <w:shd w:val="clear" w:color="auto" w:fill="FFFFFF"/>
            <w:vAlign w:val="center"/>
          </w:tcPr>
          <w:p w14:paraId="5D84444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16.80</w:t>
            </w:r>
          </w:p>
        </w:tc>
        <w:tc>
          <w:tcPr>
            <w:tcW w:w="186" w:type="pct"/>
            <w:shd w:val="clear" w:color="auto" w:fill="FFFFFF"/>
            <w:vAlign w:val="center"/>
          </w:tcPr>
          <w:p w14:paraId="73F3A4F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11.51</w:t>
            </w:r>
          </w:p>
        </w:tc>
        <w:tc>
          <w:tcPr>
            <w:tcW w:w="192" w:type="pct"/>
            <w:shd w:val="clear" w:color="auto" w:fill="FFFFFF"/>
            <w:vAlign w:val="center"/>
          </w:tcPr>
          <w:p w14:paraId="6005AB3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69.80</w:t>
            </w:r>
          </w:p>
        </w:tc>
        <w:tc>
          <w:tcPr>
            <w:tcW w:w="186" w:type="pct"/>
            <w:shd w:val="clear" w:color="auto" w:fill="FFFFFF"/>
            <w:vAlign w:val="center"/>
          </w:tcPr>
          <w:p w14:paraId="1336EC2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66.14</w:t>
            </w:r>
          </w:p>
        </w:tc>
        <w:tc>
          <w:tcPr>
            <w:tcW w:w="198" w:type="pct"/>
            <w:shd w:val="clear" w:color="auto" w:fill="FFFFFF"/>
            <w:vAlign w:val="center"/>
          </w:tcPr>
          <w:p w14:paraId="5B4DE49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66.23</w:t>
            </w:r>
          </w:p>
        </w:tc>
        <w:tc>
          <w:tcPr>
            <w:tcW w:w="203" w:type="pct"/>
            <w:shd w:val="clear" w:color="auto" w:fill="FFFFFF"/>
            <w:vAlign w:val="center"/>
          </w:tcPr>
          <w:p w14:paraId="0FAADC6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66.85</w:t>
            </w:r>
          </w:p>
        </w:tc>
        <w:tc>
          <w:tcPr>
            <w:tcW w:w="203" w:type="pct"/>
            <w:shd w:val="clear" w:color="auto" w:fill="FFFFFF"/>
            <w:vAlign w:val="center"/>
          </w:tcPr>
          <w:p w14:paraId="2D16AF0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65.65</w:t>
            </w:r>
          </w:p>
        </w:tc>
        <w:tc>
          <w:tcPr>
            <w:tcW w:w="164" w:type="pct"/>
            <w:shd w:val="clear" w:color="auto" w:fill="FFFFFF"/>
            <w:vAlign w:val="center"/>
          </w:tcPr>
          <w:p w14:paraId="5C6E7A2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46321B2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1FF77BB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72DB85C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53.44</w:t>
            </w:r>
          </w:p>
        </w:tc>
        <w:tc>
          <w:tcPr>
            <w:tcW w:w="203" w:type="pct"/>
            <w:shd w:val="clear" w:color="auto" w:fill="FFFFFF"/>
            <w:vAlign w:val="center"/>
          </w:tcPr>
          <w:p w14:paraId="5241837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31</w:t>
            </w:r>
          </w:p>
        </w:tc>
        <w:tc>
          <w:tcPr>
            <w:tcW w:w="215" w:type="pct"/>
            <w:shd w:val="clear" w:color="auto" w:fill="FFFFFF"/>
            <w:vAlign w:val="center"/>
          </w:tcPr>
          <w:p w14:paraId="6DC2BA0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.15</w:t>
            </w:r>
          </w:p>
        </w:tc>
        <w:tc>
          <w:tcPr>
            <w:tcW w:w="200" w:type="pct"/>
            <w:shd w:val="clear" w:color="auto" w:fill="FFFFFF"/>
            <w:vAlign w:val="center"/>
          </w:tcPr>
          <w:p w14:paraId="6FA3D09A">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51</w:t>
            </w:r>
            <w:r>
              <w:rPr>
                <w:rFonts w:hint="eastAsia" w:ascii="Times New Roman" w:hAnsi="Times New Roman" w:eastAsia="宋体" w:cs="Times New Roman"/>
                <w:color w:val="auto"/>
                <w:highlight w:val="none"/>
                <w:lang w:val="en-US" w:eastAsia="zh-CN"/>
              </w:rPr>
              <w:t>.72</w:t>
            </w:r>
          </w:p>
        </w:tc>
        <w:tc>
          <w:tcPr>
            <w:tcW w:w="145" w:type="pct"/>
            <w:shd w:val="clear" w:color="auto" w:fill="FFFFFF"/>
            <w:vAlign w:val="center"/>
          </w:tcPr>
          <w:p w14:paraId="573DE98A">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3E01FF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5B28104F">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w:t>
            </w:r>
          </w:p>
        </w:tc>
        <w:tc>
          <w:tcPr>
            <w:tcW w:w="294" w:type="pct"/>
            <w:shd w:val="clear" w:color="auto" w:fill="FFFFFF"/>
            <w:vAlign w:val="center"/>
          </w:tcPr>
          <w:p w14:paraId="2073C5EA">
            <w:pPr>
              <w:pStyle w:val="146"/>
              <w:ind w:left="0" w:leftChars="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堆肥间</w:t>
            </w:r>
          </w:p>
        </w:tc>
        <w:tc>
          <w:tcPr>
            <w:tcW w:w="232" w:type="pct"/>
            <w:shd w:val="clear" w:color="auto" w:fill="FFFFFF"/>
            <w:vAlign w:val="center"/>
          </w:tcPr>
          <w:p w14:paraId="031D361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滚筒筛分机</w:t>
            </w:r>
          </w:p>
        </w:tc>
        <w:tc>
          <w:tcPr>
            <w:tcW w:w="152" w:type="pct"/>
            <w:shd w:val="clear" w:color="auto" w:fill="FFFFFF"/>
            <w:vAlign w:val="center"/>
          </w:tcPr>
          <w:p w14:paraId="58FABAA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5C094DB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158" w:type="pct"/>
            <w:vMerge w:val="continue"/>
            <w:shd w:val="clear" w:color="auto" w:fill="FFFFFF"/>
            <w:vAlign w:val="center"/>
          </w:tcPr>
          <w:p w14:paraId="644A73AA">
            <w:pPr>
              <w:pStyle w:val="146"/>
              <w:jc w:val="center"/>
              <w:rPr>
                <w:rFonts w:hint="default" w:ascii="Times New Roman" w:hAnsi="Times New Roman" w:eastAsia="宋体" w:cs="Times New Roman"/>
                <w:snapToGrid w:val="0"/>
                <w:color w:val="auto"/>
                <w:highlight w:val="none"/>
              </w:rPr>
            </w:pPr>
          </w:p>
        </w:tc>
        <w:tc>
          <w:tcPr>
            <w:tcW w:w="288" w:type="pct"/>
            <w:shd w:val="clear" w:color="auto" w:fill="FFFFFF"/>
            <w:vAlign w:val="center"/>
          </w:tcPr>
          <w:p w14:paraId="226947F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-130.9</w:t>
            </w:r>
          </w:p>
        </w:tc>
        <w:tc>
          <w:tcPr>
            <w:tcW w:w="305" w:type="pct"/>
            <w:shd w:val="clear" w:color="auto" w:fill="FFFFFF"/>
            <w:vAlign w:val="center"/>
          </w:tcPr>
          <w:p w14:paraId="7114DB4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-199.1</w:t>
            </w:r>
          </w:p>
        </w:tc>
        <w:tc>
          <w:tcPr>
            <w:tcW w:w="209" w:type="pct"/>
            <w:shd w:val="clear" w:color="auto" w:fill="FFFFFF"/>
            <w:vAlign w:val="center"/>
          </w:tcPr>
          <w:p w14:paraId="574ED61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4B42990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33.50</w:t>
            </w:r>
          </w:p>
        </w:tc>
        <w:tc>
          <w:tcPr>
            <w:tcW w:w="209" w:type="pct"/>
            <w:shd w:val="clear" w:color="auto" w:fill="FFFFFF"/>
            <w:vAlign w:val="center"/>
          </w:tcPr>
          <w:p w14:paraId="6D49B32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15.30</w:t>
            </w:r>
          </w:p>
        </w:tc>
        <w:tc>
          <w:tcPr>
            <w:tcW w:w="186" w:type="pct"/>
            <w:shd w:val="clear" w:color="auto" w:fill="FFFFFF"/>
            <w:vAlign w:val="center"/>
          </w:tcPr>
          <w:p w14:paraId="73AC67E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13.00</w:t>
            </w:r>
          </w:p>
        </w:tc>
        <w:tc>
          <w:tcPr>
            <w:tcW w:w="192" w:type="pct"/>
            <w:shd w:val="clear" w:color="auto" w:fill="FFFFFF"/>
            <w:vAlign w:val="center"/>
          </w:tcPr>
          <w:p w14:paraId="155FD48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54.97</w:t>
            </w:r>
          </w:p>
        </w:tc>
        <w:tc>
          <w:tcPr>
            <w:tcW w:w="186" w:type="pct"/>
            <w:shd w:val="clear" w:color="auto" w:fill="FFFFFF"/>
            <w:vAlign w:val="center"/>
          </w:tcPr>
          <w:p w14:paraId="4E405D9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60.77</w:t>
            </w:r>
          </w:p>
        </w:tc>
        <w:tc>
          <w:tcPr>
            <w:tcW w:w="198" w:type="pct"/>
            <w:shd w:val="clear" w:color="auto" w:fill="FFFFFF"/>
            <w:vAlign w:val="center"/>
          </w:tcPr>
          <w:p w14:paraId="7A59D06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61.35</w:t>
            </w:r>
          </w:p>
        </w:tc>
        <w:tc>
          <w:tcPr>
            <w:tcW w:w="203" w:type="pct"/>
            <w:shd w:val="clear" w:color="auto" w:fill="FFFFFF"/>
            <w:vAlign w:val="center"/>
          </w:tcPr>
          <w:p w14:paraId="6A0A8EF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61.61</w:t>
            </w:r>
          </w:p>
        </w:tc>
        <w:tc>
          <w:tcPr>
            <w:tcW w:w="203" w:type="pct"/>
            <w:shd w:val="clear" w:color="auto" w:fill="FFFFFF"/>
            <w:vAlign w:val="center"/>
          </w:tcPr>
          <w:p w14:paraId="210989A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60.67</w:t>
            </w:r>
          </w:p>
        </w:tc>
        <w:tc>
          <w:tcPr>
            <w:tcW w:w="164" w:type="pct"/>
            <w:shd w:val="clear" w:color="auto" w:fill="FFFFFF"/>
            <w:vAlign w:val="center"/>
          </w:tcPr>
          <w:p w14:paraId="5B3F0AC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751CB03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3DDE5D5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2843EEA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48.08</w:t>
            </w:r>
          </w:p>
        </w:tc>
        <w:tc>
          <w:tcPr>
            <w:tcW w:w="203" w:type="pct"/>
            <w:shd w:val="clear" w:color="auto" w:fill="FFFFFF"/>
            <w:vAlign w:val="center"/>
          </w:tcPr>
          <w:p w14:paraId="517A275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.43</w:t>
            </w:r>
          </w:p>
        </w:tc>
        <w:tc>
          <w:tcPr>
            <w:tcW w:w="215" w:type="pct"/>
            <w:shd w:val="clear" w:color="auto" w:fill="FFFFFF"/>
            <w:vAlign w:val="center"/>
          </w:tcPr>
          <w:p w14:paraId="59AE228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48.91</w:t>
            </w:r>
          </w:p>
        </w:tc>
        <w:tc>
          <w:tcPr>
            <w:tcW w:w="200" w:type="pct"/>
            <w:shd w:val="clear" w:color="auto" w:fill="FFFFFF"/>
            <w:vAlign w:val="center"/>
          </w:tcPr>
          <w:p w14:paraId="35C6B72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52.75</w:t>
            </w:r>
          </w:p>
        </w:tc>
        <w:tc>
          <w:tcPr>
            <w:tcW w:w="145" w:type="pct"/>
            <w:shd w:val="clear" w:color="auto" w:fill="FFFFFF"/>
            <w:vAlign w:val="center"/>
          </w:tcPr>
          <w:p w14:paraId="770AD278">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486FA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387E7316">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5</w:t>
            </w:r>
          </w:p>
        </w:tc>
        <w:tc>
          <w:tcPr>
            <w:tcW w:w="294" w:type="pct"/>
            <w:shd w:val="clear" w:color="auto" w:fill="FFFFFF"/>
            <w:vAlign w:val="center"/>
          </w:tcPr>
          <w:p w14:paraId="4B1536D0">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堆肥间</w:t>
            </w:r>
          </w:p>
        </w:tc>
        <w:tc>
          <w:tcPr>
            <w:tcW w:w="232" w:type="pct"/>
            <w:shd w:val="clear" w:color="auto" w:fill="FFFFFF"/>
            <w:vAlign w:val="center"/>
          </w:tcPr>
          <w:p w14:paraId="38037F3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搅拌机</w:t>
            </w:r>
          </w:p>
        </w:tc>
        <w:tc>
          <w:tcPr>
            <w:tcW w:w="152" w:type="pct"/>
            <w:shd w:val="clear" w:color="auto" w:fill="FFFFFF"/>
            <w:vAlign w:val="center"/>
          </w:tcPr>
          <w:p w14:paraId="7EB73687">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3E81593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158" w:type="pct"/>
            <w:vMerge w:val="continue"/>
            <w:shd w:val="clear" w:color="auto" w:fill="FFFFFF"/>
            <w:vAlign w:val="center"/>
          </w:tcPr>
          <w:p w14:paraId="634AC4D6">
            <w:pPr>
              <w:pStyle w:val="146"/>
              <w:jc w:val="center"/>
              <w:rPr>
                <w:rFonts w:hint="default" w:ascii="Times New Roman" w:hAnsi="Times New Roman" w:eastAsia="宋体" w:cs="Times New Roman"/>
                <w:snapToGrid w:val="0"/>
                <w:color w:val="auto"/>
                <w:highlight w:val="none"/>
              </w:rPr>
            </w:pPr>
          </w:p>
        </w:tc>
        <w:tc>
          <w:tcPr>
            <w:tcW w:w="288" w:type="pct"/>
            <w:shd w:val="clear" w:color="auto" w:fill="FFFFFF"/>
            <w:vAlign w:val="center"/>
          </w:tcPr>
          <w:p w14:paraId="0508F85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-110.8</w:t>
            </w:r>
          </w:p>
        </w:tc>
        <w:tc>
          <w:tcPr>
            <w:tcW w:w="305" w:type="pct"/>
            <w:shd w:val="clear" w:color="auto" w:fill="FFFFFF"/>
            <w:vAlign w:val="center"/>
          </w:tcPr>
          <w:p w14:paraId="4CF40AE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-201.4</w:t>
            </w:r>
          </w:p>
        </w:tc>
        <w:tc>
          <w:tcPr>
            <w:tcW w:w="209" w:type="pct"/>
            <w:shd w:val="clear" w:color="auto" w:fill="FFFFFF"/>
            <w:vAlign w:val="center"/>
          </w:tcPr>
          <w:p w14:paraId="5F81C29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2A57550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35.48</w:t>
            </w:r>
          </w:p>
        </w:tc>
        <w:tc>
          <w:tcPr>
            <w:tcW w:w="209" w:type="pct"/>
            <w:shd w:val="clear" w:color="auto" w:fill="FFFFFF"/>
            <w:vAlign w:val="center"/>
          </w:tcPr>
          <w:p w14:paraId="58C995B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17.60</w:t>
            </w:r>
          </w:p>
        </w:tc>
        <w:tc>
          <w:tcPr>
            <w:tcW w:w="186" w:type="pct"/>
            <w:shd w:val="clear" w:color="auto" w:fill="FFFFFF"/>
            <w:vAlign w:val="center"/>
          </w:tcPr>
          <w:p w14:paraId="34965F2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10.73</w:t>
            </w:r>
          </w:p>
        </w:tc>
        <w:tc>
          <w:tcPr>
            <w:tcW w:w="192" w:type="pct"/>
            <w:shd w:val="clear" w:color="auto" w:fill="FFFFFF"/>
            <w:vAlign w:val="center"/>
          </w:tcPr>
          <w:p w14:paraId="04A48ED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34.77</w:t>
            </w:r>
          </w:p>
        </w:tc>
        <w:tc>
          <w:tcPr>
            <w:tcW w:w="186" w:type="pct"/>
            <w:shd w:val="clear" w:color="auto" w:fill="FFFFFF"/>
            <w:vAlign w:val="center"/>
          </w:tcPr>
          <w:p w14:paraId="18F0B16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65.76</w:t>
            </w:r>
          </w:p>
        </w:tc>
        <w:tc>
          <w:tcPr>
            <w:tcW w:w="198" w:type="pct"/>
            <w:shd w:val="clear" w:color="auto" w:fill="FFFFFF"/>
            <w:vAlign w:val="center"/>
          </w:tcPr>
          <w:p w14:paraId="3F33BD8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66.18</w:t>
            </w:r>
          </w:p>
        </w:tc>
        <w:tc>
          <w:tcPr>
            <w:tcW w:w="203" w:type="pct"/>
            <w:shd w:val="clear" w:color="auto" w:fill="FFFFFF"/>
            <w:vAlign w:val="center"/>
          </w:tcPr>
          <w:p w14:paraId="27C7D9A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67.01</w:t>
            </w:r>
          </w:p>
        </w:tc>
        <w:tc>
          <w:tcPr>
            <w:tcW w:w="203" w:type="pct"/>
            <w:shd w:val="clear" w:color="auto" w:fill="FFFFFF"/>
            <w:vAlign w:val="center"/>
          </w:tcPr>
          <w:p w14:paraId="68DBDCA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65.76</w:t>
            </w:r>
          </w:p>
        </w:tc>
        <w:tc>
          <w:tcPr>
            <w:tcW w:w="164" w:type="pct"/>
            <w:shd w:val="clear" w:color="auto" w:fill="FFFFFF"/>
            <w:vAlign w:val="center"/>
          </w:tcPr>
          <w:p w14:paraId="78B93BF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52F3448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5210520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55AC053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53.06</w:t>
            </w:r>
          </w:p>
        </w:tc>
        <w:tc>
          <w:tcPr>
            <w:tcW w:w="203" w:type="pct"/>
            <w:shd w:val="clear" w:color="auto" w:fill="FFFFFF"/>
            <w:vAlign w:val="center"/>
          </w:tcPr>
          <w:p w14:paraId="18018E4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.26</w:t>
            </w:r>
          </w:p>
        </w:tc>
        <w:tc>
          <w:tcPr>
            <w:tcW w:w="215" w:type="pct"/>
            <w:shd w:val="clear" w:color="auto" w:fill="FFFFFF"/>
            <w:vAlign w:val="center"/>
          </w:tcPr>
          <w:p w14:paraId="51BFC59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.31</w:t>
            </w:r>
          </w:p>
        </w:tc>
        <w:tc>
          <w:tcPr>
            <w:tcW w:w="200" w:type="pct"/>
            <w:shd w:val="clear" w:color="auto" w:fill="FFFFFF"/>
            <w:vAlign w:val="center"/>
          </w:tcPr>
          <w:p w14:paraId="53348A3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r>
              <w:rPr>
                <w:rFonts w:hint="eastAsia"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.84</w:t>
            </w:r>
          </w:p>
        </w:tc>
        <w:tc>
          <w:tcPr>
            <w:tcW w:w="145" w:type="pct"/>
            <w:shd w:val="clear" w:color="auto" w:fill="FFFFFF"/>
            <w:vAlign w:val="center"/>
          </w:tcPr>
          <w:p w14:paraId="2C0C1580">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5E6D4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4" w:type="pct"/>
            <w:shd w:val="clear" w:color="auto" w:fill="FFFFFF"/>
            <w:vAlign w:val="center"/>
          </w:tcPr>
          <w:p w14:paraId="06F12130">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w:t>
            </w:r>
          </w:p>
        </w:tc>
        <w:tc>
          <w:tcPr>
            <w:tcW w:w="294" w:type="pct"/>
            <w:shd w:val="clear" w:color="auto" w:fill="FFFFFF"/>
            <w:vAlign w:val="center"/>
          </w:tcPr>
          <w:p w14:paraId="46B2FF76">
            <w:pPr>
              <w:pStyle w:val="146"/>
              <w:ind w:left="0" w:leftChars="0" w:firstLine="0" w:firstLineChars="0"/>
              <w:jc w:val="center"/>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堆肥间</w:t>
            </w:r>
          </w:p>
        </w:tc>
        <w:tc>
          <w:tcPr>
            <w:tcW w:w="232" w:type="pct"/>
            <w:shd w:val="clear" w:color="auto" w:fill="FFFFFF"/>
            <w:vAlign w:val="center"/>
          </w:tcPr>
          <w:p w14:paraId="4E7B804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翻</w:t>
            </w:r>
            <w:r>
              <w:rPr>
                <w:rFonts w:hint="default" w:ascii="Times New Roman" w:hAnsi="Times New Roman" w:eastAsia="宋体" w:cs="Times New Roman"/>
                <w:color w:val="auto"/>
                <w:highlight w:val="none"/>
                <w:lang w:val="en-US" w:eastAsia="zh-CN"/>
              </w:rPr>
              <w:t>抛</w:t>
            </w:r>
            <w:r>
              <w:rPr>
                <w:rFonts w:hint="default" w:ascii="Times New Roman" w:hAnsi="Times New Roman" w:eastAsia="宋体" w:cs="Times New Roman"/>
                <w:color w:val="auto"/>
                <w:highlight w:val="none"/>
              </w:rPr>
              <w:t>机</w:t>
            </w:r>
          </w:p>
        </w:tc>
        <w:tc>
          <w:tcPr>
            <w:tcW w:w="152" w:type="pct"/>
            <w:shd w:val="clear" w:color="auto" w:fill="FFFFFF"/>
            <w:vAlign w:val="center"/>
          </w:tcPr>
          <w:p w14:paraId="587412E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60" w:type="pct"/>
            <w:shd w:val="clear" w:color="auto" w:fill="FFFFFF"/>
            <w:vAlign w:val="center"/>
          </w:tcPr>
          <w:p w14:paraId="1443B32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158" w:type="pct"/>
            <w:vMerge w:val="continue"/>
            <w:shd w:val="clear" w:color="auto" w:fill="FFFFFF"/>
            <w:vAlign w:val="center"/>
          </w:tcPr>
          <w:p w14:paraId="0315EBFC">
            <w:pPr>
              <w:pStyle w:val="146"/>
              <w:jc w:val="center"/>
              <w:rPr>
                <w:rFonts w:hint="default" w:ascii="Times New Roman" w:hAnsi="Times New Roman" w:eastAsia="宋体" w:cs="Times New Roman"/>
                <w:snapToGrid w:val="0"/>
                <w:color w:val="auto"/>
                <w:highlight w:val="none"/>
              </w:rPr>
            </w:pPr>
          </w:p>
        </w:tc>
        <w:tc>
          <w:tcPr>
            <w:tcW w:w="288" w:type="pct"/>
            <w:shd w:val="clear" w:color="auto" w:fill="FFFFFF"/>
            <w:vAlign w:val="center"/>
          </w:tcPr>
          <w:p w14:paraId="0151AFD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-93.6</w:t>
            </w:r>
          </w:p>
        </w:tc>
        <w:tc>
          <w:tcPr>
            <w:tcW w:w="305" w:type="pct"/>
            <w:shd w:val="clear" w:color="auto" w:fill="FFFFFF"/>
            <w:vAlign w:val="center"/>
          </w:tcPr>
          <w:p w14:paraId="50E6CA7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-199.1</w:t>
            </w:r>
          </w:p>
        </w:tc>
        <w:tc>
          <w:tcPr>
            <w:tcW w:w="209" w:type="pct"/>
            <w:shd w:val="clear" w:color="auto" w:fill="FFFFFF"/>
            <w:vAlign w:val="center"/>
          </w:tcPr>
          <w:p w14:paraId="54E4535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81" w:type="pct"/>
            <w:shd w:val="clear" w:color="auto" w:fill="FFFFFF"/>
            <w:vAlign w:val="center"/>
          </w:tcPr>
          <w:p w14:paraId="3FECEA1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71.61</w:t>
            </w:r>
          </w:p>
        </w:tc>
        <w:tc>
          <w:tcPr>
            <w:tcW w:w="209" w:type="pct"/>
            <w:shd w:val="clear" w:color="auto" w:fill="FFFFFF"/>
            <w:vAlign w:val="center"/>
          </w:tcPr>
          <w:p w14:paraId="567C5A9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15.30</w:t>
            </w:r>
          </w:p>
        </w:tc>
        <w:tc>
          <w:tcPr>
            <w:tcW w:w="186" w:type="pct"/>
            <w:shd w:val="clear" w:color="auto" w:fill="FFFFFF"/>
            <w:vAlign w:val="center"/>
          </w:tcPr>
          <w:p w14:paraId="3AA14C3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13.11</w:t>
            </w:r>
          </w:p>
        </w:tc>
        <w:tc>
          <w:tcPr>
            <w:tcW w:w="192" w:type="pct"/>
            <w:shd w:val="clear" w:color="auto" w:fill="FFFFFF"/>
            <w:vAlign w:val="center"/>
          </w:tcPr>
          <w:p w14:paraId="472C218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17.56</w:t>
            </w:r>
          </w:p>
        </w:tc>
        <w:tc>
          <w:tcPr>
            <w:tcW w:w="186" w:type="pct"/>
            <w:shd w:val="clear" w:color="auto" w:fill="FFFFFF"/>
            <w:vAlign w:val="center"/>
          </w:tcPr>
          <w:p w14:paraId="0C8C7CD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55.65</w:t>
            </w:r>
          </w:p>
        </w:tc>
        <w:tc>
          <w:tcPr>
            <w:tcW w:w="198" w:type="pct"/>
            <w:shd w:val="clear" w:color="auto" w:fill="FFFFFF"/>
            <w:vAlign w:val="center"/>
          </w:tcPr>
          <w:p w14:paraId="36A0EC5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56.35</w:t>
            </w:r>
          </w:p>
        </w:tc>
        <w:tc>
          <w:tcPr>
            <w:tcW w:w="203" w:type="pct"/>
            <w:shd w:val="clear" w:color="auto" w:fill="FFFFFF"/>
            <w:vAlign w:val="center"/>
          </w:tcPr>
          <w:p w14:paraId="4311F9D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56.59</w:t>
            </w:r>
          </w:p>
        </w:tc>
        <w:tc>
          <w:tcPr>
            <w:tcW w:w="203" w:type="pct"/>
            <w:shd w:val="clear" w:color="auto" w:fill="FFFFFF"/>
            <w:vAlign w:val="center"/>
          </w:tcPr>
          <w:p w14:paraId="491AC0D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56.19</w:t>
            </w:r>
          </w:p>
        </w:tc>
        <w:tc>
          <w:tcPr>
            <w:tcW w:w="164" w:type="pct"/>
            <w:shd w:val="clear" w:color="auto" w:fill="FFFFFF"/>
            <w:vAlign w:val="center"/>
          </w:tcPr>
          <w:p w14:paraId="7341B22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396713F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125A01F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0</w:t>
            </w:r>
          </w:p>
        </w:tc>
        <w:tc>
          <w:tcPr>
            <w:tcW w:w="186" w:type="pct"/>
            <w:shd w:val="clear" w:color="auto" w:fill="FFFFFF"/>
            <w:vAlign w:val="center"/>
          </w:tcPr>
          <w:p w14:paraId="31669D1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42.95</w:t>
            </w:r>
          </w:p>
        </w:tc>
        <w:tc>
          <w:tcPr>
            <w:tcW w:w="203" w:type="pct"/>
            <w:shd w:val="clear" w:color="auto" w:fill="FFFFFF"/>
            <w:vAlign w:val="center"/>
          </w:tcPr>
          <w:p w14:paraId="53FCE17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48.43</w:t>
            </w:r>
          </w:p>
        </w:tc>
        <w:tc>
          <w:tcPr>
            <w:tcW w:w="215" w:type="pct"/>
            <w:shd w:val="clear" w:color="auto" w:fill="FFFFFF"/>
            <w:vAlign w:val="center"/>
          </w:tcPr>
          <w:p w14:paraId="587E6EC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43.90</w:t>
            </w:r>
          </w:p>
        </w:tc>
        <w:tc>
          <w:tcPr>
            <w:tcW w:w="200" w:type="pct"/>
            <w:shd w:val="clear" w:color="auto" w:fill="FFFFFF"/>
            <w:vAlign w:val="center"/>
          </w:tcPr>
          <w:p w14:paraId="791F264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48.26</w:t>
            </w:r>
          </w:p>
        </w:tc>
        <w:tc>
          <w:tcPr>
            <w:tcW w:w="145" w:type="pct"/>
            <w:shd w:val="clear" w:color="auto" w:fill="FFFFFF"/>
            <w:vAlign w:val="center"/>
          </w:tcPr>
          <w:p w14:paraId="470902FC">
            <w:pPr>
              <w:pStyle w:val="146"/>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15704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4" w:type="pct"/>
            <w:shd w:val="clear" w:color="auto" w:fill="FFFFFF"/>
            <w:vAlign w:val="center"/>
          </w:tcPr>
          <w:p w14:paraId="0D700501">
            <w:pPr>
              <w:pStyle w:val="146"/>
              <w:jc w:val="center"/>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w:t>
            </w:r>
          </w:p>
        </w:tc>
        <w:tc>
          <w:tcPr>
            <w:tcW w:w="294" w:type="pct"/>
            <w:shd w:val="clear" w:color="auto" w:fill="FFFFFF"/>
            <w:vAlign w:val="center"/>
          </w:tcPr>
          <w:p w14:paraId="2FA2385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牛舍</w:t>
            </w:r>
            <w:r>
              <w:rPr>
                <w:rFonts w:hint="eastAsia" w:eastAsia="宋体" w:cs="Times New Roman"/>
                <w:color w:val="auto"/>
                <w:highlight w:val="none"/>
                <w:lang w:val="en-US" w:eastAsia="zh-CN"/>
              </w:rPr>
              <w:t>1~13</w:t>
            </w:r>
          </w:p>
        </w:tc>
        <w:tc>
          <w:tcPr>
            <w:tcW w:w="232" w:type="pct"/>
            <w:shd w:val="clear" w:color="auto" w:fill="FFFFFF"/>
            <w:vAlign w:val="center"/>
          </w:tcPr>
          <w:p w14:paraId="24F76DD4">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牛只叫声</w:t>
            </w:r>
          </w:p>
        </w:tc>
        <w:tc>
          <w:tcPr>
            <w:tcW w:w="152" w:type="pct"/>
            <w:shd w:val="clear" w:color="auto" w:fill="FFFFFF"/>
            <w:vAlign w:val="center"/>
          </w:tcPr>
          <w:p w14:paraId="65260711">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60" w:type="pct"/>
            <w:shd w:val="clear" w:color="auto" w:fill="FFFFFF"/>
            <w:vAlign w:val="center"/>
          </w:tcPr>
          <w:p w14:paraId="7BEFBCE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w:t>
            </w:r>
          </w:p>
        </w:tc>
        <w:tc>
          <w:tcPr>
            <w:tcW w:w="158" w:type="pct"/>
            <w:shd w:val="clear" w:color="auto" w:fill="FFFFFF"/>
            <w:vAlign w:val="center"/>
          </w:tcPr>
          <w:p w14:paraId="217CDDC6">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厂房隔声</w:t>
            </w:r>
          </w:p>
        </w:tc>
        <w:tc>
          <w:tcPr>
            <w:tcW w:w="288" w:type="pct"/>
            <w:shd w:val="clear" w:color="auto" w:fill="FFFFFF"/>
            <w:vAlign w:val="center"/>
          </w:tcPr>
          <w:p w14:paraId="5DF41EF7">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5" w:type="pct"/>
            <w:shd w:val="clear" w:color="auto" w:fill="FFFFFF"/>
            <w:vAlign w:val="center"/>
          </w:tcPr>
          <w:p w14:paraId="400D6D32">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09" w:type="pct"/>
            <w:shd w:val="clear" w:color="auto" w:fill="FFFFFF"/>
            <w:vAlign w:val="center"/>
          </w:tcPr>
          <w:p w14:paraId="1C2470E8">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81" w:type="pct"/>
            <w:shd w:val="clear" w:color="auto" w:fill="FFFFFF"/>
            <w:vAlign w:val="center"/>
          </w:tcPr>
          <w:p w14:paraId="5665010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09" w:type="pct"/>
            <w:shd w:val="clear" w:color="auto" w:fill="FFFFFF"/>
            <w:vAlign w:val="center"/>
          </w:tcPr>
          <w:p w14:paraId="0950FCC1">
            <w:pPr>
              <w:pStyle w:val="146"/>
              <w:jc w:val="center"/>
              <w:rPr>
                <w:rFonts w:hint="default" w:ascii="Times New Roman" w:hAnsi="Times New Roman" w:eastAsia="宋体" w:cs="Times New Roman"/>
                <w:color w:val="auto"/>
                <w:highlight w:val="none"/>
                <w:lang w:val="en-US" w:eastAsia="zh-CN"/>
              </w:rPr>
            </w:pPr>
          </w:p>
        </w:tc>
        <w:tc>
          <w:tcPr>
            <w:tcW w:w="186" w:type="pct"/>
            <w:shd w:val="clear" w:color="auto" w:fill="FFFFFF"/>
            <w:vAlign w:val="center"/>
          </w:tcPr>
          <w:p w14:paraId="41E84DD5">
            <w:pPr>
              <w:pStyle w:val="146"/>
              <w:jc w:val="center"/>
              <w:rPr>
                <w:rFonts w:hint="default" w:ascii="Times New Roman" w:hAnsi="Times New Roman" w:eastAsia="宋体" w:cs="Times New Roman"/>
                <w:color w:val="auto"/>
                <w:highlight w:val="none"/>
                <w:lang w:val="en-US" w:eastAsia="zh-CN"/>
              </w:rPr>
            </w:pPr>
          </w:p>
        </w:tc>
        <w:tc>
          <w:tcPr>
            <w:tcW w:w="192" w:type="pct"/>
            <w:shd w:val="clear" w:color="auto" w:fill="FFFFFF"/>
            <w:vAlign w:val="center"/>
          </w:tcPr>
          <w:p w14:paraId="070ECAD6">
            <w:pPr>
              <w:pStyle w:val="146"/>
              <w:jc w:val="center"/>
              <w:rPr>
                <w:rFonts w:hint="default" w:ascii="Times New Roman" w:hAnsi="Times New Roman" w:eastAsia="宋体" w:cs="Times New Roman"/>
                <w:color w:val="auto"/>
                <w:highlight w:val="none"/>
                <w:lang w:val="en-US" w:eastAsia="zh-CN"/>
              </w:rPr>
            </w:pPr>
          </w:p>
        </w:tc>
        <w:tc>
          <w:tcPr>
            <w:tcW w:w="186" w:type="pct"/>
            <w:shd w:val="clear" w:color="auto" w:fill="FFFFFF"/>
            <w:vAlign w:val="center"/>
          </w:tcPr>
          <w:p w14:paraId="3C746FC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98" w:type="pct"/>
            <w:shd w:val="clear" w:color="auto" w:fill="FFFFFF"/>
            <w:vAlign w:val="center"/>
          </w:tcPr>
          <w:p w14:paraId="6825C8F6">
            <w:pPr>
              <w:pStyle w:val="146"/>
              <w:jc w:val="center"/>
              <w:rPr>
                <w:rFonts w:hint="default" w:ascii="Times New Roman" w:hAnsi="Times New Roman" w:eastAsia="宋体" w:cs="Times New Roman"/>
                <w:color w:val="auto"/>
                <w:highlight w:val="none"/>
                <w:lang w:val="en-US" w:eastAsia="zh-CN"/>
              </w:rPr>
            </w:pPr>
          </w:p>
        </w:tc>
        <w:tc>
          <w:tcPr>
            <w:tcW w:w="203" w:type="pct"/>
            <w:shd w:val="clear" w:color="auto" w:fill="FFFFFF"/>
            <w:vAlign w:val="center"/>
          </w:tcPr>
          <w:p w14:paraId="1B40459D">
            <w:pPr>
              <w:pStyle w:val="146"/>
              <w:jc w:val="center"/>
              <w:rPr>
                <w:rFonts w:hint="default" w:ascii="Times New Roman" w:hAnsi="Times New Roman" w:eastAsia="宋体" w:cs="Times New Roman"/>
                <w:color w:val="auto"/>
                <w:highlight w:val="none"/>
                <w:lang w:val="en-US" w:eastAsia="zh-CN"/>
              </w:rPr>
            </w:pPr>
          </w:p>
        </w:tc>
        <w:tc>
          <w:tcPr>
            <w:tcW w:w="203" w:type="pct"/>
            <w:shd w:val="clear" w:color="auto" w:fill="FFFFFF"/>
            <w:vAlign w:val="center"/>
          </w:tcPr>
          <w:p w14:paraId="3AD9277A">
            <w:pPr>
              <w:pStyle w:val="146"/>
              <w:jc w:val="center"/>
              <w:rPr>
                <w:rFonts w:hint="default" w:ascii="Times New Roman" w:hAnsi="Times New Roman" w:eastAsia="宋体" w:cs="Times New Roman"/>
                <w:color w:val="auto"/>
                <w:highlight w:val="none"/>
                <w:lang w:val="en-US" w:eastAsia="zh-CN"/>
              </w:rPr>
            </w:pPr>
          </w:p>
        </w:tc>
        <w:tc>
          <w:tcPr>
            <w:tcW w:w="164" w:type="pct"/>
            <w:shd w:val="clear" w:color="auto" w:fill="FFFFFF"/>
            <w:vAlign w:val="center"/>
          </w:tcPr>
          <w:p w14:paraId="5DEE059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p w14:paraId="7A16416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271" w:type="pct"/>
            <w:shd w:val="clear" w:color="auto" w:fill="FFFFFF"/>
            <w:vAlign w:val="center"/>
          </w:tcPr>
          <w:p w14:paraId="399A762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86" w:type="pct"/>
            <w:shd w:val="clear" w:color="auto" w:fill="FFFFFF"/>
            <w:vAlign w:val="center"/>
          </w:tcPr>
          <w:p w14:paraId="5A604CC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03" w:type="pct"/>
            <w:shd w:val="clear" w:color="auto" w:fill="FFFFFF"/>
            <w:vAlign w:val="center"/>
          </w:tcPr>
          <w:p w14:paraId="1979C650">
            <w:pPr>
              <w:pStyle w:val="146"/>
              <w:jc w:val="center"/>
              <w:rPr>
                <w:rFonts w:hint="default" w:ascii="Times New Roman" w:hAnsi="Times New Roman" w:eastAsia="宋体" w:cs="Times New Roman"/>
                <w:color w:val="auto"/>
                <w:highlight w:val="none"/>
                <w:lang w:val="en-US" w:eastAsia="zh-CN"/>
              </w:rPr>
            </w:pPr>
          </w:p>
        </w:tc>
        <w:tc>
          <w:tcPr>
            <w:tcW w:w="215" w:type="pct"/>
            <w:shd w:val="clear" w:color="auto" w:fill="FFFFFF"/>
            <w:vAlign w:val="center"/>
          </w:tcPr>
          <w:p w14:paraId="173CD662">
            <w:pPr>
              <w:pStyle w:val="146"/>
              <w:jc w:val="center"/>
              <w:rPr>
                <w:rFonts w:hint="default" w:ascii="Times New Roman" w:hAnsi="Times New Roman" w:eastAsia="宋体" w:cs="Times New Roman"/>
                <w:color w:val="auto"/>
                <w:highlight w:val="none"/>
                <w:lang w:val="en-US" w:eastAsia="zh-CN"/>
              </w:rPr>
            </w:pPr>
          </w:p>
        </w:tc>
        <w:tc>
          <w:tcPr>
            <w:tcW w:w="200" w:type="pct"/>
            <w:shd w:val="clear" w:color="auto" w:fill="FFFFFF"/>
            <w:vAlign w:val="center"/>
          </w:tcPr>
          <w:p w14:paraId="05356073">
            <w:pPr>
              <w:pStyle w:val="146"/>
              <w:jc w:val="center"/>
              <w:rPr>
                <w:rFonts w:hint="default" w:ascii="Times New Roman" w:hAnsi="Times New Roman" w:eastAsia="宋体" w:cs="Times New Roman"/>
                <w:color w:val="auto"/>
                <w:highlight w:val="none"/>
                <w:lang w:val="en-US" w:eastAsia="zh-CN"/>
              </w:rPr>
            </w:pPr>
          </w:p>
        </w:tc>
        <w:tc>
          <w:tcPr>
            <w:tcW w:w="145" w:type="pct"/>
            <w:shd w:val="clear" w:color="auto" w:fill="FFFFFF"/>
            <w:vAlign w:val="center"/>
          </w:tcPr>
          <w:p w14:paraId="3DC497D0">
            <w:pPr>
              <w:pStyle w:val="146"/>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69F8F0D6">
      <w:pPr>
        <w:pStyle w:val="21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14:paraId="015FE49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3.4.2.4固体废物污染源强核算</w:t>
      </w:r>
    </w:p>
    <w:p w14:paraId="102F1215">
      <w:pPr>
        <w:pStyle w:val="67"/>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eastAsia" w:eastAsia="宋体" w:cs="Times New Roman"/>
          <w:color w:val="auto"/>
          <w:highlight w:val="none"/>
          <w:lang w:val="en-US" w:eastAsia="zh-CN"/>
        </w:rPr>
        <w:t>含粪污垫料</w:t>
      </w:r>
    </w:p>
    <w:p w14:paraId="31F633CA">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lang w:val="en-US" w:eastAsia="zh-CN"/>
        </w:rPr>
        <w:t>根据《排污许可证申请与核发技术规范 畜禽养殖行业》（HJ1029-2019）中畜禽污染物产生量，肉牛粪便产生量为10.88kg/d·头</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本项目年存栏育肥牛</w:t>
      </w:r>
      <w:r>
        <w:rPr>
          <w:rFonts w:hint="eastAsia"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000</w:t>
      </w:r>
      <w:r>
        <w:rPr>
          <w:rFonts w:hint="default" w:ascii="Times New Roman" w:hAnsi="Times New Roman" w:eastAsia="宋体" w:cs="Times New Roman"/>
          <w:color w:val="auto"/>
          <w:sz w:val="24"/>
          <w:highlight w:val="none"/>
          <w:lang w:eastAsia="zh-CN"/>
        </w:rPr>
        <w:t>头，牛粪产生量为</w:t>
      </w:r>
      <w:r>
        <w:rPr>
          <w:rFonts w:hint="eastAsia" w:eastAsia="宋体" w:cs="Times New Roman"/>
          <w:color w:val="auto"/>
          <w:sz w:val="24"/>
          <w:highlight w:val="none"/>
          <w:lang w:val="en-US" w:eastAsia="zh-CN"/>
        </w:rPr>
        <w:t>65.28</w:t>
      </w:r>
      <w:r>
        <w:rPr>
          <w:rFonts w:hint="default" w:ascii="Times New Roman" w:hAnsi="Times New Roman" w:eastAsia="宋体" w:cs="Times New Roman"/>
          <w:color w:val="auto"/>
          <w:sz w:val="24"/>
          <w:highlight w:val="none"/>
          <w:lang w:val="en-US" w:eastAsia="zh-CN"/>
        </w:rPr>
        <w:t>t/d，</w:t>
      </w:r>
      <w:r>
        <w:rPr>
          <w:rFonts w:hint="eastAsia" w:eastAsia="宋体" w:cs="Times New Roman"/>
          <w:color w:val="auto"/>
          <w:sz w:val="24"/>
          <w:highlight w:val="none"/>
          <w:lang w:val="en-US" w:eastAsia="zh-CN"/>
        </w:rPr>
        <w:t>23827.2</w:t>
      </w:r>
      <w:r>
        <w:rPr>
          <w:rFonts w:hint="default" w:ascii="Times New Roman" w:hAnsi="Times New Roman" w:eastAsia="宋体" w:cs="Times New Roman"/>
          <w:color w:val="auto"/>
          <w:sz w:val="24"/>
          <w:highlight w:val="none"/>
          <w:lang w:val="en-US" w:eastAsia="zh-CN"/>
        </w:rPr>
        <w:t>t/a。</w:t>
      </w:r>
    </w:p>
    <w:p w14:paraId="596F04D4">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牛群产生的新鲜牛粪</w:t>
      </w:r>
      <w:r>
        <w:rPr>
          <w:rFonts w:hint="eastAsia" w:cs="Times New Roman"/>
          <w:color w:val="auto"/>
          <w:sz w:val="24"/>
          <w:highlight w:val="none"/>
          <w:lang w:val="en-US" w:eastAsia="zh-CN"/>
        </w:rPr>
        <w:t>便</w:t>
      </w:r>
      <w:r>
        <w:rPr>
          <w:rFonts w:hint="default" w:ascii="Times New Roman" w:hAnsi="Times New Roman" w:eastAsia="宋体" w:cs="Times New Roman"/>
          <w:color w:val="auto"/>
          <w:sz w:val="24"/>
          <w:highlight w:val="none"/>
          <w:lang w:val="en-US" w:eastAsia="zh-CN"/>
        </w:rPr>
        <w:t>一般含水率在80%，同时，根据业主提供的资料，垫床每个月清理一次，在此期间垫草垫料会有一定的水分挥发，挥发量</w:t>
      </w:r>
      <w:r>
        <w:rPr>
          <w:rFonts w:hint="eastAsia" w:cs="Times New Roman"/>
          <w:color w:val="auto"/>
          <w:sz w:val="24"/>
          <w:highlight w:val="none"/>
          <w:lang w:val="en-US" w:eastAsia="zh-CN"/>
        </w:rPr>
        <w:t>占牛粪便</w:t>
      </w:r>
      <w:r>
        <w:rPr>
          <w:rFonts w:hint="default" w:ascii="Times New Roman" w:hAnsi="Times New Roman" w:eastAsia="宋体" w:cs="Times New Roman"/>
          <w:color w:val="auto"/>
          <w:sz w:val="24"/>
          <w:highlight w:val="none"/>
          <w:lang w:val="en-US" w:eastAsia="zh-CN"/>
        </w:rPr>
        <w:t>的50%左右。</w:t>
      </w:r>
      <w:r>
        <w:rPr>
          <w:rFonts w:hint="default" w:ascii="Times New Roman" w:hAnsi="Times New Roman" w:eastAsia="宋体" w:cs="Times New Roman"/>
          <w:color w:val="auto"/>
          <w:sz w:val="24"/>
          <w:szCs w:val="22"/>
          <w:highlight w:val="none"/>
          <w:lang w:val="en-US" w:eastAsia="zh-CN"/>
        </w:rPr>
        <w:t>牛舍每平方米需垫料约3.5kg，牛舍面积为</w:t>
      </w:r>
      <w:r>
        <w:rPr>
          <w:rFonts w:hint="eastAsia" w:cs="Times New Roman"/>
          <w:color w:val="auto"/>
          <w:sz w:val="24"/>
          <w:szCs w:val="22"/>
          <w:highlight w:val="none"/>
          <w:lang w:val="en-US" w:eastAsia="zh-CN"/>
        </w:rPr>
        <w:t>52160.92</w:t>
      </w:r>
      <w:r>
        <w:rPr>
          <w:rFonts w:hint="default" w:ascii="Times New Roman" w:hAnsi="Times New Roman" w:eastAsia="宋体" w:cs="Times New Roman"/>
          <w:color w:val="auto"/>
          <w:sz w:val="24"/>
          <w:szCs w:val="22"/>
          <w:highlight w:val="none"/>
          <w:lang w:val="en-US" w:eastAsia="zh-CN"/>
        </w:rPr>
        <w:t>m</w:t>
      </w:r>
      <w:r>
        <w:rPr>
          <w:rFonts w:hint="default" w:ascii="Times New Roman" w:hAnsi="Times New Roman" w:eastAsia="宋体" w:cs="Times New Roman"/>
          <w:color w:val="auto"/>
          <w:sz w:val="24"/>
          <w:szCs w:val="22"/>
          <w:highlight w:val="none"/>
          <w:vertAlign w:val="superscript"/>
          <w:lang w:val="en-US" w:eastAsia="zh-CN"/>
        </w:rPr>
        <w:t>2</w:t>
      </w:r>
      <w:r>
        <w:rPr>
          <w:rFonts w:hint="default" w:ascii="Times New Roman" w:hAnsi="Times New Roman" w:eastAsia="宋体" w:cs="Times New Roman"/>
          <w:color w:val="auto"/>
          <w:sz w:val="24"/>
          <w:szCs w:val="22"/>
          <w:highlight w:val="none"/>
          <w:lang w:val="en-US" w:eastAsia="zh-CN"/>
        </w:rPr>
        <w:t>，牛舍采用</w:t>
      </w:r>
      <w:r>
        <w:rPr>
          <w:rFonts w:hint="eastAsia" w:cs="Times New Roman"/>
          <w:color w:val="auto"/>
          <w:sz w:val="24"/>
          <w:szCs w:val="22"/>
          <w:highlight w:val="none"/>
          <w:lang w:val="en-US" w:eastAsia="zh-CN"/>
        </w:rPr>
        <w:t>散养</w:t>
      </w:r>
      <w:r>
        <w:rPr>
          <w:rFonts w:hint="default" w:ascii="Times New Roman" w:hAnsi="Times New Roman" w:eastAsia="宋体" w:cs="Times New Roman"/>
          <w:color w:val="auto"/>
          <w:sz w:val="24"/>
          <w:szCs w:val="22"/>
          <w:highlight w:val="none"/>
          <w:lang w:val="en-US" w:eastAsia="zh-CN"/>
        </w:rPr>
        <w:t>模式，</w:t>
      </w:r>
      <w:r>
        <w:rPr>
          <w:rFonts w:hint="default" w:ascii="Times New Roman" w:hAnsi="Times New Roman" w:eastAsia="宋体" w:cs="Times New Roman"/>
          <w:color w:val="auto"/>
          <w:sz w:val="24"/>
          <w:szCs w:val="24"/>
          <w:highlight w:val="none"/>
          <w:shd w:val="clear" w:color="auto" w:fill="FFFFFF"/>
          <w:lang w:eastAsia="zh-CN"/>
        </w:rPr>
        <w:t>垫料</w:t>
      </w:r>
      <w:r>
        <w:rPr>
          <w:rFonts w:hint="eastAsia" w:cs="Times New Roman"/>
          <w:color w:val="auto"/>
          <w:sz w:val="24"/>
          <w:szCs w:val="24"/>
          <w:highlight w:val="none"/>
          <w:shd w:val="clear" w:color="auto" w:fill="FFFFFF"/>
          <w:lang w:val="en-US" w:eastAsia="zh-CN"/>
        </w:rPr>
        <w:t>铺设</w:t>
      </w:r>
      <w:r>
        <w:rPr>
          <w:rFonts w:hint="default" w:ascii="Times New Roman" w:hAnsi="Times New Roman" w:eastAsia="宋体" w:cs="Times New Roman"/>
          <w:color w:val="auto"/>
          <w:sz w:val="24"/>
          <w:szCs w:val="24"/>
          <w:highlight w:val="none"/>
          <w:shd w:val="clear" w:color="auto" w:fill="FFFFFF"/>
          <w:lang w:eastAsia="zh-CN"/>
        </w:rPr>
        <w:t>面积</w:t>
      </w:r>
      <w:r>
        <w:rPr>
          <w:rFonts w:hint="eastAsia" w:cs="Times New Roman"/>
          <w:color w:val="auto"/>
          <w:sz w:val="24"/>
          <w:szCs w:val="24"/>
          <w:highlight w:val="none"/>
          <w:shd w:val="clear" w:color="auto" w:fill="FFFFFF"/>
          <w:lang w:val="en-US" w:eastAsia="zh-CN"/>
        </w:rPr>
        <w:t>即为</w:t>
      </w:r>
      <w:r>
        <w:rPr>
          <w:rFonts w:hint="default" w:ascii="Times New Roman" w:hAnsi="Times New Roman" w:eastAsia="宋体" w:cs="Times New Roman"/>
          <w:color w:val="auto"/>
          <w:sz w:val="24"/>
          <w:szCs w:val="24"/>
          <w:highlight w:val="none"/>
          <w:shd w:val="clear" w:color="auto" w:fill="FFFFFF"/>
          <w:lang w:eastAsia="zh-CN"/>
        </w:rPr>
        <w:t>牛舍</w:t>
      </w:r>
      <w:r>
        <w:rPr>
          <w:rFonts w:hint="eastAsia" w:cs="Times New Roman"/>
          <w:color w:val="auto"/>
          <w:sz w:val="24"/>
          <w:szCs w:val="24"/>
          <w:highlight w:val="none"/>
          <w:shd w:val="clear" w:color="auto" w:fill="FFFFFF"/>
          <w:lang w:val="en-US" w:eastAsia="zh-CN"/>
        </w:rPr>
        <w:t>面积</w:t>
      </w:r>
      <w:r>
        <w:rPr>
          <w:rFonts w:hint="default" w:ascii="Times New Roman" w:hAnsi="Times New Roman" w:eastAsia="宋体" w:cs="Times New Roman"/>
          <w:color w:val="auto"/>
          <w:sz w:val="24"/>
          <w:szCs w:val="22"/>
          <w:highlight w:val="none"/>
          <w:lang w:val="en-US" w:eastAsia="zh-CN"/>
        </w:rPr>
        <w:t>，每月</w:t>
      </w:r>
      <w:r>
        <w:rPr>
          <w:rFonts w:hint="default" w:ascii="Times New Roman" w:hAnsi="Times New Roman" w:eastAsia="宋体" w:cs="Times New Roman"/>
          <w:color w:val="auto"/>
          <w:sz w:val="24"/>
          <w:szCs w:val="24"/>
          <w:highlight w:val="none"/>
          <w:shd w:val="clear" w:color="auto" w:fill="FFFFFF"/>
          <w:lang w:eastAsia="zh-CN"/>
        </w:rPr>
        <w:t>垫草垫料</w:t>
      </w:r>
      <w:r>
        <w:rPr>
          <w:rFonts w:hint="default" w:ascii="Times New Roman" w:hAnsi="Times New Roman" w:eastAsia="宋体" w:cs="Times New Roman"/>
          <w:color w:val="auto"/>
          <w:sz w:val="24"/>
          <w:szCs w:val="24"/>
          <w:highlight w:val="none"/>
          <w:shd w:val="clear" w:color="auto" w:fill="FFFFFF"/>
          <w:lang w:val="en-US" w:eastAsia="zh-CN"/>
        </w:rPr>
        <w:t>1次，</w:t>
      </w:r>
      <w:r>
        <w:rPr>
          <w:rFonts w:hint="default" w:ascii="Times New Roman" w:hAnsi="Times New Roman" w:eastAsia="宋体" w:cs="Times New Roman"/>
          <w:color w:val="auto"/>
          <w:sz w:val="24"/>
          <w:szCs w:val="24"/>
          <w:highlight w:val="none"/>
          <w:shd w:val="clear" w:color="auto" w:fill="FFFFFF"/>
          <w:lang w:eastAsia="zh-CN"/>
        </w:rPr>
        <w:t>垫草垫料用量为</w:t>
      </w:r>
      <w:r>
        <w:rPr>
          <w:rFonts w:hint="eastAsia" w:cs="Times New Roman"/>
          <w:color w:val="auto"/>
          <w:sz w:val="24"/>
          <w:szCs w:val="24"/>
          <w:highlight w:val="none"/>
          <w:shd w:val="clear" w:color="auto" w:fill="FFFFFF"/>
          <w:lang w:val="en-US" w:eastAsia="zh-CN"/>
        </w:rPr>
        <w:t>2191</w:t>
      </w:r>
      <w:r>
        <w:rPr>
          <w:rFonts w:hint="default" w:ascii="Times New Roman" w:hAnsi="Times New Roman" w:eastAsia="宋体" w:cs="Times New Roman"/>
          <w:color w:val="auto"/>
          <w:sz w:val="24"/>
          <w:szCs w:val="24"/>
          <w:highlight w:val="none"/>
          <w:shd w:val="clear" w:color="auto" w:fill="FFFFFF"/>
          <w:lang w:val="en-US" w:eastAsia="zh-CN"/>
        </w:rPr>
        <w:t>t/a。</w:t>
      </w:r>
    </w:p>
    <w:p w14:paraId="1146CA58">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因此，项目</w:t>
      </w:r>
      <w:r>
        <w:rPr>
          <w:rFonts w:hint="default" w:ascii="Times New Roman" w:hAnsi="Times New Roman" w:eastAsia="宋体" w:cs="Times New Roman"/>
          <w:color w:val="auto"/>
          <w:sz w:val="24"/>
          <w:szCs w:val="24"/>
          <w:highlight w:val="none"/>
          <w:lang w:eastAsia="zh-CN"/>
        </w:rPr>
        <w:t>废垫草垫料（含粪尿）产生量为</w:t>
      </w:r>
      <w:r>
        <w:rPr>
          <w:rFonts w:hint="eastAsia" w:cs="Times New Roman"/>
          <w:color w:val="auto"/>
          <w:sz w:val="24"/>
          <w:szCs w:val="24"/>
          <w:highlight w:val="none"/>
          <w:lang w:val="en-US" w:eastAsia="zh-CN"/>
        </w:rPr>
        <w:t>26018.2</w:t>
      </w:r>
      <w:r>
        <w:rPr>
          <w:rFonts w:hint="default" w:ascii="Times New Roman" w:hAnsi="Times New Roman" w:eastAsia="宋体" w:cs="Times New Roman"/>
          <w:color w:val="auto"/>
          <w:sz w:val="24"/>
          <w:szCs w:val="24"/>
          <w:highlight w:val="none"/>
          <w:lang w:val="en-US" w:eastAsia="zh-CN"/>
        </w:rPr>
        <w:t>t/a，属一般固体废物，根据《固体废物分类与代码目录》，废物种类为“SW82畜牧业废物”，代码为“030-001-S82”和“030-003-S82”。垫草垫料每个月清理更换一次，</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default" w:ascii="Times New Roman" w:hAnsi="Times New Roman" w:eastAsia="宋体" w:cs="Times New Roman"/>
          <w:color w:val="auto"/>
          <w:sz w:val="24"/>
          <w:szCs w:val="24"/>
          <w:highlight w:val="none"/>
          <w:lang w:eastAsia="zh-CN"/>
        </w:rPr>
        <w:t>。</w:t>
      </w:r>
    </w:p>
    <w:p w14:paraId="376EEEAA">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w:t>
      </w:r>
      <w:r>
        <w:rPr>
          <w:rFonts w:hint="eastAsia"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）病死牛尸体</w:t>
      </w:r>
    </w:p>
    <w:p w14:paraId="5BD95E5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根据《规模化畜禽养殖场环境影响评价与实例研究》（常玉海等，农业环境科学学报，2007年，26(增刊)：311-318）可知，由于项目采用科学化管理与养殖，病死牛产生量较小。本项目取平均值0.1%，项目年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栏肉牛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头，则本项目正常死亡及普通疫病的病死牛约</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rPr>
        <w:t>头，每头牛重约</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00kg，</w:t>
      </w:r>
      <w:r>
        <w:rPr>
          <w:rFonts w:hint="eastAsia" w:eastAsia="宋体" w:cs="Times New Roman"/>
          <w:color w:val="auto"/>
          <w:highlight w:val="none"/>
          <w:lang w:val="en-US" w:eastAsia="zh-CN"/>
        </w:rPr>
        <w:t>7.0</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Cs w:val="24"/>
          <w:highlight w:val="none"/>
        </w:rPr>
        <w:t>根据《国家危险废物名录（2021</w:t>
      </w:r>
      <w:r>
        <w:rPr>
          <w:rFonts w:hint="default" w:ascii="Times New Roman" w:hAnsi="Times New Roman" w:eastAsia="宋体" w:cs="Times New Roman"/>
          <w:color w:val="auto"/>
          <w:highlight w:val="none"/>
        </w:rPr>
        <w:t>年版）</w:t>
      </w:r>
      <w:r>
        <w:rPr>
          <w:rFonts w:hint="default" w:ascii="Times New Roman" w:hAnsi="Times New Roman" w:eastAsia="宋体" w:cs="Times New Roman"/>
          <w:color w:val="auto"/>
          <w:szCs w:val="24"/>
          <w:highlight w:val="none"/>
        </w:rPr>
        <w:t>》病死牛不属于危废，病死牛的处置问题应根据我国《畜禽养殖业污染防治技术规划》（HJ/T81-2001）的固定采取焚烧炉焚烧或填埋的方法要求执行，防止周围环境产生污染，减少对人畜的健康问题，病死牛要及时处理，严禁随意丢弃，严禁出售或作为饲料再利用。本项目病死牛委托有资质单位进行无害化处理，满足《畜禽养殖业污染防治技术规划》（HJ/T81-2001）要求。</w:t>
      </w:r>
    </w:p>
    <w:p w14:paraId="0D2C0ACD">
      <w:pPr>
        <w:pStyle w:val="67"/>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）生活垃圾</w:t>
      </w:r>
    </w:p>
    <w:p w14:paraId="3A84AB5B">
      <w:pPr>
        <w:pStyle w:val="67"/>
        <w:spacing w:line="480" w:lineRule="exact"/>
        <w:ind w:firstLine="480"/>
        <w:rPr>
          <w:rFonts w:hint="eastAsia" w:eastAsia="宋体" w:cs="Times New Roman"/>
          <w:color w:val="auto"/>
          <w:highlight w:val="none"/>
          <w:lang w:val="en-US" w:eastAsia="zh-CN"/>
        </w:rPr>
      </w:pPr>
      <w:r>
        <w:rPr>
          <w:rFonts w:hint="default" w:ascii="Times New Roman" w:hAnsi="Times New Roman" w:eastAsia="宋体" w:cs="Times New Roman"/>
          <w:color w:val="auto"/>
          <w:highlight w:val="none"/>
        </w:rPr>
        <w:t>本项目拟定职工</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，生活垃圾产生量为0.5kg/人·天，则项目运行期间生活垃圾产生量为0.0</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14.6</w:t>
      </w:r>
      <w:r>
        <w:rPr>
          <w:rFonts w:hint="default" w:ascii="Times New Roman" w:hAnsi="Times New Roman" w:eastAsia="宋体" w:cs="Times New Roman"/>
          <w:color w:val="auto"/>
          <w:highlight w:val="none"/>
        </w:rPr>
        <w:t>t/a。</w:t>
      </w:r>
      <w:r>
        <w:rPr>
          <w:rFonts w:hint="eastAsia" w:eastAsia="宋体" w:cs="Times New Roman"/>
          <w:color w:val="auto"/>
          <w:highlight w:val="none"/>
          <w:lang w:val="en-US" w:eastAsia="zh-CN"/>
        </w:rPr>
        <w:t>由市政部门统一处理。</w:t>
      </w:r>
    </w:p>
    <w:p w14:paraId="565EA180">
      <w:pPr>
        <w:pStyle w:val="67"/>
        <w:spacing w:line="480" w:lineRule="exact"/>
        <w:ind w:firstLine="480"/>
        <w:rPr>
          <w:rFonts w:hint="default" w:eastAsia="宋体" w:cs="Times New Roman"/>
          <w:color w:val="auto"/>
          <w:highlight w:val="none"/>
          <w:lang w:val="en-US" w:eastAsia="zh-CN"/>
        </w:rPr>
      </w:pPr>
      <w:r>
        <w:rPr>
          <w:rFonts w:hint="eastAsia" w:eastAsia="宋体" w:cs="Times New Roman"/>
          <w:color w:val="auto"/>
          <w:highlight w:val="none"/>
          <w:lang w:val="en-US" w:eastAsia="zh-CN"/>
        </w:rPr>
        <w:t>（4）废活性炭</w:t>
      </w:r>
    </w:p>
    <w:p w14:paraId="5D281BE3">
      <w:pPr>
        <w:pStyle w:val="67"/>
        <w:spacing w:line="480" w:lineRule="exact"/>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项目废活性炭来自处理</w:t>
      </w:r>
      <w:r>
        <w:rPr>
          <w:rFonts w:hint="eastAsia" w:ascii="Times New Roman" w:hAnsi="Times New Roman" w:eastAsia="宋体" w:cs="Times New Roman"/>
          <w:color w:val="auto"/>
          <w:highlight w:val="none"/>
        </w:rPr>
        <w:t>堆肥间</w:t>
      </w:r>
      <w:r>
        <w:rPr>
          <w:rFonts w:hint="eastAsia" w:ascii="Times New Roman" w:hAnsi="Times New Roman" w:eastAsia="宋体" w:cs="Times New Roman"/>
          <w:color w:val="auto"/>
          <w:highlight w:val="none"/>
          <w:lang w:val="en-US" w:eastAsia="zh-CN"/>
        </w:rPr>
        <w:t>中</w:t>
      </w:r>
      <w:r>
        <w:rPr>
          <w:rFonts w:hint="eastAsia" w:ascii="Times New Roman" w:hAnsi="Times New Roman" w:eastAsia="宋体" w:cs="Times New Roman"/>
          <w:color w:val="auto"/>
          <w:highlight w:val="none"/>
        </w:rPr>
        <w:t>恶臭</w:t>
      </w:r>
      <w:r>
        <w:rPr>
          <w:rFonts w:hint="default" w:ascii="Times New Roman" w:hAnsi="Times New Roman" w:eastAsia="宋体" w:cs="Times New Roman"/>
          <w:color w:val="auto"/>
          <w:highlight w:val="none"/>
        </w:rPr>
        <w:t>的活性炭吸附处理装置，</w:t>
      </w:r>
      <w:r>
        <w:rPr>
          <w:rFonts w:hint="eastAsia" w:ascii="Times New Roman" w:hAnsi="Times New Roman" w:eastAsia="宋体" w:cs="Times New Roman"/>
          <w:color w:val="auto"/>
          <w:highlight w:val="none"/>
        </w:rPr>
        <w:t>为保证活性炭吸附装置的有效性，活性炭每季度更换一次。</w:t>
      </w:r>
      <w:r>
        <w:rPr>
          <w:rFonts w:hint="default" w:ascii="Times New Roman" w:hAnsi="Times New Roman" w:eastAsia="宋体" w:cs="Times New Roman"/>
          <w:color w:val="auto"/>
          <w:highlight w:val="none"/>
        </w:rPr>
        <w:t>根据《简明通风设计手册》</w:t>
      </w:r>
      <w:r>
        <w:rPr>
          <w:rFonts w:hint="eastAsia" w:ascii="Times New Roman" w:hAnsi="Times New Roman" w:eastAsia="宋体" w:cs="Times New Roman"/>
          <w:color w:val="auto"/>
          <w:highlight w:val="none"/>
        </w:rPr>
        <w:t>中活性炭的吸附饱和容量为0.24kg/kg活性炭，根据工程分析，活性炭吸附恶臭气体量为</w:t>
      </w:r>
      <w:r>
        <w:rPr>
          <w:rFonts w:hint="eastAsia" w:eastAsia="宋体" w:cs="Times New Roman"/>
          <w:color w:val="auto"/>
          <w:highlight w:val="none"/>
          <w:lang w:val="en-US" w:eastAsia="zh-CN"/>
        </w:rPr>
        <w:t>4.5191</w:t>
      </w:r>
      <w:r>
        <w:rPr>
          <w:rFonts w:hint="eastAsia" w:ascii="Times New Roman" w:hAnsi="Times New Roman" w:eastAsia="宋体" w:cs="Times New Roman"/>
          <w:color w:val="auto"/>
          <w:highlight w:val="none"/>
          <w:lang w:val="en-US" w:eastAsia="zh-CN"/>
        </w:rPr>
        <w:t>t</w:t>
      </w:r>
      <w:r>
        <w:rPr>
          <w:rFonts w:hint="default" w:ascii="Times New Roman" w:hAnsi="Times New Roman" w:eastAsia="宋体" w:cs="Times New Roman"/>
          <w:color w:val="auto"/>
          <w:highlight w:val="none"/>
        </w:rPr>
        <w:t>/a</w:t>
      </w:r>
      <w:r>
        <w:rPr>
          <w:rFonts w:hint="eastAsia" w:ascii="Times New Roman" w:hAnsi="Times New Roman" w:eastAsia="宋体" w:cs="Times New Roman"/>
          <w:color w:val="auto"/>
          <w:highlight w:val="none"/>
        </w:rPr>
        <w:t>，则需要</w:t>
      </w:r>
      <w:r>
        <w:rPr>
          <w:rFonts w:hint="eastAsia" w:eastAsia="宋体" w:cs="Times New Roman"/>
          <w:color w:val="auto"/>
          <w:highlight w:val="none"/>
          <w:lang w:val="en-US" w:eastAsia="zh-CN"/>
        </w:rPr>
        <w:t>18.83</w:t>
      </w:r>
      <w:r>
        <w:rPr>
          <w:rFonts w:hint="eastAsia" w:ascii="Times New Roman" w:hAnsi="Times New Roman" w:eastAsia="宋体" w:cs="Times New Roman"/>
          <w:color w:val="auto"/>
          <w:highlight w:val="none"/>
          <w:lang w:val="en-US" w:eastAsia="zh-CN"/>
        </w:rPr>
        <w:t>t</w:t>
      </w:r>
      <w:r>
        <w:rPr>
          <w:rFonts w:hint="default" w:ascii="Times New Roman" w:hAnsi="Times New Roman" w:eastAsia="宋体" w:cs="Times New Roman"/>
          <w:color w:val="auto"/>
          <w:highlight w:val="none"/>
        </w:rPr>
        <w:t>/a</w:t>
      </w:r>
      <w:r>
        <w:rPr>
          <w:rFonts w:hint="eastAsia" w:ascii="Times New Roman" w:hAnsi="Times New Roman" w:eastAsia="宋体" w:cs="Times New Roman"/>
          <w:color w:val="auto"/>
          <w:highlight w:val="none"/>
        </w:rPr>
        <w:t>活性炭。废活性炭产生量为活性炭用量和吸附污染物量的总和，即废活性炭产生量为</w:t>
      </w:r>
      <w:r>
        <w:rPr>
          <w:rFonts w:hint="eastAsia" w:eastAsia="宋体" w:cs="Times New Roman"/>
          <w:color w:val="auto"/>
          <w:highlight w:val="none"/>
          <w:lang w:val="en-US" w:eastAsia="zh-CN"/>
        </w:rPr>
        <w:t>23.35</w:t>
      </w:r>
      <w:r>
        <w:rPr>
          <w:rFonts w:hint="eastAsia" w:ascii="Times New Roman" w:hAnsi="Times New Roman" w:eastAsia="宋体" w:cs="Times New Roman"/>
          <w:color w:val="auto"/>
          <w:highlight w:val="none"/>
        </w:rPr>
        <w:t>t</w:t>
      </w:r>
      <w:r>
        <w:rPr>
          <w:rFonts w:hint="default" w:ascii="Times New Roman" w:hAnsi="Times New Roman" w:eastAsia="宋体" w:cs="Times New Roman"/>
          <w:color w:val="auto"/>
          <w:highlight w:val="none"/>
        </w:rPr>
        <w:t>/a</w:t>
      </w:r>
      <w:r>
        <w:rPr>
          <w:rFonts w:hint="eastAsia" w:ascii="Times New Roman" w:hAnsi="Times New Roman" w:eastAsia="宋体" w:cs="Times New Roman"/>
          <w:color w:val="auto"/>
          <w:highlight w:val="none"/>
        </w:rPr>
        <w:t>，由厂家回收处理。</w:t>
      </w:r>
    </w:p>
    <w:p w14:paraId="219691EE">
      <w:pPr>
        <w:pStyle w:val="67"/>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）医疗废物</w:t>
      </w:r>
    </w:p>
    <w:p w14:paraId="7F728D7F">
      <w:pPr>
        <w:pStyle w:val="67"/>
        <w:spacing w:line="480" w:lineRule="exact"/>
        <w:ind w:firstLine="480"/>
        <w:rPr>
          <w:rFonts w:hint="default" w:ascii="Times New Roman" w:hAnsi="Times New Roman" w:eastAsia="黑体" w:cs="Times New Roman"/>
          <w:color w:val="auto"/>
          <w:highlight w:val="none"/>
          <w:lang w:eastAsia="zh-CN"/>
        </w:rPr>
      </w:pPr>
      <w:r>
        <w:rPr>
          <w:rFonts w:hint="default" w:ascii="Times New Roman" w:hAnsi="Times New Roman" w:eastAsia="宋体" w:cs="Times New Roman"/>
          <w:color w:val="auto"/>
          <w:highlight w:val="none"/>
        </w:rPr>
        <w:t>本项目产生医疗废物</w:t>
      </w:r>
      <w:r>
        <w:rPr>
          <w:rFonts w:hint="default" w:ascii="Times New Roman" w:hAnsi="Times New Roman" w:eastAsia="宋体" w:cs="Times New Roman"/>
          <w:color w:val="auto"/>
          <w:highlight w:val="none"/>
          <w:lang w:eastAsia="zh-CN"/>
        </w:rPr>
        <w:t>1.5</w:t>
      </w:r>
      <w:r>
        <w:rPr>
          <w:rFonts w:hint="default" w:ascii="Times New Roman" w:hAnsi="Times New Roman" w:eastAsia="宋体" w:cs="Times New Roman"/>
          <w:color w:val="auto"/>
          <w:highlight w:val="none"/>
        </w:rPr>
        <w:t>t/a。根据《建设项目危险废物环境影响评价指南》，工程分析应结合建设项目主辅工程的原辅材料使用情况及生产工艺，全面分析各类固体废物的产生环节、主要成分、有害成分、理化性质及其产生、利用和处置量。项目产生危险废物汇总表见下表。</w:t>
      </w:r>
    </w:p>
    <w:p w14:paraId="67539537">
      <w:pPr>
        <w:pStyle w:val="67"/>
        <w:spacing w:line="480" w:lineRule="exact"/>
        <w:ind w:firstLine="480"/>
        <w:rPr>
          <w:rFonts w:hint="default" w:ascii="Times New Roman" w:hAnsi="Times New Roman" w:cs="Times New Roman"/>
          <w:color w:val="auto"/>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111DD981">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表3-4-</w:t>
      </w:r>
      <w:r>
        <w:rPr>
          <w:rFonts w:hint="eastAsia" w:cs="Times New Roman"/>
          <w:color w:val="auto"/>
          <w:highlight w:val="none"/>
          <w:lang w:val="en-US" w:eastAsia="zh-CN"/>
        </w:rPr>
        <w:t>7</w:t>
      </w:r>
      <w:r>
        <w:rPr>
          <w:rFonts w:hint="default" w:ascii="Times New Roman" w:hAnsi="Times New Roman" w:cs="Times New Roman"/>
          <w:color w:val="auto"/>
          <w:highlight w:val="none"/>
        </w:rPr>
        <w:t>危险废物汇总表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101"/>
        <w:gridCol w:w="1041"/>
        <w:gridCol w:w="1501"/>
        <w:gridCol w:w="982"/>
        <w:gridCol w:w="1099"/>
        <w:gridCol w:w="882"/>
        <w:gridCol w:w="1321"/>
        <w:gridCol w:w="1101"/>
        <w:gridCol w:w="882"/>
        <w:gridCol w:w="659"/>
        <w:gridCol w:w="2060"/>
      </w:tblGrid>
      <w:tr w14:paraId="1923B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 w:type="pct"/>
            <w:shd w:val="clear" w:color="auto" w:fill="auto"/>
            <w:vAlign w:val="center"/>
          </w:tcPr>
          <w:p w14:paraId="5F7EEC2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16" w:type="pct"/>
            <w:shd w:val="clear" w:color="auto" w:fill="auto"/>
            <w:vAlign w:val="center"/>
          </w:tcPr>
          <w:p w14:paraId="670E047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危险废物名称</w:t>
            </w:r>
          </w:p>
        </w:tc>
        <w:tc>
          <w:tcPr>
            <w:tcW w:w="393" w:type="pct"/>
            <w:shd w:val="clear" w:color="auto" w:fill="auto"/>
            <w:vAlign w:val="center"/>
          </w:tcPr>
          <w:p w14:paraId="6422568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危险废物类别</w:t>
            </w:r>
          </w:p>
        </w:tc>
        <w:tc>
          <w:tcPr>
            <w:tcW w:w="567" w:type="pct"/>
            <w:shd w:val="clear" w:color="auto" w:fill="auto"/>
            <w:vAlign w:val="center"/>
          </w:tcPr>
          <w:p w14:paraId="1FBE65C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危险废物代码</w:t>
            </w:r>
          </w:p>
        </w:tc>
        <w:tc>
          <w:tcPr>
            <w:tcW w:w="371" w:type="pct"/>
            <w:shd w:val="clear" w:color="auto" w:fill="auto"/>
            <w:vAlign w:val="center"/>
          </w:tcPr>
          <w:p w14:paraId="12D0B33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c>
          <w:tcPr>
            <w:tcW w:w="415" w:type="pct"/>
            <w:shd w:val="clear" w:color="auto" w:fill="auto"/>
            <w:vAlign w:val="center"/>
          </w:tcPr>
          <w:p w14:paraId="254A6C0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产生工序及装置</w:t>
            </w:r>
          </w:p>
        </w:tc>
        <w:tc>
          <w:tcPr>
            <w:tcW w:w="333" w:type="pct"/>
            <w:shd w:val="clear" w:color="auto" w:fill="auto"/>
            <w:vAlign w:val="center"/>
          </w:tcPr>
          <w:p w14:paraId="61BEB59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形态</w:t>
            </w:r>
          </w:p>
        </w:tc>
        <w:tc>
          <w:tcPr>
            <w:tcW w:w="499" w:type="pct"/>
            <w:shd w:val="clear" w:color="auto" w:fill="auto"/>
            <w:vAlign w:val="center"/>
          </w:tcPr>
          <w:p w14:paraId="0BEC27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主要成分</w:t>
            </w:r>
          </w:p>
        </w:tc>
        <w:tc>
          <w:tcPr>
            <w:tcW w:w="416" w:type="pct"/>
            <w:shd w:val="clear" w:color="auto" w:fill="auto"/>
            <w:vAlign w:val="center"/>
          </w:tcPr>
          <w:p w14:paraId="39981A1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有害成分</w:t>
            </w:r>
          </w:p>
        </w:tc>
        <w:tc>
          <w:tcPr>
            <w:tcW w:w="333" w:type="pct"/>
            <w:shd w:val="clear" w:color="auto" w:fill="auto"/>
            <w:vAlign w:val="center"/>
          </w:tcPr>
          <w:p w14:paraId="31ED72E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产废周期</w:t>
            </w:r>
          </w:p>
        </w:tc>
        <w:tc>
          <w:tcPr>
            <w:tcW w:w="249" w:type="pct"/>
            <w:shd w:val="clear" w:color="auto" w:fill="auto"/>
            <w:vAlign w:val="center"/>
          </w:tcPr>
          <w:p w14:paraId="3610DCE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w:t>
            </w:r>
          </w:p>
          <w:p w14:paraId="05FDFC2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特性</w:t>
            </w:r>
          </w:p>
        </w:tc>
        <w:tc>
          <w:tcPr>
            <w:tcW w:w="778" w:type="pct"/>
            <w:shd w:val="clear" w:color="auto" w:fill="auto"/>
            <w:vAlign w:val="center"/>
          </w:tcPr>
          <w:p w14:paraId="698ADE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污染防治措施*</w:t>
            </w:r>
          </w:p>
        </w:tc>
      </w:tr>
      <w:tr w14:paraId="5433D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0" w:type="pct"/>
            <w:shd w:val="clear" w:color="auto" w:fill="auto"/>
            <w:vAlign w:val="center"/>
          </w:tcPr>
          <w:p w14:paraId="0D037D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416" w:type="pct"/>
            <w:shd w:val="clear" w:color="auto" w:fill="auto"/>
            <w:vAlign w:val="center"/>
          </w:tcPr>
          <w:p w14:paraId="5D23D0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w:t>
            </w:r>
          </w:p>
        </w:tc>
        <w:tc>
          <w:tcPr>
            <w:tcW w:w="393" w:type="pct"/>
            <w:shd w:val="clear" w:color="auto" w:fill="auto"/>
            <w:vAlign w:val="center"/>
          </w:tcPr>
          <w:p w14:paraId="2D04BE0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567" w:type="pct"/>
            <w:shd w:val="clear" w:color="auto" w:fill="auto"/>
            <w:vAlign w:val="center"/>
          </w:tcPr>
          <w:p w14:paraId="7D50B8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900-001-01</w:t>
            </w:r>
          </w:p>
        </w:tc>
        <w:tc>
          <w:tcPr>
            <w:tcW w:w="371" w:type="pct"/>
            <w:shd w:val="clear" w:color="auto" w:fill="auto"/>
            <w:vAlign w:val="center"/>
          </w:tcPr>
          <w:p w14:paraId="3C1F1D6F">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1.5</w:t>
            </w:r>
          </w:p>
        </w:tc>
        <w:tc>
          <w:tcPr>
            <w:tcW w:w="415" w:type="pct"/>
            <w:shd w:val="clear" w:color="auto" w:fill="auto"/>
            <w:vAlign w:val="center"/>
          </w:tcPr>
          <w:p w14:paraId="725A7D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动物防疫</w:t>
            </w:r>
          </w:p>
        </w:tc>
        <w:tc>
          <w:tcPr>
            <w:tcW w:w="333" w:type="pct"/>
            <w:shd w:val="clear" w:color="auto" w:fill="auto"/>
            <w:vAlign w:val="center"/>
          </w:tcPr>
          <w:p w14:paraId="0E14D2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固态</w:t>
            </w:r>
          </w:p>
        </w:tc>
        <w:tc>
          <w:tcPr>
            <w:tcW w:w="499" w:type="pct"/>
            <w:shd w:val="clear" w:color="auto" w:fill="auto"/>
            <w:vAlign w:val="center"/>
          </w:tcPr>
          <w:p w14:paraId="45C7FF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兽药、注射器、药瓶、采血管</w:t>
            </w:r>
          </w:p>
        </w:tc>
        <w:tc>
          <w:tcPr>
            <w:tcW w:w="416" w:type="pct"/>
            <w:shd w:val="clear" w:color="auto" w:fill="auto"/>
            <w:vAlign w:val="center"/>
          </w:tcPr>
          <w:p w14:paraId="386C154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磺胺类、氯霉素等残留</w:t>
            </w:r>
          </w:p>
        </w:tc>
        <w:tc>
          <w:tcPr>
            <w:tcW w:w="333" w:type="pct"/>
            <w:shd w:val="clear" w:color="auto" w:fill="auto"/>
            <w:vAlign w:val="center"/>
          </w:tcPr>
          <w:p w14:paraId="47EDF2B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每天</w:t>
            </w:r>
          </w:p>
        </w:tc>
        <w:tc>
          <w:tcPr>
            <w:tcW w:w="249" w:type="pct"/>
            <w:shd w:val="clear" w:color="auto" w:fill="auto"/>
            <w:vAlign w:val="center"/>
          </w:tcPr>
          <w:p w14:paraId="23CF918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感染性</w:t>
            </w:r>
          </w:p>
        </w:tc>
        <w:tc>
          <w:tcPr>
            <w:tcW w:w="778" w:type="pct"/>
            <w:shd w:val="clear" w:color="auto" w:fill="auto"/>
            <w:vAlign w:val="center"/>
          </w:tcPr>
          <w:p w14:paraId="35D51CF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贮存：专用容器桶进行收集后暂存于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；处置：定期交有资质单位处理</w:t>
            </w:r>
          </w:p>
        </w:tc>
      </w:tr>
    </w:tbl>
    <w:p w14:paraId="1F7DDB94">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表3-4-</w:t>
      </w:r>
      <w:r>
        <w:rPr>
          <w:rFonts w:hint="eastAsia" w:cs="Times New Roman"/>
          <w:color w:val="auto"/>
          <w:highlight w:val="none"/>
          <w:lang w:val="en-US" w:eastAsia="zh-CN"/>
        </w:rPr>
        <w:t>8</w:t>
      </w:r>
      <w:r>
        <w:rPr>
          <w:rFonts w:hint="default" w:ascii="Times New Roman" w:hAnsi="Times New Roman" w:cs="Times New Roman"/>
          <w:color w:val="auto"/>
          <w:highlight w:val="none"/>
        </w:rPr>
        <w:t>固体废弃物源强</w:t>
      </w:r>
    </w:p>
    <w:tbl>
      <w:tblPr>
        <w:tblStyle w:val="47"/>
        <w:tblW w:w="491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1285"/>
        <w:gridCol w:w="1950"/>
        <w:gridCol w:w="1256"/>
        <w:gridCol w:w="1394"/>
        <w:gridCol w:w="2700"/>
        <w:gridCol w:w="1215"/>
        <w:gridCol w:w="2142"/>
      </w:tblGrid>
      <w:tr w14:paraId="1CDC8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Merge w:val="restart"/>
            <w:vAlign w:val="center"/>
          </w:tcPr>
          <w:p w14:paraId="38129BBF">
            <w:pPr>
              <w:pStyle w:val="146"/>
              <w:rPr>
                <w:rFonts w:hint="default" w:ascii="Times New Roman" w:hAnsi="Times New Roman" w:eastAsia="宋体" w:cs="Times New Roman"/>
                <w:color w:val="auto"/>
                <w:highlight w:val="none"/>
              </w:rPr>
            </w:pPr>
            <w:bookmarkStart w:id="243" w:name="_Hlk523068308"/>
            <w:r>
              <w:rPr>
                <w:rFonts w:hint="default" w:ascii="Times New Roman" w:hAnsi="Times New Roman" w:eastAsia="宋体" w:cs="Times New Roman"/>
                <w:color w:val="auto"/>
                <w:highlight w:val="none"/>
              </w:rPr>
              <w:t>工序</w:t>
            </w:r>
          </w:p>
        </w:tc>
        <w:tc>
          <w:tcPr>
            <w:tcW w:w="493" w:type="pct"/>
            <w:vMerge w:val="restart"/>
            <w:vAlign w:val="center"/>
          </w:tcPr>
          <w:p w14:paraId="3E4A75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固体废物名称</w:t>
            </w:r>
          </w:p>
        </w:tc>
        <w:tc>
          <w:tcPr>
            <w:tcW w:w="748" w:type="pct"/>
            <w:vMerge w:val="restart"/>
            <w:vAlign w:val="center"/>
          </w:tcPr>
          <w:p w14:paraId="52E1D94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固废属性</w:t>
            </w:r>
          </w:p>
        </w:tc>
        <w:tc>
          <w:tcPr>
            <w:tcW w:w="482" w:type="pct"/>
            <w:vMerge w:val="restart"/>
            <w:vAlign w:val="center"/>
          </w:tcPr>
          <w:p w14:paraId="2375E3F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固体废物类别代码</w:t>
            </w:r>
          </w:p>
        </w:tc>
        <w:tc>
          <w:tcPr>
            <w:tcW w:w="535" w:type="pct"/>
            <w:vMerge w:val="restart"/>
            <w:vAlign w:val="center"/>
          </w:tcPr>
          <w:p w14:paraId="4FAC42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c>
          <w:tcPr>
            <w:tcW w:w="1502" w:type="pct"/>
            <w:gridSpan w:val="2"/>
            <w:vAlign w:val="center"/>
          </w:tcPr>
          <w:p w14:paraId="718CF7C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处置措施</w:t>
            </w:r>
          </w:p>
        </w:tc>
        <w:tc>
          <w:tcPr>
            <w:tcW w:w="822" w:type="pct"/>
            <w:vMerge w:val="restart"/>
            <w:vAlign w:val="center"/>
          </w:tcPr>
          <w:p w14:paraId="60A0649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最终去向</w:t>
            </w:r>
          </w:p>
        </w:tc>
      </w:tr>
      <w:tr w14:paraId="70BE3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Merge w:val="continue"/>
            <w:vAlign w:val="center"/>
          </w:tcPr>
          <w:p w14:paraId="7F90F5AA">
            <w:pPr>
              <w:pStyle w:val="146"/>
              <w:rPr>
                <w:rFonts w:hint="default" w:ascii="Times New Roman" w:hAnsi="Times New Roman" w:eastAsia="宋体" w:cs="Times New Roman"/>
                <w:color w:val="auto"/>
                <w:highlight w:val="none"/>
              </w:rPr>
            </w:pPr>
          </w:p>
        </w:tc>
        <w:tc>
          <w:tcPr>
            <w:tcW w:w="493" w:type="pct"/>
            <w:vMerge w:val="continue"/>
            <w:vAlign w:val="center"/>
          </w:tcPr>
          <w:p w14:paraId="10FF736B">
            <w:pPr>
              <w:pStyle w:val="146"/>
              <w:rPr>
                <w:rFonts w:hint="default" w:ascii="Times New Roman" w:hAnsi="Times New Roman" w:eastAsia="宋体" w:cs="Times New Roman"/>
                <w:color w:val="auto"/>
                <w:highlight w:val="none"/>
              </w:rPr>
            </w:pPr>
          </w:p>
        </w:tc>
        <w:tc>
          <w:tcPr>
            <w:tcW w:w="748" w:type="pct"/>
            <w:vMerge w:val="continue"/>
            <w:vAlign w:val="center"/>
          </w:tcPr>
          <w:p w14:paraId="6BB8A30A">
            <w:pPr>
              <w:pStyle w:val="146"/>
              <w:rPr>
                <w:rFonts w:hint="default" w:ascii="Times New Roman" w:hAnsi="Times New Roman" w:eastAsia="宋体" w:cs="Times New Roman"/>
                <w:color w:val="auto"/>
                <w:highlight w:val="none"/>
              </w:rPr>
            </w:pPr>
          </w:p>
        </w:tc>
        <w:tc>
          <w:tcPr>
            <w:tcW w:w="482" w:type="pct"/>
            <w:vMerge w:val="continue"/>
            <w:vAlign w:val="center"/>
          </w:tcPr>
          <w:p w14:paraId="2F5FDD9C">
            <w:pPr>
              <w:pStyle w:val="146"/>
              <w:rPr>
                <w:rFonts w:hint="default" w:ascii="Times New Roman" w:hAnsi="Times New Roman" w:eastAsia="宋体" w:cs="Times New Roman"/>
                <w:color w:val="auto"/>
                <w:highlight w:val="none"/>
              </w:rPr>
            </w:pPr>
          </w:p>
        </w:tc>
        <w:tc>
          <w:tcPr>
            <w:tcW w:w="535" w:type="pct"/>
            <w:vMerge w:val="continue"/>
            <w:vAlign w:val="center"/>
          </w:tcPr>
          <w:p w14:paraId="70D0C2AC">
            <w:pPr>
              <w:pStyle w:val="146"/>
              <w:rPr>
                <w:rFonts w:hint="default" w:ascii="Times New Roman" w:hAnsi="Times New Roman" w:eastAsia="宋体" w:cs="Times New Roman"/>
                <w:color w:val="auto"/>
                <w:highlight w:val="none"/>
              </w:rPr>
            </w:pPr>
          </w:p>
        </w:tc>
        <w:tc>
          <w:tcPr>
            <w:tcW w:w="1036" w:type="pct"/>
            <w:vAlign w:val="center"/>
          </w:tcPr>
          <w:p w14:paraId="683A336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w:t>
            </w:r>
          </w:p>
        </w:tc>
        <w:tc>
          <w:tcPr>
            <w:tcW w:w="465" w:type="pct"/>
            <w:vAlign w:val="center"/>
          </w:tcPr>
          <w:p w14:paraId="01609B9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处置量（t/a）</w:t>
            </w:r>
          </w:p>
        </w:tc>
        <w:tc>
          <w:tcPr>
            <w:tcW w:w="822" w:type="pct"/>
            <w:vMerge w:val="continue"/>
            <w:vAlign w:val="center"/>
          </w:tcPr>
          <w:p w14:paraId="5D7D42E6">
            <w:pPr>
              <w:pStyle w:val="146"/>
              <w:rPr>
                <w:rFonts w:hint="default" w:ascii="Times New Roman" w:hAnsi="Times New Roman" w:eastAsia="宋体" w:cs="Times New Roman"/>
                <w:color w:val="auto"/>
                <w:highlight w:val="none"/>
              </w:rPr>
            </w:pPr>
          </w:p>
        </w:tc>
      </w:tr>
      <w:tr w14:paraId="32D1B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Align w:val="center"/>
          </w:tcPr>
          <w:p w14:paraId="4D7851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养殖过程</w:t>
            </w:r>
          </w:p>
        </w:tc>
        <w:tc>
          <w:tcPr>
            <w:tcW w:w="493" w:type="pct"/>
            <w:vAlign w:val="center"/>
          </w:tcPr>
          <w:p w14:paraId="1DED2DE5">
            <w:pPr>
              <w:pStyle w:val="146"/>
              <w:rPr>
                <w:rFonts w:hint="default" w:ascii="Times New Roman" w:hAnsi="Times New Roman" w:eastAsia="宋体" w:cs="Times New Roman"/>
                <w:color w:val="auto"/>
                <w:szCs w:val="21"/>
                <w:highlight w:val="none"/>
                <w:lang w:val="en-US" w:eastAsia="zh-CN"/>
              </w:rPr>
            </w:pPr>
            <w:r>
              <w:rPr>
                <w:rFonts w:hint="eastAsia" w:eastAsia="宋体" w:cs="Times New Roman"/>
                <w:color w:val="auto"/>
                <w:highlight w:val="none"/>
                <w:lang w:val="en-US" w:eastAsia="zh-CN"/>
              </w:rPr>
              <w:t>含粪污垫料</w:t>
            </w:r>
          </w:p>
        </w:tc>
        <w:tc>
          <w:tcPr>
            <w:tcW w:w="748" w:type="pct"/>
            <w:vAlign w:val="center"/>
          </w:tcPr>
          <w:p w14:paraId="71347F9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一般工业固体废物</w:t>
            </w:r>
          </w:p>
        </w:tc>
        <w:tc>
          <w:tcPr>
            <w:tcW w:w="482" w:type="pct"/>
            <w:vAlign w:val="center"/>
          </w:tcPr>
          <w:p w14:paraId="11C58C0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030-001-S82</w:t>
            </w:r>
          </w:p>
        </w:tc>
        <w:tc>
          <w:tcPr>
            <w:tcW w:w="535" w:type="pct"/>
            <w:vAlign w:val="center"/>
          </w:tcPr>
          <w:p w14:paraId="6860341B">
            <w:pPr>
              <w:pStyle w:val="146"/>
              <w:rPr>
                <w:rFonts w:hint="default" w:ascii="Times New Roman" w:hAnsi="Times New Roman" w:eastAsia="宋体" w:cs="Times New Roman"/>
                <w:color w:val="auto"/>
                <w:szCs w:val="21"/>
                <w:highlight w:val="none"/>
                <w:lang w:val="en-US" w:eastAsia="zh-CN"/>
              </w:rPr>
            </w:pPr>
            <w:r>
              <w:rPr>
                <w:rFonts w:hint="eastAsia" w:eastAsia="宋体" w:cs="Times New Roman"/>
                <w:color w:val="auto"/>
                <w:highlight w:val="none"/>
                <w:lang w:val="en-US" w:eastAsia="zh-CN"/>
              </w:rPr>
              <w:t>26018.2</w:t>
            </w:r>
          </w:p>
        </w:tc>
        <w:tc>
          <w:tcPr>
            <w:tcW w:w="1036" w:type="pct"/>
            <w:vAlign w:val="center"/>
          </w:tcPr>
          <w:p w14:paraId="5A6C870E">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运至</w:t>
            </w:r>
            <w:r>
              <w:rPr>
                <w:rFonts w:hint="default" w:ascii="Times New Roman" w:hAnsi="Times New Roman" w:eastAsia="宋体" w:cs="Times New Roman"/>
                <w:color w:val="auto"/>
                <w:highlight w:val="none"/>
              </w:rPr>
              <w:t>堆肥间进行堆肥</w:t>
            </w:r>
          </w:p>
        </w:tc>
        <w:tc>
          <w:tcPr>
            <w:tcW w:w="465" w:type="pct"/>
            <w:shd w:val="clear" w:color="auto" w:fill="auto"/>
            <w:vAlign w:val="center"/>
          </w:tcPr>
          <w:p w14:paraId="20456D2B">
            <w:pPr>
              <w:pStyle w:val="146"/>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highlight w:val="none"/>
                <w:lang w:val="en-US" w:eastAsia="zh-CN"/>
              </w:rPr>
              <w:t>26018.2</w:t>
            </w:r>
          </w:p>
        </w:tc>
        <w:tc>
          <w:tcPr>
            <w:tcW w:w="822" w:type="pct"/>
            <w:vAlign w:val="center"/>
          </w:tcPr>
          <w:p w14:paraId="52D11F5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利用</w:t>
            </w:r>
          </w:p>
        </w:tc>
      </w:tr>
      <w:tr w14:paraId="24E7BD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Align w:val="center"/>
          </w:tcPr>
          <w:p w14:paraId="5B483C3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养殖过程</w:t>
            </w:r>
          </w:p>
        </w:tc>
        <w:tc>
          <w:tcPr>
            <w:tcW w:w="493" w:type="pct"/>
            <w:vAlign w:val="center"/>
          </w:tcPr>
          <w:p w14:paraId="6542D079">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医疗废物</w:t>
            </w:r>
          </w:p>
        </w:tc>
        <w:tc>
          <w:tcPr>
            <w:tcW w:w="748" w:type="pct"/>
            <w:vAlign w:val="center"/>
          </w:tcPr>
          <w:p w14:paraId="706622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w:t>
            </w:r>
          </w:p>
        </w:tc>
        <w:tc>
          <w:tcPr>
            <w:tcW w:w="482" w:type="pct"/>
            <w:vAlign w:val="center"/>
          </w:tcPr>
          <w:p w14:paraId="392CE1F4">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900-001-01</w:t>
            </w:r>
          </w:p>
        </w:tc>
        <w:tc>
          <w:tcPr>
            <w:tcW w:w="535" w:type="pct"/>
            <w:vAlign w:val="center"/>
          </w:tcPr>
          <w:p w14:paraId="0BEDAFE7">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1.5</w:t>
            </w:r>
          </w:p>
        </w:tc>
        <w:tc>
          <w:tcPr>
            <w:tcW w:w="1036" w:type="pct"/>
            <w:vAlign w:val="center"/>
          </w:tcPr>
          <w:p w14:paraId="35C11BF0">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暂存于</w:t>
            </w:r>
            <w:r>
              <w:rPr>
                <w:rFonts w:hint="default" w:ascii="Times New Roman" w:hAnsi="Times New Roman" w:eastAsia="宋体" w:cs="Times New Roman"/>
                <w:color w:val="auto"/>
                <w:highlight w:val="none"/>
                <w:lang w:eastAsia="zh-CN"/>
              </w:rPr>
              <w:t>危险废物贮存点</w:t>
            </w:r>
          </w:p>
        </w:tc>
        <w:tc>
          <w:tcPr>
            <w:tcW w:w="465" w:type="pct"/>
            <w:shd w:val="clear" w:color="auto" w:fill="auto"/>
            <w:vAlign w:val="center"/>
          </w:tcPr>
          <w:p w14:paraId="79391947">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eastAsia="zh-CN"/>
              </w:rPr>
              <w:t>1.5</w:t>
            </w:r>
          </w:p>
        </w:tc>
        <w:tc>
          <w:tcPr>
            <w:tcW w:w="822" w:type="pct"/>
            <w:vAlign w:val="center"/>
          </w:tcPr>
          <w:p w14:paraId="14E1C9A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哈尔滨银山无害化处理有限公司</w:t>
            </w:r>
          </w:p>
        </w:tc>
      </w:tr>
      <w:tr w14:paraId="0F8913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Align w:val="center"/>
          </w:tcPr>
          <w:p w14:paraId="170499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养殖过程</w:t>
            </w:r>
          </w:p>
        </w:tc>
        <w:tc>
          <w:tcPr>
            <w:tcW w:w="493" w:type="pct"/>
            <w:vAlign w:val="center"/>
          </w:tcPr>
          <w:p w14:paraId="1805CB79">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病死牛</w:t>
            </w:r>
          </w:p>
        </w:tc>
        <w:tc>
          <w:tcPr>
            <w:tcW w:w="748" w:type="pct"/>
            <w:vAlign w:val="center"/>
          </w:tcPr>
          <w:p w14:paraId="51A44A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一般工业固体废物</w:t>
            </w:r>
          </w:p>
        </w:tc>
        <w:tc>
          <w:tcPr>
            <w:tcW w:w="482" w:type="pct"/>
            <w:vAlign w:val="center"/>
          </w:tcPr>
          <w:p w14:paraId="1A188EB9">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lang w:val="en-US" w:eastAsia="zh-CN"/>
              </w:rPr>
              <w:t>030-002-S82</w:t>
            </w:r>
          </w:p>
        </w:tc>
        <w:tc>
          <w:tcPr>
            <w:tcW w:w="535" w:type="pct"/>
            <w:vAlign w:val="center"/>
          </w:tcPr>
          <w:p w14:paraId="0737380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7.0</w:t>
            </w:r>
          </w:p>
        </w:tc>
        <w:tc>
          <w:tcPr>
            <w:tcW w:w="1036" w:type="pct"/>
            <w:vAlign w:val="center"/>
          </w:tcPr>
          <w:p w14:paraId="72E562E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委托有资质单位无害化处理</w:t>
            </w:r>
          </w:p>
        </w:tc>
        <w:tc>
          <w:tcPr>
            <w:tcW w:w="465" w:type="pct"/>
            <w:shd w:val="clear" w:color="auto" w:fill="auto"/>
            <w:vAlign w:val="center"/>
          </w:tcPr>
          <w:p w14:paraId="76619656">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7.0</w:t>
            </w:r>
          </w:p>
        </w:tc>
        <w:tc>
          <w:tcPr>
            <w:tcW w:w="822" w:type="pct"/>
            <w:vAlign w:val="center"/>
          </w:tcPr>
          <w:p w14:paraId="3D1351C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无害化处理</w:t>
            </w:r>
          </w:p>
        </w:tc>
      </w:tr>
      <w:tr w14:paraId="4F80E5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vAlign w:val="center"/>
          </w:tcPr>
          <w:p w14:paraId="3354689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职工生活</w:t>
            </w:r>
          </w:p>
        </w:tc>
        <w:tc>
          <w:tcPr>
            <w:tcW w:w="493" w:type="pct"/>
            <w:vAlign w:val="center"/>
          </w:tcPr>
          <w:p w14:paraId="5BD0BBB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w:t>
            </w:r>
          </w:p>
        </w:tc>
        <w:tc>
          <w:tcPr>
            <w:tcW w:w="748" w:type="pct"/>
            <w:vAlign w:val="center"/>
          </w:tcPr>
          <w:p w14:paraId="1537C8E7">
            <w:pPr>
              <w:pStyle w:val="146"/>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生活垃圾</w:t>
            </w:r>
          </w:p>
        </w:tc>
        <w:tc>
          <w:tcPr>
            <w:tcW w:w="482" w:type="pct"/>
            <w:vAlign w:val="center"/>
          </w:tcPr>
          <w:p w14:paraId="2BF80CE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535" w:type="pct"/>
            <w:vAlign w:val="center"/>
          </w:tcPr>
          <w:p w14:paraId="7B84B48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14.6</w:t>
            </w:r>
          </w:p>
        </w:tc>
        <w:tc>
          <w:tcPr>
            <w:tcW w:w="1036" w:type="pct"/>
            <w:vAlign w:val="center"/>
          </w:tcPr>
          <w:p w14:paraId="30DEA6E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由市政统一处理</w:t>
            </w:r>
          </w:p>
        </w:tc>
        <w:tc>
          <w:tcPr>
            <w:tcW w:w="465" w:type="pct"/>
            <w:shd w:val="clear" w:color="auto" w:fill="auto"/>
            <w:vAlign w:val="center"/>
          </w:tcPr>
          <w:p w14:paraId="3E128E1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14.6</w:t>
            </w:r>
          </w:p>
        </w:tc>
        <w:tc>
          <w:tcPr>
            <w:tcW w:w="822" w:type="pct"/>
            <w:vAlign w:val="center"/>
          </w:tcPr>
          <w:p w14:paraId="483CC79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生活垃圾填埋场处理</w:t>
            </w:r>
          </w:p>
        </w:tc>
      </w:tr>
      <w:tr w14:paraId="316AE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5" w:type="pct"/>
            <w:shd w:val="clear" w:color="auto" w:fill="auto"/>
            <w:vAlign w:val="center"/>
          </w:tcPr>
          <w:p w14:paraId="54407C0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废</w:t>
            </w:r>
            <w:r>
              <w:rPr>
                <w:rFonts w:hint="eastAsia" w:ascii="Times New Roman" w:hAnsi="Times New Roman" w:eastAsia="宋体" w:cs="Times New Roman"/>
                <w:color w:val="auto"/>
                <w:highlight w:val="none"/>
              </w:rPr>
              <w:t>气</w:t>
            </w:r>
            <w:r>
              <w:rPr>
                <w:rFonts w:hint="default" w:ascii="Times New Roman" w:hAnsi="Times New Roman" w:eastAsia="宋体" w:cs="Times New Roman"/>
                <w:color w:val="auto"/>
                <w:highlight w:val="none"/>
              </w:rPr>
              <w:t>处理</w:t>
            </w:r>
          </w:p>
        </w:tc>
        <w:tc>
          <w:tcPr>
            <w:tcW w:w="493" w:type="pct"/>
            <w:shd w:val="clear" w:color="auto" w:fill="auto"/>
            <w:vAlign w:val="center"/>
          </w:tcPr>
          <w:p w14:paraId="7941D20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废活性炭</w:t>
            </w:r>
          </w:p>
        </w:tc>
        <w:tc>
          <w:tcPr>
            <w:tcW w:w="748" w:type="pct"/>
            <w:shd w:val="clear" w:color="auto" w:fill="auto"/>
            <w:vAlign w:val="center"/>
          </w:tcPr>
          <w:p w14:paraId="4BB7DDB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一般</w:t>
            </w:r>
            <w:r>
              <w:rPr>
                <w:rFonts w:hint="eastAsia" w:ascii="Times New Roman" w:hAnsi="Times New Roman" w:eastAsia="宋体" w:cs="Times New Roman"/>
                <w:color w:val="auto"/>
                <w:highlight w:val="none"/>
              </w:rPr>
              <w:t>工业固体废物</w:t>
            </w:r>
          </w:p>
        </w:tc>
        <w:tc>
          <w:tcPr>
            <w:tcW w:w="482" w:type="pct"/>
            <w:shd w:val="clear" w:color="auto" w:fill="auto"/>
            <w:vAlign w:val="center"/>
          </w:tcPr>
          <w:p w14:paraId="10D3D48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900-</w:t>
            </w:r>
            <w:r>
              <w:rPr>
                <w:rFonts w:hint="eastAsia" w:ascii="Times New Roman" w:hAnsi="Times New Roman" w:eastAsia="宋体" w:cs="Times New Roman"/>
                <w:color w:val="auto"/>
                <w:highlight w:val="none"/>
                <w:lang w:val="en-US" w:eastAsia="zh-CN"/>
              </w:rPr>
              <w:t>008-S59</w:t>
            </w:r>
          </w:p>
        </w:tc>
        <w:tc>
          <w:tcPr>
            <w:tcW w:w="535" w:type="pct"/>
            <w:shd w:val="clear" w:color="auto" w:fill="auto"/>
            <w:vAlign w:val="center"/>
          </w:tcPr>
          <w:p w14:paraId="4B459D0F">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23.35</w:t>
            </w:r>
          </w:p>
        </w:tc>
        <w:tc>
          <w:tcPr>
            <w:tcW w:w="1036" w:type="pct"/>
            <w:shd w:val="clear" w:color="auto" w:fill="auto"/>
            <w:vAlign w:val="center"/>
          </w:tcPr>
          <w:p w14:paraId="716B8535">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厂家回收处理</w:t>
            </w:r>
          </w:p>
        </w:tc>
        <w:tc>
          <w:tcPr>
            <w:tcW w:w="465" w:type="pct"/>
            <w:shd w:val="clear" w:color="auto" w:fill="auto"/>
            <w:vAlign w:val="center"/>
          </w:tcPr>
          <w:p w14:paraId="3924976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23.35</w:t>
            </w:r>
          </w:p>
        </w:tc>
        <w:tc>
          <w:tcPr>
            <w:tcW w:w="822" w:type="pct"/>
            <w:shd w:val="clear" w:color="auto" w:fill="auto"/>
            <w:vAlign w:val="center"/>
          </w:tcPr>
          <w:p w14:paraId="76C8C2E7">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厂家</w:t>
            </w:r>
          </w:p>
        </w:tc>
      </w:tr>
      <w:bookmarkEnd w:id="243"/>
    </w:tbl>
    <w:p w14:paraId="3ED7FDE3">
      <w:pPr>
        <w:pStyle w:val="67"/>
        <w:ind w:firstLine="48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14:paraId="1071A658">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3.4.2.5地下水污染源强核算</w:t>
      </w:r>
    </w:p>
    <w:p w14:paraId="3B30DBE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本项目堆肥间</w:t>
      </w:r>
      <w:r>
        <w:rPr>
          <w:rFonts w:hint="eastAsia" w:eastAsia="宋体" w:cs="Times New Roman"/>
          <w:color w:val="auto"/>
          <w:highlight w:val="none"/>
          <w:lang w:val="en-US" w:eastAsia="zh-CN"/>
        </w:rPr>
        <w:t>渗滤液收集池泄漏</w:t>
      </w:r>
      <w:r>
        <w:rPr>
          <w:rFonts w:hint="default" w:ascii="Times New Roman" w:hAnsi="Times New Roman" w:eastAsia="宋体" w:cs="Times New Roman"/>
          <w:color w:val="auto"/>
          <w:highlight w:val="none"/>
        </w:rPr>
        <w:t>对地下水产生影响，在达到防渗要求时正常运营状态下不会有污水渗漏，当因防渗膜破裂等突发情况和非正常状况下可能造成污水渗漏，本项目针对非正常状况下进行地下水环境影响预测。</w:t>
      </w:r>
    </w:p>
    <w:p w14:paraId="2C265419">
      <w:pPr>
        <w:pStyle w:val="67"/>
        <w:keepNext w:val="0"/>
        <w:keepLines w:val="0"/>
        <w:pageBreakBefore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结合项目的特点，本项目运营期非正常状况下为</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池体破裂和防渗层同时破裂时污水渗漏对地下水水质造成影响。考虑到事故工况下，</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因防渗层大面积破裂的可能性较低，且如果大面积破裂可被及时发现，故仅考虑小面积破裂情况下对含水层的影响。</w:t>
      </w:r>
    </w:p>
    <w:p w14:paraId="5DC091D7">
      <w:pPr>
        <w:pStyle w:val="67"/>
        <w:keepNext w:val="0"/>
        <w:keepLines w:val="0"/>
        <w:pageBreakBefore w:val="0"/>
        <w:kinsoku/>
        <w:wordWrap/>
        <w:overflowPunct/>
        <w:topLinePunct w:val="0"/>
        <w:autoSpaceDE/>
        <w:autoSpaceDN/>
        <w:bidi w:val="0"/>
        <w:adjustRightInd w:val="0"/>
        <w:snapToGrid w:val="0"/>
        <w:spacing w:line="500" w:lineRule="atLeas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根据《给排水构筑物工程施工及验收规范》，水池允许最大渗水量按池壁和池底浸湿面积计算，钢筋混凝土结构水池渗漏量不得超过2L/（m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·d）。在正常状况下，</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渗漏面积为：池底面积+池壁面积=L×B+2×B×H+2×L×H=</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+2×</w:t>
      </w:r>
      <w:r>
        <w:rPr>
          <w:rFonts w:hint="eastAsia" w:eastAsia="宋体" w:cs="Times New Roman"/>
          <w:color w:val="auto"/>
          <w:highlight w:val="none"/>
          <w:lang w:val="en-US" w:eastAsia="zh-CN"/>
        </w:rPr>
        <w:t>2.5</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+2×</w:t>
      </w: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14:paraId="44EA1711">
      <w:pPr>
        <w:pStyle w:val="67"/>
        <w:keepNext w:val="0"/>
        <w:keepLines w:val="0"/>
        <w:pageBreakBefore w:val="0"/>
        <w:kinsoku/>
        <w:wordWrap/>
        <w:overflowPunct/>
        <w:topLinePunct w:val="0"/>
        <w:autoSpaceDE/>
        <w:autoSpaceDN/>
        <w:bidi w:val="0"/>
        <w:adjustRightInd w:val="0"/>
        <w:snapToGrid w:val="0"/>
        <w:spacing w:line="500" w:lineRule="atLeast"/>
        <w:textAlignment w:val="auto"/>
        <w:rPr>
          <w:rFonts w:hint="default" w:eastAsia="宋体" w:cs="Times New Roman"/>
          <w:color w:val="auto"/>
          <w:sz w:val="24"/>
          <w:szCs w:val="24"/>
          <w:highlight w:val="none"/>
          <w:lang w:val="en-US" w:eastAsia="zh-CN"/>
        </w:rPr>
      </w:pP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每日的最大允许污水渗透量Q计算如下：渗漏量=渗漏面积×渗漏强度=2L/（m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28</w:t>
      </w:r>
      <w:r>
        <w:rPr>
          <w:rFonts w:hint="default" w:ascii="Times New Roman" w:hAnsi="Times New Roman" w:eastAsia="宋体" w:cs="Times New Roman"/>
          <w:color w:val="auto"/>
          <w:highlight w:val="none"/>
        </w:rPr>
        <w:t>L/d。</w:t>
      </w:r>
      <w:r>
        <w:rPr>
          <w:rFonts w:hint="eastAsia" w:ascii="Times New Roman" w:hAnsi="Times New Roman" w:eastAsia="宋体" w:cs="Times New Roman"/>
          <w:color w:val="auto"/>
          <w:sz w:val="24"/>
          <w:szCs w:val="24"/>
          <w:highlight w:val="none"/>
          <w:lang w:val="en-US" w:eastAsia="zh-CN"/>
        </w:rPr>
        <w:t>本项目堆肥间渗滤液产生量为</w:t>
      </w:r>
      <w:r>
        <w:rPr>
          <w:rFonts w:hint="eastAsia" w:eastAsia="宋体" w:cs="Times New Roman"/>
          <w:color w:val="auto"/>
          <w:sz w:val="24"/>
          <w:szCs w:val="24"/>
          <w:highlight w:val="none"/>
          <w:lang w:val="en-US" w:eastAsia="zh-CN"/>
        </w:rPr>
        <w:t>6114.3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/a，</w:t>
      </w:r>
      <w:r>
        <w:rPr>
          <w:rFonts w:hint="eastAsia" w:eastAsia="宋体" w:cs="Times New Roman"/>
          <w:color w:val="auto"/>
          <w:sz w:val="24"/>
          <w:szCs w:val="24"/>
          <w:highlight w:val="none"/>
          <w:lang w:val="en-US" w:eastAsia="zh-CN"/>
        </w:rPr>
        <w:t>16.8</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w:t>
      </w:r>
      <w:r>
        <w:rPr>
          <w:rFonts w:hint="eastAsia" w:eastAsia="宋体" w:cs="Times New Roman"/>
          <w:color w:val="auto"/>
          <w:sz w:val="24"/>
          <w:szCs w:val="24"/>
          <w:highlight w:val="none"/>
          <w:lang w:val="en-US" w:eastAsia="zh-CN"/>
        </w:rPr>
        <w:t>渗滤液来自固体粪肥好氧发酵期间沉淀而来的污水，其污染物浓度产生量参照丁京涛等（2020，农业工程学报）、王雪（2022，东北农业大学硕士论文）文献，COD浓度范围10000～38000mg/L，氨氮浓度范围1000～2800mg/L，本项目预测取其最大值，则本项目COD产生浓度为38000mg/L，氨氮产生浓度为2800mg/L。</w:t>
      </w:r>
    </w:p>
    <w:p w14:paraId="22B78D21">
      <w:pPr>
        <w:keepNext w:val="0"/>
        <w:keepLines w:val="0"/>
        <w:pageBreakBefore w:val="0"/>
        <w:widowControl/>
        <w:suppressLineNumbers w:val="0"/>
        <w:kinsoku/>
        <w:wordWrap/>
        <w:overflowPunct/>
        <w:topLinePunct w:val="0"/>
        <w:autoSpaceDE/>
        <w:autoSpaceDN/>
        <w:bidi w:val="0"/>
        <w:adjustRightInd w:val="0"/>
        <w:snapToGrid w:val="0"/>
        <w:spacing w:line="500" w:lineRule="atLeast"/>
        <w:jc w:val="left"/>
        <w:textAlignment w:val="auto"/>
        <w:rPr>
          <w:rFonts w:hint="default" w:eastAsia="宋体" w:cs="Times New Roman"/>
          <w:color w:val="auto"/>
          <w:sz w:val="24"/>
          <w:szCs w:val="24"/>
          <w:highlight w:val="none"/>
          <w:lang w:val="en-US" w:eastAsia="zh-CN"/>
        </w:rPr>
      </w:pPr>
      <w:r>
        <w:rPr>
          <w:rFonts w:hint="default" w:eastAsia="宋体" w:cs="Times New Roman"/>
          <w:color w:val="auto"/>
          <w:sz w:val="24"/>
          <w:szCs w:val="24"/>
          <w:highlight w:val="none"/>
          <w:lang w:val="en-US" w:eastAsia="zh-CN"/>
        </w:rPr>
        <w:t>本次非正常状况下的污染源强按正常状态下的10倍计算，则</w:t>
      </w:r>
      <w:bookmarkStart w:id="244" w:name="_Hlk1288343"/>
      <w:r>
        <w:rPr>
          <w:rFonts w:hint="default" w:eastAsia="宋体" w:cs="Times New Roman"/>
          <w:color w:val="auto"/>
          <w:sz w:val="24"/>
          <w:szCs w:val="24"/>
          <w:highlight w:val="none"/>
          <w:lang w:val="en-US" w:eastAsia="zh-CN"/>
        </w:rPr>
        <w:t>非正常状况下源强</w:t>
      </w:r>
      <w:bookmarkEnd w:id="244"/>
      <w:r>
        <w:rPr>
          <w:rFonts w:hint="default" w:eastAsia="宋体" w:cs="Times New Roman"/>
          <w:color w:val="auto"/>
          <w:sz w:val="24"/>
          <w:szCs w:val="24"/>
          <w:highlight w:val="none"/>
          <w:lang w:val="en-US" w:eastAsia="zh-CN"/>
        </w:rPr>
        <w:t>如下表所示：</w:t>
      </w:r>
    </w:p>
    <w:p w14:paraId="7EBD9CA4">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eastAsia" w:cs="Times New Roman"/>
          <w:color w:val="auto"/>
          <w:highlight w:val="none"/>
          <w:lang w:val="en-US" w:eastAsia="zh-CN"/>
        </w:rPr>
        <w:t>9</w:t>
      </w:r>
      <w:r>
        <w:rPr>
          <w:rFonts w:hint="default" w:ascii="Times New Roman" w:hAnsi="Times New Roman" w:cs="Times New Roman"/>
          <w:color w:val="auto"/>
          <w:highlight w:val="none"/>
        </w:rPr>
        <w:t>正常及非正常状况下源强排放情况一览表</w:t>
      </w:r>
    </w:p>
    <w:tbl>
      <w:tblPr>
        <w:tblStyle w:val="47"/>
        <w:tblW w:w="474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996"/>
        <w:gridCol w:w="1094"/>
        <w:gridCol w:w="1369"/>
        <w:gridCol w:w="995"/>
        <w:gridCol w:w="1159"/>
        <w:gridCol w:w="1087"/>
      </w:tblGrid>
      <w:tr w14:paraId="60EE8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shd w:val="clear" w:color="auto" w:fill="auto"/>
            <w:vAlign w:val="center"/>
          </w:tcPr>
          <w:p w14:paraId="4EA64BB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工况</w:t>
            </w:r>
          </w:p>
        </w:tc>
        <w:tc>
          <w:tcPr>
            <w:tcW w:w="631" w:type="pct"/>
            <w:shd w:val="clear" w:color="auto" w:fill="auto"/>
            <w:vAlign w:val="center"/>
          </w:tcPr>
          <w:p w14:paraId="45458A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预测因子</w:t>
            </w:r>
          </w:p>
        </w:tc>
        <w:tc>
          <w:tcPr>
            <w:tcW w:w="693" w:type="pct"/>
            <w:shd w:val="clear" w:color="auto" w:fill="auto"/>
            <w:vAlign w:val="center"/>
          </w:tcPr>
          <w:p w14:paraId="6753CE8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渗漏面积（m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tc>
        <w:tc>
          <w:tcPr>
            <w:tcW w:w="867" w:type="pct"/>
            <w:shd w:val="clear" w:color="auto" w:fill="auto"/>
            <w:vAlign w:val="center"/>
          </w:tcPr>
          <w:p w14:paraId="1D01E522">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渗漏强度（L/m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﹒d）</w:t>
            </w:r>
          </w:p>
        </w:tc>
        <w:tc>
          <w:tcPr>
            <w:tcW w:w="630" w:type="pct"/>
            <w:shd w:val="clear" w:color="auto" w:fill="auto"/>
            <w:vAlign w:val="center"/>
          </w:tcPr>
          <w:p w14:paraId="0EA7D2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渗漏量（L/d）</w:t>
            </w:r>
          </w:p>
        </w:tc>
        <w:tc>
          <w:tcPr>
            <w:tcW w:w="734" w:type="pct"/>
            <w:shd w:val="clear" w:color="auto" w:fill="auto"/>
            <w:vAlign w:val="center"/>
          </w:tcPr>
          <w:p w14:paraId="51EEADB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浓度（mg/L）</w:t>
            </w:r>
          </w:p>
        </w:tc>
        <w:tc>
          <w:tcPr>
            <w:tcW w:w="688" w:type="pct"/>
            <w:shd w:val="clear" w:color="auto" w:fill="auto"/>
            <w:vAlign w:val="center"/>
          </w:tcPr>
          <w:p w14:paraId="769D1553">
            <w:pPr>
              <w:pStyle w:val="146"/>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污染物质量（</w:t>
            </w:r>
            <w:r>
              <w:rPr>
                <w:rFonts w:hint="default" w:ascii="Times New Roman" w:hAnsi="Times New Roman" w:eastAsia="宋体" w:cs="Times New Roman"/>
                <w:snapToGrid w:val="0"/>
                <w:color w:val="auto"/>
                <w:highlight w:val="none"/>
                <w:lang w:val="en-US" w:eastAsia="zh-CN"/>
              </w:rPr>
              <w:t>t/a</w:t>
            </w:r>
            <w:r>
              <w:rPr>
                <w:rFonts w:hint="default" w:ascii="Times New Roman" w:hAnsi="Times New Roman" w:eastAsia="宋体" w:cs="Times New Roman"/>
                <w:snapToGrid w:val="0"/>
                <w:color w:val="auto"/>
                <w:highlight w:val="none"/>
              </w:rPr>
              <w:t>）</w:t>
            </w:r>
          </w:p>
        </w:tc>
      </w:tr>
      <w:tr w14:paraId="51CA6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2" w:type="pct"/>
            <w:vMerge w:val="restart"/>
            <w:shd w:val="clear" w:color="auto" w:fill="auto"/>
            <w:vAlign w:val="center"/>
          </w:tcPr>
          <w:p w14:paraId="6D4E0E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正常工况</w:t>
            </w:r>
          </w:p>
        </w:tc>
        <w:tc>
          <w:tcPr>
            <w:tcW w:w="631" w:type="pct"/>
            <w:shd w:val="clear" w:color="auto" w:fill="auto"/>
            <w:vAlign w:val="center"/>
          </w:tcPr>
          <w:p w14:paraId="53F4AFB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693" w:type="pct"/>
            <w:vMerge w:val="restart"/>
            <w:shd w:val="clear" w:color="auto" w:fill="auto"/>
            <w:vAlign w:val="center"/>
          </w:tcPr>
          <w:p w14:paraId="0E0EA24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14</w:t>
            </w:r>
          </w:p>
        </w:tc>
        <w:tc>
          <w:tcPr>
            <w:tcW w:w="867" w:type="pct"/>
            <w:vMerge w:val="restart"/>
            <w:shd w:val="clear" w:color="auto" w:fill="auto"/>
            <w:vAlign w:val="center"/>
          </w:tcPr>
          <w:p w14:paraId="10C8833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c>
          <w:tcPr>
            <w:tcW w:w="630" w:type="pct"/>
            <w:vMerge w:val="restart"/>
            <w:shd w:val="clear" w:color="auto" w:fill="auto"/>
            <w:vAlign w:val="center"/>
          </w:tcPr>
          <w:p w14:paraId="7DF0A56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28</w:t>
            </w:r>
          </w:p>
        </w:tc>
        <w:tc>
          <w:tcPr>
            <w:tcW w:w="734" w:type="pct"/>
            <w:shd w:val="clear" w:color="auto" w:fill="auto"/>
            <w:vAlign w:val="center"/>
          </w:tcPr>
          <w:p w14:paraId="119E7312">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38000</w:t>
            </w:r>
          </w:p>
        </w:tc>
        <w:tc>
          <w:tcPr>
            <w:tcW w:w="688" w:type="pct"/>
            <w:shd w:val="clear" w:color="auto" w:fill="auto"/>
            <w:vAlign w:val="center"/>
          </w:tcPr>
          <w:p w14:paraId="7BCBAE43">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0.388</w:t>
            </w:r>
          </w:p>
        </w:tc>
      </w:tr>
      <w:tr w14:paraId="6773D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2" w:type="pct"/>
            <w:vMerge w:val="continue"/>
            <w:shd w:val="clear" w:color="auto" w:fill="auto"/>
            <w:vAlign w:val="center"/>
          </w:tcPr>
          <w:p w14:paraId="285C8AC0">
            <w:pPr>
              <w:pStyle w:val="146"/>
              <w:rPr>
                <w:rFonts w:hint="default" w:ascii="Times New Roman" w:hAnsi="Times New Roman" w:eastAsia="宋体" w:cs="Times New Roman"/>
                <w:snapToGrid w:val="0"/>
                <w:color w:val="auto"/>
                <w:highlight w:val="none"/>
              </w:rPr>
            </w:pPr>
          </w:p>
        </w:tc>
        <w:tc>
          <w:tcPr>
            <w:tcW w:w="631" w:type="pct"/>
            <w:shd w:val="clear" w:color="auto" w:fill="auto"/>
            <w:vAlign w:val="center"/>
          </w:tcPr>
          <w:p w14:paraId="6E7417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693" w:type="pct"/>
            <w:vMerge w:val="continue"/>
            <w:shd w:val="clear" w:color="auto" w:fill="auto"/>
            <w:vAlign w:val="center"/>
          </w:tcPr>
          <w:p w14:paraId="4709ACAC">
            <w:pPr>
              <w:pStyle w:val="146"/>
              <w:rPr>
                <w:rFonts w:hint="default" w:ascii="Times New Roman" w:hAnsi="Times New Roman" w:eastAsia="宋体" w:cs="Times New Roman"/>
                <w:snapToGrid w:val="0"/>
                <w:color w:val="auto"/>
                <w:highlight w:val="none"/>
              </w:rPr>
            </w:pPr>
          </w:p>
        </w:tc>
        <w:tc>
          <w:tcPr>
            <w:tcW w:w="867" w:type="pct"/>
            <w:vMerge w:val="continue"/>
            <w:shd w:val="clear" w:color="auto" w:fill="auto"/>
            <w:vAlign w:val="center"/>
          </w:tcPr>
          <w:p w14:paraId="732220AC">
            <w:pPr>
              <w:pStyle w:val="146"/>
              <w:rPr>
                <w:rFonts w:hint="default" w:ascii="Times New Roman" w:hAnsi="Times New Roman" w:eastAsia="宋体" w:cs="Times New Roman"/>
                <w:snapToGrid w:val="0"/>
                <w:color w:val="auto"/>
                <w:highlight w:val="none"/>
              </w:rPr>
            </w:pPr>
          </w:p>
        </w:tc>
        <w:tc>
          <w:tcPr>
            <w:tcW w:w="630" w:type="pct"/>
            <w:vMerge w:val="continue"/>
            <w:shd w:val="clear" w:color="auto" w:fill="auto"/>
            <w:vAlign w:val="center"/>
          </w:tcPr>
          <w:p w14:paraId="27ED53EC">
            <w:pPr>
              <w:pStyle w:val="146"/>
              <w:rPr>
                <w:rFonts w:hint="default" w:ascii="Times New Roman" w:hAnsi="Times New Roman" w:eastAsia="宋体" w:cs="Times New Roman"/>
                <w:snapToGrid w:val="0"/>
                <w:color w:val="auto"/>
                <w:highlight w:val="none"/>
              </w:rPr>
            </w:pPr>
          </w:p>
        </w:tc>
        <w:tc>
          <w:tcPr>
            <w:tcW w:w="734" w:type="pct"/>
            <w:shd w:val="clear" w:color="auto" w:fill="auto"/>
            <w:vAlign w:val="center"/>
          </w:tcPr>
          <w:p w14:paraId="6094731F">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2800</w:t>
            </w:r>
          </w:p>
        </w:tc>
        <w:tc>
          <w:tcPr>
            <w:tcW w:w="688" w:type="pct"/>
            <w:shd w:val="clear" w:color="auto" w:fill="auto"/>
            <w:vAlign w:val="center"/>
          </w:tcPr>
          <w:p w14:paraId="22957431">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0.029</w:t>
            </w:r>
          </w:p>
        </w:tc>
      </w:tr>
      <w:tr w14:paraId="25403F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2" w:type="pct"/>
            <w:vMerge w:val="restart"/>
            <w:shd w:val="clear" w:color="auto" w:fill="auto"/>
            <w:vAlign w:val="center"/>
          </w:tcPr>
          <w:p w14:paraId="280957E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非正常工况</w:t>
            </w:r>
          </w:p>
        </w:tc>
        <w:tc>
          <w:tcPr>
            <w:tcW w:w="631" w:type="pct"/>
            <w:shd w:val="clear" w:color="auto" w:fill="auto"/>
            <w:vAlign w:val="center"/>
          </w:tcPr>
          <w:p w14:paraId="4FA586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693" w:type="pct"/>
            <w:vMerge w:val="restart"/>
            <w:shd w:val="clear" w:color="auto" w:fill="auto"/>
            <w:vAlign w:val="center"/>
          </w:tcPr>
          <w:p w14:paraId="0854C8D4">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14</w:t>
            </w:r>
          </w:p>
        </w:tc>
        <w:tc>
          <w:tcPr>
            <w:tcW w:w="867" w:type="pct"/>
            <w:vMerge w:val="restart"/>
            <w:shd w:val="clear" w:color="auto" w:fill="auto"/>
            <w:vAlign w:val="center"/>
          </w:tcPr>
          <w:p w14:paraId="0B18191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c>
          <w:tcPr>
            <w:tcW w:w="630" w:type="pct"/>
            <w:vMerge w:val="restart"/>
            <w:shd w:val="clear" w:color="auto" w:fill="auto"/>
            <w:vAlign w:val="center"/>
          </w:tcPr>
          <w:p w14:paraId="56576A2D">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280</w:t>
            </w:r>
          </w:p>
        </w:tc>
        <w:tc>
          <w:tcPr>
            <w:tcW w:w="734" w:type="pct"/>
            <w:shd w:val="clear" w:color="auto" w:fill="auto"/>
            <w:vAlign w:val="center"/>
          </w:tcPr>
          <w:p w14:paraId="3AA13654">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38000</w:t>
            </w:r>
          </w:p>
        </w:tc>
        <w:tc>
          <w:tcPr>
            <w:tcW w:w="688" w:type="pct"/>
            <w:shd w:val="clear" w:color="auto" w:fill="auto"/>
            <w:vAlign w:val="center"/>
          </w:tcPr>
          <w:p w14:paraId="5063CCC9">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3.88</w:t>
            </w:r>
          </w:p>
        </w:tc>
      </w:tr>
      <w:tr w14:paraId="4310D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2" w:type="pct"/>
            <w:vMerge w:val="continue"/>
            <w:shd w:val="clear" w:color="auto" w:fill="auto"/>
            <w:vAlign w:val="center"/>
          </w:tcPr>
          <w:p w14:paraId="28FDA694">
            <w:pPr>
              <w:pStyle w:val="146"/>
              <w:rPr>
                <w:rFonts w:hint="default" w:ascii="Times New Roman" w:hAnsi="Times New Roman" w:eastAsia="宋体" w:cs="Times New Roman"/>
                <w:snapToGrid w:val="0"/>
                <w:color w:val="auto"/>
                <w:highlight w:val="none"/>
              </w:rPr>
            </w:pPr>
          </w:p>
        </w:tc>
        <w:tc>
          <w:tcPr>
            <w:tcW w:w="631" w:type="pct"/>
            <w:shd w:val="clear" w:color="auto" w:fill="auto"/>
            <w:vAlign w:val="center"/>
          </w:tcPr>
          <w:p w14:paraId="327B1AA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693" w:type="pct"/>
            <w:vMerge w:val="continue"/>
            <w:shd w:val="clear" w:color="auto" w:fill="auto"/>
            <w:vAlign w:val="center"/>
          </w:tcPr>
          <w:p w14:paraId="02F9A9DF">
            <w:pPr>
              <w:pStyle w:val="146"/>
              <w:rPr>
                <w:rFonts w:hint="default" w:ascii="Times New Roman" w:hAnsi="Times New Roman" w:eastAsia="宋体" w:cs="Times New Roman"/>
                <w:snapToGrid w:val="0"/>
                <w:color w:val="auto"/>
                <w:highlight w:val="none"/>
              </w:rPr>
            </w:pPr>
          </w:p>
        </w:tc>
        <w:tc>
          <w:tcPr>
            <w:tcW w:w="867" w:type="pct"/>
            <w:vMerge w:val="continue"/>
            <w:shd w:val="clear" w:color="auto" w:fill="auto"/>
            <w:vAlign w:val="center"/>
          </w:tcPr>
          <w:p w14:paraId="7CC90292">
            <w:pPr>
              <w:pStyle w:val="146"/>
              <w:rPr>
                <w:rFonts w:hint="default" w:ascii="Times New Roman" w:hAnsi="Times New Roman" w:eastAsia="宋体" w:cs="Times New Roman"/>
                <w:snapToGrid w:val="0"/>
                <w:color w:val="auto"/>
                <w:highlight w:val="none"/>
              </w:rPr>
            </w:pPr>
          </w:p>
        </w:tc>
        <w:tc>
          <w:tcPr>
            <w:tcW w:w="630" w:type="pct"/>
            <w:vMerge w:val="continue"/>
            <w:shd w:val="clear" w:color="auto" w:fill="auto"/>
            <w:vAlign w:val="center"/>
          </w:tcPr>
          <w:p w14:paraId="34296E86">
            <w:pPr>
              <w:pStyle w:val="146"/>
              <w:rPr>
                <w:rFonts w:hint="default" w:ascii="Times New Roman" w:hAnsi="Times New Roman" w:eastAsia="宋体" w:cs="Times New Roman"/>
                <w:snapToGrid w:val="0"/>
                <w:color w:val="auto"/>
                <w:highlight w:val="none"/>
              </w:rPr>
            </w:pPr>
          </w:p>
        </w:tc>
        <w:tc>
          <w:tcPr>
            <w:tcW w:w="734" w:type="pct"/>
            <w:shd w:val="clear" w:color="auto" w:fill="auto"/>
            <w:vAlign w:val="center"/>
          </w:tcPr>
          <w:p w14:paraId="40D74BE1">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2800</w:t>
            </w:r>
          </w:p>
        </w:tc>
        <w:tc>
          <w:tcPr>
            <w:tcW w:w="688" w:type="pct"/>
            <w:shd w:val="clear" w:color="auto" w:fill="auto"/>
            <w:vAlign w:val="center"/>
          </w:tcPr>
          <w:p w14:paraId="2D7D08BA">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0.29</w:t>
            </w:r>
          </w:p>
        </w:tc>
      </w:tr>
    </w:tbl>
    <w:p w14:paraId="490A3A3A">
      <w:pPr>
        <w:pStyle w:val="6"/>
        <w:spacing w:line="500" w:lineRule="exact"/>
        <w:rPr>
          <w:rFonts w:hint="default" w:ascii="Times New Roman" w:hAnsi="Times New Roman" w:cs="Times New Roman"/>
          <w:snapToGrid w:val="0"/>
          <w:color w:val="auto"/>
          <w:highlight w:val="none"/>
        </w:rPr>
      </w:pPr>
      <w:bookmarkStart w:id="245" w:name="_Hlk47700764"/>
      <w:r>
        <w:rPr>
          <w:rFonts w:hint="default" w:ascii="Times New Roman" w:hAnsi="Times New Roman" w:cs="Times New Roman"/>
          <w:snapToGrid w:val="0"/>
          <w:color w:val="auto"/>
          <w:highlight w:val="none"/>
        </w:rPr>
        <w:t>3.4.2.6土壤污染源强核算</w:t>
      </w:r>
    </w:p>
    <w:p w14:paraId="3065C2C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有机物污染：畜禽粪污中含有大量未被吸收利用的碳水化合物、含氮有机物，若不对其进行妥善处理，随意堆放，通过土壤渗滤，在微生物作用下分解产生氮磷等营养素，厌氧分解产生腐败有机物质，破坏土壤。</w:t>
      </w:r>
    </w:p>
    <w:p w14:paraId="2F49D35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（2）氮磷污染：畜禽粪污中含有氮磷等，在有机物分解的过程中，有机氮磷还要矿化为无机氮磷，多数含氮化合物也氧化成硝酸盐。大量氮磷渗入地下，造成土壤的营养积累。</w:t>
      </w:r>
    </w:p>
    <w:p w14:paraId="2B47CCB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微量金属元素：当前畜禽养殖业中滥用微量元素的现象普遍存在，往往添加铜、锌等元素，其在畜禽消化道的吸收率低，大部分随粪尿排泄到土壤环境中，不但破坏土壤质地和微生物结构，影响作物产量和养分含量，而且，土壤富集的微量元素，通过植物和动物的再次富集，毒性增大，直接影响到动物健康和畜产品的食用安全。</w:t>
      </w:r>
    </w:p>
    <w:bookmarkEnd w:id="245"/>
    <w:p w14:paraId="0CDA04C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3.4.2.7非正常工况</w:t>
      </w:r>
    </w:p>
    <w:p w14:paraId="1B19713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工况是指：正常开、停车或部分设备检修及工艺设备或环保设施达不到设计规定指标运行时的工况；非正常工况时排放的污染物为非正常工况排污。本项目运营期非正常工况主要为污水处理设备出现故障或正常检修时导致环保设施未达到设计规定指标运行时的工况。</w:t>
      </w:r>
    </w:p>
    <w:p w14:paraId="3DA83470">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本项目</w:t>
      </w:r>
      <w:r>
        <w:rPr>
          <w:rFonts w:hint="eastAsia" w:eastAsia="宋体" w:cs="Times New Roman"/>
          <w:color w:val="auto"/>
          <w:szCs w:val="21"/>
          <w:highlight w:val="none"/>
          <w:lang w:val="en-US" w:eastAsia="zh-CN"/>
        </w:rPr>
        <w:t>牛舍采用</w:t>
      </w:r>
      <w:r>
        <w:rPr>
          <w:rFonts w:hint="default" w:ascii="Times New Roman" w:hAnsi="Times New Roman" w:eastAsia="宋体" w:cs="Times New Roman"/>
          <w:color w:val="auto"/>
          <w:highlight w:val="none"/>
        </w:rPr>
        <w:t>及时清粪、保持牛舍清洁、合理调配饲料、饲料中添加EM菌、定期喷洒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w:t>
      </w:r>
      <w:r>
        <w:rPr>
          <w:rFonts w:hint="eastAsia" w:eastAsia="宋体" w:cs="Times New Roman"/>
          <w:color w:val="auto"/>
          <w:szCs w:val="21"/>
          <w:highlight w:val="none"/>
          <w:lang w:val="en-US" w:eastAsia="zh-CN"/>
        </w:rPr>
        <w:t>及在堆肥间</w:t>
      </w:r>
      <w:r>
        <w:rPr>
          <w:rFonts w:hint="default" w:ascii="Times New Roman" w:hAnsi="Times New Roman" w:eastAsia="宋体" w:cs="Times New Roman"/>
          <w:color w:val="auto"/>
          <w:highlight w:val="none"/>
        </w:rPr>
        <w:t>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w:t>
      </w:r>
      <w:r>
        <w:rPr>
          <w:rFonts w:hint="eastAsia" w:eastAsia="宋体" w:cs="Times New Roman"/>
          <w:color w:val="auto"/>
          <w:highlight w:val="none"/>
          <w:lang w:val="en-US" w:eastAsia="zh-CN"/>
        </w:rPr>
        <w:t>等措施以减少恶臭污染物的排放，产生的非正常工况为不喷洒除臭剂，不及时清粪、不在饲料中添加EM菌，恶臭污染物取出效率</w:t>
      </w:r>
      <w:r>
        <w:rPr>
          <w:rFonts w:hint="default" w:ascii="Times New Roman" w:hAnsi="Times New Roman" w:eastAsia="宋体" w:cs="Times New Roman"/>
          <w:color w:val="auto"/>
          <w:highlight w:val="none"/>
        </w:rPr>
        <w:t>降至0%。非正常工况下，废气源强见下表。</w:t>
      </w:r>
    </w:p>
    <w:p w14:paraId="24FD005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表3-4-</w:t>
      </w:r>
      <w:r>
        <w:rPr>
          <w:rFonts w:hint="eastAsia" w:cs="Times New Roman"/>
          <w:color w:val="auto"/>
          <w:highlight w:val="none"/>
          <w:lang w:val="en-US" w:eastAsia="zh-CN"/>
        </w:rPr>
        <w:t>10</w:t>
      </w:r>
      <w:r>
        <w:rPr>
          <w:rFonts w:hint="default" w:ascii="Times New Roman" w:hAnsi="Times New Roman" w:cs="Times New Roman"/>
          <w:color w:val="auto"/>
          <w:highlight w:val="none"/>
        </w:rPr>
        <w:t>非正常工况下污染物参数</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2216"/>
        <w:gridCol w:w="937"/>
        <w:gridCol w:w="1072"/>
        <w:gridCol w:w="1070"/>
        <w:gridCol w:w="939"/>
        <w:gridCol w:w="940"/>
      </w:tblGrid>
      <w:tr w14:paraId="37EA2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1" w:type="pct"/>
            <w:vAlign w:val="center"/>
          </w:tcPr>
          <w:p w14:paraId="3DF3E5BE">
            <w:pPr>
              <w:pStyle w:val="146"/>
              <w:rPr>
                <w:rFonts w:hint="default" w:ascii="Times New Roman" w:hAnsi="Times New Roman" w:eastAsia="宋体" w:cs="Times New Roman"/>
                <w:color w:val="auto"/>
                <w:highlight w:val="none"/>
              </w:rPr>
            </w:pPr>
            <w:bookmarkStart w:id="246" w:name="_Toc7338886"/>
            <w:bookmarkStart w:id="247" w:name="_Toc57713653"/>
            <w:r>
              <w:rPr>
                <w:rFonts w:hint="default" w:ascii="Times New Roman" w:hAnsi="Times New Roman" w:eastAsia="宋体" w:cs="Times New Roman"/>
                <w:color w:val="auto"/>
                <w:highlight w:val="none"/>
              </w:rPr>
              <w:t>非正常排放源</w:t>
            </w:r>
          </w:p>
        </w:tc>
        <w:tc>
          <w:tcPr>
            <w:tcW w:w="1333" w:type="pct"/>
            <w:shd w:val="clear" w:color="auto" w:fill="auto"/>
            <w:vAlign w:val="center"/>
          </w:tcPr>
          <w:p w14:paraId="66330C8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非正常排放原因</w:t>
            </w:r>
          </w:p>
        </w:tc>
        <w:tc>
          <w:tcPr>
            <w:tcW w:w="564" w:type="pct"/>
            <w:shd w:val="clear" w:color="auto" w:fill="auto"/>
            <w:vAlign w:val="center"/>
          </w:tcPr>
          <w:p w14:paraId="3544854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645" w:type="pct"/>
            <w:shd w:val="clear" w:color="auto" w:fill="auto"/>
            <w:vAlign w:val="center"/>
          </w:tcPr>
          <w:p w14:paraId="6432EF5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非正常排放速率/kg/h</w:t>
            </w:r>
          </w:p>
        </w:tc>
        <w:tc>
          <w:tcPr>
            <w:tcW w:w="644" w:type="pct"/>
            <w:shd w:val="clear" w:color="auto" w:fill="auto"/>
            <w:vAlign w:val="center"/>
          </w:tcPr>
          <w:p w14:paraId="7C43F6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单次持续时间/h</w:t>
            </w:r>
          </w:p>
        </w:tc>
        <w:tc>
          <w:tcPr>
            <w:tcW w:w="565" w:type="pct"/>
            <w:shd w:val="clear" w:color="auto" w:fill="auto"/>
            <w:vAlign w:val="center"/>
          </w:tcPr>
          <w:p w14:paraId="5D2B28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年发生频次/次</w:t>
            </w:r>
          </w:p>
        </w:tc>
        <w:tc>
          <w:tcPr>
            <w:tcW w:w="565" w:type="pct"/>
            <w:vAlign w:val="center"/>
          </w:tcPr>
          <w:p w14:paraId="1C4FB8F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应对</w:t>
            </w:r>
          </w:p>
          <w:p w14:paraId="7322C3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措施</w:t>
            </w:r>
          </w:p>
        </w:tc>
      </w:tr>
      <w:tr w14:paraId="63F42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trPr>
        <w:tc>
          <w:tcPr>
            <w:tcW w:w="681" w:type="pct"/>
            <w:vMerge w:val="restart"/>
            <w:vAlign w:val="center"/>
          </w:tcPr>
          <w:p w14:paraId="6548675D">
            <w:pPr>
              <w:pStyle w:val="146"/>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牛舍</w:t>
            </w:r>
          </w:p>
        </w:tc>
        <w:tc>
          <w:tcPr>
            <w:tcW w:w="1333" w:type="pct"/>
            <w:vMerge w:val="restart"/>
            <w:shd w:val="clear" w:color="auto" w:fill="auto"/>
            <w:vAlign w:val="center"/>
          </w:tcPr>
          <w:p w14:paraId="6B84EFB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除臭效率以0%计</w:t>
            </w:r>
          </w:p>
        </w:tc>
        <w:tc>
          <w:tcPr>
            <w:tcW w:w="564" w:type="pct"/>
            <w:shd w:val="clear" w:color="auto" w:fill="auto"/>
            <w:vAlign w:val="center"/>
          </w:tcPr>
          <w:p w14:paraId="65F2C20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100" w:type="dxa"/>
            <w:shd w:val="clear" w:color="auto" w:fill="auto"/>
            <w:vAlign w:val="center"/>
          </w:tcPr>
          <w:p w14:paraId="1F64410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6.29</w:t>
            </w:r>
          </w:p>
        </w:tc>
        <w:tc>
          <w:tcPr>
            <w:tcW w:w="644" w:type="pct"/>
            <w:shd w:val="clear" w:color="auto" w:fill="auto"/>
            <w:vAlign w:val="center"/>
          </w:tcPr>
          <w:p w14:paraId="2205C5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565" w:type="pct"/>
            <w:shd w:val="clear" w:color="auto" w:fill="auto"/>
            <w:vAlign w:val="center"/>
          </w:tcPr>
          <w:p w14:paraId="0659340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565" w:type="pct"/>
            <w:vMerge w:val="restart"/>
            <w:vAlign w:val="center"/>
          </w:tcPr>
          <w:p w14:paraId="230693A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定期</w:t>
            </w:r>
          </w:p>
          <w:p w14:paraId="7482A7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检修</w:t>
            </w:r>
          </w:p>
        </w:tc>
      </w:tr>
      <w:tr w14:paraId="106EAE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1" w:type="pct"/>
            <w:vMerge w:val="continue"/>
            <w:vAlign w:val="center"/>
          </w:tcPr>
          <w:p w14:paraId="58D251DC">
            <w:pPr>
              <w:pStyle w:val="146"/>
              <w:rPr>
                <w:rFonts w:hint="default" w:ascii="Times New Roman" w:hAnsi="Times New Roman" w:eastAsia="宋体" w:cs="Times New Roman"/>
                <w:color w:val="auto"/>
                <w:highlight w:val="none"/>
              </w:rPr>
            </w:pPr>
          </w:p>
        </w:tc>
        <w:tc>
          <w:tcPr>
            <w:tcW w:w="1333" w:type="pct"/>
            <w:vMerge w:val="continue"/>
            <w:shd w:val="clear" w:color="auto" w:fill="auto"/>
            <w:vAlign w:val="center"/>
          </w:tcPr>
          <w:p w14:paraId="7D065A69">
            <w:pPr>
              <w:pStyle w:val="146"/>
              <w:rPr>
                <w:rFonts w:hint="default" w:ascii="Times New Roman" w:hAnsi="Times New Roman" w:eastAsia="宋体" w:cs="Times New Roman"/>
                <w:color w:val="auto"/>
                <w:highlight w:val="none"/>
              </w:rPr>
            </w:pPr>
          </w:p>
        </w:tc>
        <w:tc>
          <w:tcPr>
            <w:tcW w:w="564" w:type="pct"/>
            <w:shd w:val="clear" w:color="auto" w:fill="auto"/>
            <w:vAlign w:val="center"/>
          </w:tcPr>
          <w:p w14:paraId="572F4D4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100" w:type="dxa"/>
            <w:shd w:val="clear" w:color="auto" w:fill="auto"/>
            <w:vAlign w:val="center"/>
          </w:tcPr>
          <w:p w14:paraId="503C08B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0.63</w:t>
            </w:r>
          </w:p>
        </w:tc>
        <w:tc>
          <w:tcPr>
            <w:tcW w:w="644" w:type="pct"/>
            <w:shd w:val="clear" w:color="auto" w:fill="auto"/>
            <w:vAlign w:val="center"/>
          </w:tcPr>
          <w:p w14:paraId="7545509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565" w:type="pct"/>
            <w:shd w:val="clear" w:color="auto" w:fill="auto"/>
            <w:vAlign w:val="center"/>
          </w:tcPr>
          <w:p w14:paraId="745E936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565" w:type="pct"/>
            <w:vMerge w:val="continue"/>
            <w:vAlign w:val="center"/>
          </w:tcPr>
          <w:p w14:paraId="5B3D6C06">
            <w:pPr>
              <w:pStyle w:val="146"/>
              <w:rPr>
                <w:rFonts w:hint="default" w:ascii="Times New Roman" w:hAnsi="Times New Roman" w:eastAsia="宋体" w:cs="Times New Roman"/>
                <w:color w:val="auto"/>
                <w:highlight w:val="none"/>
              </w:rPr>
            </w:pPr>
          </w:p>
        </w:tc>
      </w:tr>
      <w:tr w14:paraId="08F7D8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81" w:type="pct"/>
            <w:vMerge w:val="restart"/>
            <w:vAlign w:val="center"/>
          </w:tcPr>
          <w:p w14:paraId="4E30AC5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kern w:val="0"/>
                <w:sz w:val="21"/>
                <w:szCs w:val="20"/>
                <w:highlight w:val="none"/>
                <w:lang w:val="en-US" w:eastAsia="zh-CN" w:bidi="ar-SA"/>
              </w:rPr>
              <w:t>堆肥间</w:t>
            </w:r>
          </w:p>
        </w:tc>
        <w:tc>
          <w:tcPr>
            <w:tcW w:w="1333" w:type="pct"/>
            <w:vMerge w:val="restart"/>
            <w:shd w:val="clear" w:color="auto" w:fill="auto"/>
            <w:vAlign w:val="center"/>
          </w:tcPr>
          <w:p w14:paraId="205EADC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除臭效率以0%计</w:t>
            </w:r>
          </w:p>
        </w:tc>
        <w:tc>
          <w:tcPr>
            <w:tcW w:w="564" w:type="pct"/>
            <w:shd w:val="clear" w:color="auto" w:fill="auto"/>
            <w:vAlign w:val="center"/>
          </w:tcPr>
          <w:p w14:paraId="6E335ED2">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100" w:type="dxa"/>
            <w:shd w:val="clear" w:color="auto" w:fill="auto"/>
            <w:vAlign w:val="center"/>
          </w:tcPr>
          <w:p w14:paraId="26CA1292">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0.501</w:t>
            </w:r>
          </w:p>
        </w:tc>
        <w:tc>
          <w:tcPr>
            <w:tcW w:w="644" w:type="pct"/>
            <w:shd w:val="clear" w:color="auto" w:fill="auto"/>
            <w:vAlign w:val="center"/>
          </w:tcPr>
          <w:p w14:paraId="2E5ECA40">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2</w:t>
            </w:r>
          </w:p>
        </w:tc>
        <w:tc>
          <w:tcPr>
            <w:tcW w:w="565" w:type="pct"/>
            <w:shd w:val="clear" w:color="auto" w:fill="auto"/>
            <w:vAlign w:val="center"/>
          </w:tcPr>
          <w:p w14:paraId="2B2EF62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1</w:t>
            </w:r>
          </w:p>
        </w:tc>
        <w:tc>
          <w:tcPr>
            <w:tcW w:w="565" w:type="pct"/>
            <w:vMerge w:val="continue"/>
            <w:vAlign w:val="center"/>
          </w:tcPr>
          <w:p w14:paraId="1189EEBF">
            <w:pPr>
              <w:pStyle w:val="146"/>
              <w:rPr>
                <w:rFonts w:hint="default" w:ascii="Times New Roman" w:hAnsi="Times New Roman" w:eastAsia="宋体" w:cs="Times New Roman"/>
                <w:color w:val="auto"/>
                <w:highlight w:val="none"/>
              </w:rPr>
            </w:pPr>
          </w:p>
        </w:tc>
      </w:tr>
      <w:tr w14:paraId="570F2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81" w:type="pct"/>
            <w:vMerge w:val="continue"/>
            <w:vAlign w:val="center"/>
          </w:tcPr>
          <w:p w14:paraId="13A606C0">
            <w:pPr>
              <w:pStyle w:val="146"/>
              <w:rPr>
                <w:rFonts w:hint="default" w:ascii="Times New Roman" w:hAnsi="Times New Roman" w:eastAsia="宋体" w:cs="Times New Roman"/>
                <w:color w:val="auto"/>
                <w:highlight w:val="none"/>
              </w:rPr>
            </w:pPr>
          </w:p>
        </w:tc>
        <w:tc>
          <w:tcPr>
            <w:tcW w:w="1333" w:type="pct"/>
            <w:vMerge w:val="continue"/>
            <w:shd w:val="clear" w:color="auto" w:fill="auto"/>
            <w:vAlign w:val="center"/>
          </w:tcPr>
          <w:p w14:paraId="257C101E">
            <w:pPr>
              <w:pStyle w:val="146"/>
              <w:rPr>
                <w:rFonts w:hint="default" w:ascii="Times New Roman" w:hAnsi="Times New Roman" w:eastAsia="宋体" w:cs="Times New Roman"/>
                <w:color w:val="auto"/>
                <w:highlight w:val="none"/>
              </w:rPr>
            </w:pPr>
          </w:p>
        </w:tc>
        <w:tc>
          <w:tcPr>
            <w:tcW w:w="564" w:type="pct"/>
            <w:shd w:val="clear" w:color="auto" w:fill="auto"/>
            <w:vAlign w:val="center"/>
          </w:tcPr>
          <w:p w14:paraId="6BFE8872">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100" w:type="dxa"/>
            <w:shd w:val="clear" w:color="auto" w:fill="auto"/>
            <w:vAlign w:val="center"/>
          </w:tcPr>
          <w:p w14:paraId="11A0B9F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0.050</w:t>
            </w:r>
          </w:p>
        </w:tc>
        <w:tc>
          <w:tcPr>
            <w:tcW w:w="644" w:type="pct"/>
            <w:shd w:val="clear" w:color="auto" w:fill="auto"/>
            <w:vAlign w:val="center"/>
          </w:tcPr>
          <w:p w14:paraId="0549B08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2</w:t>
            </w:r>
          </w:p>
        </w:tc>
        <w:tc>
          <w:tcPr>
            <w:tcW w:w="565" w:type="pct"/>
            <w:shd w:val="clear" w:color="auto" w:fill="auto"/>
            <w:vAlign w:val="center"/>
          </w:tcPr>
          <w:p w14:paraId="7BA4697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1</w:t>
            </w:r>
          </w:p>
        </w:tc>
        <w:tc>
          <w:tcPr>
            <w:tcW w:w="565" w:type="pct"/>
            <w:vMerge w:val="continue"/>
            <w:vAlign w:val="center"/>
          </w:tcPr>
          <w:p w14:paraId="14E79F8C">
            <w:pPr>
              <w:pStyle w:val="146"/>
              <w:rPr>
                <w:rFonts w:hint="default" w:ascii="Times New Roman" w:hAnsi="Times New Roman" w:eastAsia="宋体" w:cs="Times New Roman"/>
                <w:snapToGrid w:val="0"/>
                <w:color w:val="auto"/>
                <w:highlight w:val="none"/>
              </w:rPr>
            </w:pPr>
          </w:p>
        </w:tc>
      </w:tr>
    </w:tbl>
    <w:p w14:paraId="0F696F80">
      <w:pPr>
        <w:pStyle w:val="5"/>
        <w:spacing w:line="500" w:lineRule="exact"/>
        <w:rPr>
          <w:rFonts w:hint="default" w:ascii="Times New Roman" w:hAnsi="Times New Roman" w:cs="Times New Roman"/>
          <w:color w:val="auto"/>
          <w:highlight w:val="none"/>
        </w:rPr>
      </w:pPr>
      <w:bookmarkStart w:id="248" w:name="_Toc21184"/>
      <w:r>
        <w:rPr>
          <w:rFonts w:hint="default" w:ascii="Times New Roman" w:hAnsi="Times New Roman" w:cs="Times New Roman"/>
          <w:color w:val="auto"/>
          <w:highlight w:val="none"/>
        </w:rPr>
        <w:t>3.4.3环境风险识别</w:t>
      </w:r>
      <w:bookmarkEnd w:id="246"/>
      <w:bookmarkEnd w:id="247"/>
      <w:bookmarkEnd w:id="248"/>
    </w:p>
    <w:p w14:paraId="74436100">
      <w:pPr>
        <w:pStyle w:val="67"/>
        <w:ind w:firstLine="480"/>
        <w:rPr>
          <w:rFonts w:hint="default" w:ascii="Times New Roman" w:hAnsi="Times New Roman" w:eastAsia="宋体" w:cs="Times New Roman"/>
          <w:color w:val="auto"/>
          <w:highlight w:val="none"/>
        </w:rPr>
      </w:pPr>
      <w:bookmarkStart w:id="249" w:name="_Hlk523072576"/>
      <w:bookmarkStart w:id="250" w:name="_Hlk522287141"/>
      <w:bookmarkStart w:id="251" w:name="_Hlk522450603"/>
      <w:bookmarkStart w:id="252" w:name="_Hlk523068405"/>
      <w:r>
        <w:rPr>
          <w:rFonts w:hint="default" w:ascii="Times New Roman" w:hAnsi="Times New Roman" w:eastAsia="宋体" w:cs="Times New Roman"/>
          <w:color w:val="auto"/>
          <w:highlight w:val="none"/>
        </w:rPr>
        <w:t>1、物质危险性分析</w:t>
      </w:r>
    </w:p>
    <w:p w14:paraId="33104004">
      <w:pPr>
        <w:pStyle w:val="67"/>
        <w:ind w:firstLine="480"/>
        <w:rPr>
          <w:rFonts w:hint="default" w:ascii="Times New Roman" w:hAnsi="Times New Roman" w:eastAsia="宋体" w:cs="Times New Roman"/>
          <w:color w:val="auto"/>
          <w:highlight w:val="none"/>
          <w:lang w:val="zh-CN"/>
        </w:rPr>
      </w:pPr>
      <w:bookmarkStart w:id="253" w:name="_Hlk57382031"/>
      <w:r>
        <w:rPr>
          <w:rFonts w:hint="default" w:ascii="Times New Roman" w:hAnsi="Times New Roman" w:eastAsia="宋体" w:cs="Times New Roman"/>
          <w:color w:val="auto"/>
          <w:highlight w:val="none"/>
          <w:lang w:val="zh-CN"/>
        </w:rPr>
        <w:t>本项目涉及危险物质主要为</w:t>
      </w:r>
      <w:r>
        <w:rPr>
          <w:rFonts w:hint="default" w:ascii="Times New Roman" w:hAnsi="Times New Roman" w:eastAsia="宋体" w:cs="Times New Roman"/>
          <w:color w:val="auto"/>
          <w:highlight w:val="none"/>
          <w:lang w:val="en-US" w:eastAsia="zh-CN"/>
        </w:rPr>
        <w:t>消毒剂</w:t>
      </w:r>
      <w:r>
        <w:rPr>
          <w:rFonts w:hint="eastAsia" w:eastAsia="宋体" w:cs="Times New Roman"/>
          <w:color w:val="auto"/>
          <w:highlight w:val="none"/>
          <w:lang w:val="en-US" w:eastAsia="zh-CN"/>
        </w:rPr>
        <w:t>（次氯酸钠）、</w:t>
      </w:r>
      <w:r>
        <w:rPr>
          <w:rFonts w:hint="eastAsia" w:eastAsia="宋体" w:cs="Times New Roman"/>
          <w:snapToGrid w:val="0"/>
          <w:color w:val="auto"/>
          <w:highlight w:val="none"/>
          <w:lang w:val="en-US" w:eastAsia="zh-CN"/>
        </w:rPr>
        <w:t>CODcr浓度≥10000mg/L的有机废液及NH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r>
        <w:rPr>
          <w:rFonts w:hint="default" w:ascii="Times New Roman" w:hAnsi="Times New Roman" w:eastAsia="宋体" w:cs="Times New Roman"/>
          <w:bCs/>
          <w:color w:val="auto"/>
          <w:szCs w:val="20"/>
          <w:highlight w:val="none"/>
        </w:rPr>
        <w:t>。</w:t>
      </w:r>
    </w:p>
    <w:bookmarkEnd w:id="253"/>
    <w:p w14:paraId="589B0DC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2、生产设施风险识别</w:t>
      </w:r>
    </w:p>
    <w:p w14:paraId="03AFD006">
      <w:pPr>
        <w:pStyle w:val="67"/>
        <w:ind w:firstLine="480"/>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highlight w:val="none"/>
        </w:rPr>
        <w:t>根据《建设项目环境风险评价技术导则》（HJ169-2018）附录B及《危险化学品重大危险源辨识》（GB18218-2018），本项目主要风险物质为</w:t>
      </w:r>
      <w:r>
        <w:rPr>
          <w:rFonts w:hint="default" w:ascii="Times New Roman" w:hAnsi="Times New Roman" w:eastAsia="宋体" w:cs="Times New Roman"/>
          <w:color w:val="auto"/>
          <w:highlight w:val="none"/>
          <w:lang w:val="en-US" w:eastAsia="zh-CN"/>
        </w:rPr>
        <w:t>消毒剂</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主要成分为次氯酸钠</w:t>
      </w:r>
      <w:r>
        <w:rPr>
          <w:rFonts w:hint="default" w:ascii="Times New Roman" w:hAnsi="Times New Roman" w:eastAsia="宋体" w:cs="Times New Roman"/>
          <w:bCs/>
          <w:color w:val="auto"/>
          <w:szCs w:val="20"/>
          <w:highlight w:val="none"/>
        </w:rPr>
        <w:t>。</w:t>
      </w:r>
      <w:r>
        <w:rPr>
          <w:rFonts w:hint="eastAsia" w:eastAsia="宋体" w:cs="Times New Roman"/>
          <w:bCs/>
          <w:color w:val="auto"/>
          <w:szCs w:val="20"/>
          <w:highlight w:val="none"/>
          <w:lang w:val="en-US" w:eastAsia="zh-CN"/>
        </w:rPr>
        <w:t>渗滤液废液主要成分为高浓度COD、氨氮，</w:t>
      </w:r>
      <w:r>
        <w:rPr>
          <w:rFonts w:hint="default" w:ascii="Times New Roman" w:hAnsi="Times New Roman" w:eastAsia="宋体" w:cs="Times New Roman"/>
          <w:bCs/>
          <w:color w:val="auto"/>
          <w:szCs w:val="21"/>
          <w:highlight w:val="none"/>
        </w:rPr>
        <w:t>其中</w:t>
      </w:r>
      <w:r>
        <w:rPr>
          <w:rFonts w:hint="eastAsia" w:eastAsia="宋体" w:cs="Times New Roman"/>
          <w:bCs/>
          <w:color w:val="auto"/>
          <w:szCs w:val="21"/>
          <w:highlight w:val="none"/>
          <w:lang w:val="en-US" w:eastAsia="zh-CN"/>
        </w:rPr>
        <w:t>三者</w:t>
      </w:r>
      <w:r>
        <w:rPr>
          <w:rFonts w:hint="default" w:ascii="Times New Roman" w:hAnsi="Times New Roman" w:eastAsia="宋体" w:cs="Times New Roman"/>
          <w:bCs/>
          <w:color w:val="auto"/>
          <w:szCs w:val="21"/>
          <w:highlight w:val="none"/>
        </w:rPr>
        <w:t>储存过程中有可能导致物质的释放与泄露，发生毒害、</w:t>
      </w:r>
      <w:r>
        <w:rPr>
          <w:rFonts w:hint="default" w:ascii="Times New Roman Regular" w:hAnsi="Times New Roman Regular" w:eastAsia="宋体" w:cs="Times New Roman Regular"/>
          <w:color w:val="auto"/>
          <w:sz w:val="24"/>
          <w:highlight w:val="none"/>
        </w:rPr>
        <w:t>造成区域环境污染事件</w:t>
      </w:r>
      <w:r>
        <w:rPr>
          <w:rFonts w:hint="default" w:ascii="Times New Roman" w:hAnsi="Times New Roman" w:eastAsia="宋体" w:cs="Times New Roman"/>
          <w:bCs/>
          <w:color w:val="auto"/>
          <w:szCs w:val="21"/>
          <w:highlight w:val="none"/>
        </w:rPr>
        <w:t>。</w:t>
      </w:r>
    </w:p>
    <w:p w14:paraId="1E42974B">
      <w:pPr>
        <w:pStyle w:val="67"/>
        <w:ind w:firstLine="480"/>
        <w:rPr>
          <w:rFonts w:hint="default" w:ascii="Times New Roman" w:hAnsi="Times New Roman" w:eastAsia="宋体" w:cs="Times New Roman"/>
          <w:bCs/>
          <w:color w:val="auto"/>
          <w:szCs w:val="20"/>
          <w:highlight w:val="none"/>
        </w:rPr>
      </w:pPr>
      <w:r>
        <w:rPr>
          <w:rFonts w:hint="default" w:ascii="Times New Roman" w:hAnsi="Times New Roman" w:eastAsia="宋体" w:cs="Times New Roman"/>
          <w:bCs/>
          <w:color w:val="auto"/>
          <w:szCs w:val="20"/>
          <w:highlight w:val="none"/>
        </w:rPr>
        <w:t>3、危险物质向环境转移的途径识别</w:t>
      </w:r>
    </w:p>
    <w:p w14:paraId="53AA6062">
      <w:pPr>
        <w:keepNext w:val="0"/>
        <w:keepLines w:val="0"/>
        <w:pageBreakBefore w:val="0"/>
        <w:widowControl w:val="0"/>
        <w:kinsoku/>
        <w:wordWrap/>
        <w:overflowPunct/>
        <w:topLinePunct w:val="0"/>
        <w:autoSpaceDE w:val="0"/>
        <w:autoSpaceDN w:val="0"/>
        <w:bidi w:val="0"/>
        <w:adjustRightInd w:val="0"/>
        <w:snapToGrid w:val="0"/>
        <w:spacing w:line="400" w:lineRule="exact"/>
        <w:jc w:val="center"/>
        <w:textAlignment w:val="auto"/>
        <w:rPr>
          <w:rFonts w:hint="default" w:ascii="Times New Roman" w:hAnsi="Times New Roman" w:cs="Times New Roman" w:eastAsiaTheme="minorEastAsia"/>
          <w:b/>
          <w:bCs/>
          <w:color w:val="auto"/>
          <w:kern w:val="0"/>
          <w:sz w:val="24"/>
          <w:highlight w:val="none"/>
        </w:rPr>
      </w:pPr>
      <w:r>
        <w:rPr>
          <w:rFonts w:hint="default" w:ascii="Times New Roman" w:hAnsi="Times New Roman" w:eastAsia="黑体" w:cs="Times New Roman"/>
          <w:snapToGrid w:val="0"/>
          <w:color w:val="auto"/>
          <w:kern w:val="2"/>
          <w:sz w:val="24"/>
          <w:szCs w:val="22"/>
          <w:highlight w:val="none"/>
          <w:lang w:val="zh-CN" w:eastAsia="zh-CN" w:bidi="ar-SA"/>
        </w:rPr>
        <w:t>表3-</w:t>
      </w:r>
      <w:r>
        <w:rPr>
          <w:rFonts w:hint="eastAsia" w:eastAsia="黑体" w:cs="Times New Roman"/>
          <w:snapToGrid w:val="0"/>
          <w:color w:val="auto"/>
          <w:kern w:val="2"/>
          <w:sz w:val="24"/>
          <w:szCs w:val="22"/>
          <w:highlight w:val="none"/>
          <w:lang w:val="en-US" w:eastAsia="zh-CN" w:bidi="ar-SA"/>
        </w:rPr>
        <w:t>4-11</w:t>
      </w:r>
      <w:r>
        <w:rPr>
          <w:rFonts w:hint="default" w:ascii="Times New Roman" w:hAnsi="Times New Roman" w:eastAsia="黑体" w:cs="Times New Roman"/>
          <w:snapToGrid w:val="0"/>
          <w:color w:val="auto"/>
          <w:kern w:val="2"/>
          <w:sz w:val="24"/>
          <w:szCs w:val="22"/>
          <w:highlight w:val="none"/>
          <w:lang w:val="zh-CN" w:eastAsia="zh-CN" w:bidi="ar-SA"/>
        </w:rPr>
        <w:t xml:space="preserve"> 次氯酸钠的主要理化性质及危险特性</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8"/>
        <w:gridCol w:w="1294"/>
        <w:gridCol w:w="2516"/>
        <w:gridCol w:w="1806"/>
        <w:gridCol w:w="387"/>
        <w:gridCol w:w="1852"/>
      </w:tblGrid>
      <w:tr w14:paraId="3FCD0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0B58194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中文名称</w:t>
            </w:r>
          </w:p>
        </w:tc>
        <w:tc>
          <w:tcPr>
            <w:tcW w:w="1515" w:type="pct"/>
            <w:vAlign w:val="center"/>
          </w:tcPr>
          <w:p w14:paraId="5D78BD2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次氯酸钠</w:t>
            </w:r>
          </w:p>
        </w:tc>
        <w:tc>
          <w:tcPr>
            <w:tcW w:w="1087" w:type="pct"/>
            <w:vAlign w:val="center"/>
          </w:tcPr>
          <w:p w14:paraId="2F78415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英文名称</w:t>
            </w:r>
          </w:p>
        </w:tc>
        <w:tc>
          <w:tcPr>
            <w:tcW w:w="1347" w:type="pct"/>
            <w:gridSpan w:val="2"/>
            <w:vAlign w:val="center"/>
          </w:tcPr>
          <w:p w14:paraId="08C57F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hydrochloric acid</w:t>
            </w:r>
          </w:p>
        </w:tc>
      </w:tr>
      <w:tr w14:paraId="4CD72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0D8A06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 子 式</w:t>
            </w:r>
          </w:p>
        </w:tc>
        <w:tc>
          <w:tcPr>
            <w:tcW w:w="1515" w:type="pct"/>
            <w:vAlign w:val="center"/>
          </w:tcPr>
          <w:p w14:paraId="1759452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NaClO</w:t>
            </w:r>
          </w:p>
        </w:tc>
        <w:tc>
          <w:tcPr>
            <w:tcW w:w="1087" w:type="pct"/>
            <w:vAlign w:val="center"/>
          </w:tcPr>
          <w:p w14:paraId="29FBBA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分子量</w:t>
            </w:r>
          </w:p>
        </w:tc>
        <w:tc>
          <w:tcPr>
            <w:tcW w:w="1347" w:type="pct"/>
            <w:gridSpan w:val="2"/>
            <w:vAlign w:val="center"/>
          </w:tcPr>
          <w:p w14:paraId="0C8A6A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74.44</w:t>
            </w:r>
          </w:p>
        </w:tc>
      </w:tr>
      <w:tr w14:paraId="3CAC0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restart"/>
            <w:vAlign w:val="center"/>
          </w:tcPr>
          <w:p w14:paraId="215942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危险性概述</w:t>
            </w:r>
          </w:p>
        </w:tc>
        <w:tc>
          <w:tcPr>
            <w:tcW w:w="778" w:type="pct"/>
            <w:vAlign w:val="center"/>
          </w:tcPr>
          <w:p w14:paraId="08E026A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健康危害</w:t>
            </w:r>
          </w:p>
        </w:tc>
        <w:tc>
          <w:tcPr>
            <w:tcW w:w="3950" w:type="pct"/>
            <w:gridSpan w:val="4"/>
            <w:vAlign w:val="center"/>
          </w:tcPr>
          <w:p w14:paraId="3FBF78C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经常用手接触本品的工人，手掌大量出汗，指甲变薄，毛发脱落。本品有致敏作用。本品放出的氯气有可能引起中毒。</w:t>
            </w:r>
          </w:p>
        </w:tc>
      </w:tr>
      <w:tr w14:paraId="3AB9A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07134A2F">
            <w:pPr>
              <w:pStyle w:val="146"/>
              <w:rPr>
                <w:rFonts w:hint="default" w:ascii="Times New Roman" w:hAnsi="Times New Roman" w:eastAsia="宋体" w:cs="Times New Roman"/>
                <w:snapToGrid w:val="0"/>
                <w:color w:val="auto"/>
                <w:highlight w:val="none"/>
              </w:rPr>
            </w:pPr>
          </w:p>
        </w:tc>
        <w:tc>
          <w:tcPr>
            <w:tcW w:w="778" w:type="pct"/>
            <w:vAlign w:val="center"/>
          </w:tcPr>
          <w:p w14:paraId="1250C2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环境危害</w:t>
            </w:r>
          </w:p>
        </w:tc>
        <w:tc>
          <w:tcPr>
            <w:tcW w:w="3950" w:type="pct"/>
            <w:gridSpan w:val="4"/>
            <w:vAlign w:val="center"/>
          </w:tcPr>
          <w:p w14:paraId="1A53BDF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无明显污染。</w:t>
            </w:r>
          </w:p>
        </w:tc>
      </w:tr>
      <w:tr w14:paraId="48809D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095E4562">
            <w:pPr>
              <w:pStyle w:val="146"/>
              <w:rPr>
                <w:rFonts w:hint="default" w:ascii="Times New Roman" w:hAnsi="Times New Roman" w:eastAsia="宋体" w:cs="Times New Roman"/>
                <w:snapToGrid w:val="0"/>
                <w:color w:val="auto"/>
                <w:highlight w:val="none"/>
              </w:rPr>
            </w:pPr>
          </w:p>
        </w:tc>
        <w:tc>
          <w:tcPr>
            <w:tcW w:w="778" w:type="pct"/>
            <w:vAlign w:val="center"/>
          </w:tcPr>
          <w:p w14:paraId="73B22E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燃爆危险</w:t>
            </w:r>
          </w:p>
        </w:tc>
        <w:tc>
          <w:tcPr>
            <w:tcW w:w="3950" w:type="pct"/>
            <w:gridSpan w:val="4"/>
            <w:vAlign w:val="center"/>
          </w:tcPr>
          <w:p w14:paraId="4DCE21D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本品不燃，具</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HYPERLINK "https://baike.so.com/doc/6094923-6308031.html" \t "https://baike.so.com/doc/_blank"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腐蚀性</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，可致人体灼伤，具有致敏性。</w:t>
            </w:r>
          </w:p>
        </w:tc>
      </w:tr>
      <w:tr w14:paraId="26E56D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restart"/>
            <w:vAlign w:val="center"/>
          </w:tcPr>
          <w:p w14:paraId="462091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消防措施</w:t>
            </w:r>
          </w:p>
        </w:tc>
        <w:tc>
          <w:tcPr>
            <w:tcW w:w="778" w:type="pct"/>
            <w:vAlign w:val="center"/>
          </w:tcPr>
          <w:p w14:paraId="64782E9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危险特性</w:t>
            </w:r>
          </w:p>
        </w:tc>
        <w:tc>
          <w:tcPr>
            <w:tcW w:w="3950" w:type="pct"/>
            <w:gridSpan w:val="4"/>
            <w:vAlign w:val="center"/>
          </w:tcPr>
          <w:p w14:paraId="2804842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受高热分解产生有毒的</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HYPERLINK "https://baike.so.com/doc/6094923-6308031.html" \t "https://baike.so.com/doc/_blank"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腐蚀性</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烟气。具有腐蚀性。</w:t>
            </w:r>
          </w:p>
        </w:tc>
      </w:tr>
      <w:tr w14:paraId="01ECC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0243A23F">
            <w:pPr>
              <w:pStyle w:val="146"/>
              <w:rPr>
                <w:rFonts w:hint="default" w:ascii="Times New Roman" w:hAnsi="Times New Roman" w:eastAsia="宋体" w:cs="Times New Roman"/>
                <w:snapToGrid w:val="0"/>
                <w:color w:val="auto"/>
                <w:highlight w:val="none"/>
              </w:rPr>
            </w:pPr>
          </w:p>
        </w:tc>
        <w:tc>
          <w:tcPr>
            <w:tcW w:w="778" w:type="pct"/>
            <w:vAlign w:val="center"/>
          </w:tcPr>
          <w:p w14:paraId="1C2FDF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灭火方法</w:t>
            </w:r>
          </w:p>
        </w:tc>
        <w:tc>
          <w:tcPr>
            <w:tcW w:w="3950" w:type="pct"/>
            <w:gridSpan w:val="4"/>
            <w:vAlign w:val="center"/>
          </w:tcPr>
          <w:p w14:paraId="6E11DA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采用</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HYPERLINK "https://baike.so.com/doc/3678843-3866545.html" \t "https://baike.so.com/doc/_blank"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雾状水</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、二氧化碳、砂土灭火。</w:t>
            </w:r>
          </w:p>
        </w:tc>
      </w:tr>
      <w:tr w14:paraId="6ECAB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23714FE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泄漏应急处理</w:t>
            </w:r>
          </w:p>
        </w:tc>
        <w:tc>
          <w:tcPr>
            <w:tcW w:w="3950" w:type="pct"/>
            <w:gridSpan w:val="4"/>
            <w:vAlign w:val="center"/>
          </w:tcPr>
          <w:p w14:paraId="45EB2E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迅速撤离泄漏污染区人员至安全区，并进行隔离，严格限制出入。建议应急处理人员戴自给</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HYPERLINK "https://baike.so.com/doc/6297051-6510572.html" \t "https://baike.so.com/doc/_blank"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正压式呼吸器</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，穿防酸碱工作服。不要直接接触泄漏物。尽可能切断泄漏源。</w:t>
            </w:r>
          </w:p>
          <w:p w14:paraId="49BD29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小量泄漏:用砂土、</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HYPERLINK "https://baike.so.com/doc/500252-529694.html" \t "https://baike.so.com/doc/_blank"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蛭石</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或其它惰性材料吸收。</w:t>
            </w:r>
          </w:p>
          <w:p w14:paraId="7D29B9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大量泄漏:构筑围堤或挖坑收容。用泡沫覆盖，降低蒸气灾害。用泵转移至槽车或专用收集器内，回收或运至废物处理场所处置。</w:t>
            </w:r>
          </w:p>
        </w:tc>
      </w:tr>
      <w:tr w14:paraId="37C71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7BDC378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储存注意事项</w:t>
            </w:r>
          </w:p>
        </w:tc>
        <w:tc>
          <w:tcPr>
            <w:tcW w:w="3950" w:type="pct"/>
            <w:gridSpan w:val="4"/>
            <w:vAlign w:val="center"/>
          </w:tcPr>
          <w:p w14:paraId="4D75D8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储存于阴凉、通风的库房。远离火种、热源。库温不宜超过30℃。应与酸类分开存放，切忌混储。储区应备有泄漏应急处理设备和合适的收容材料。</w:t>
            </w:r>
          </w:p>
        </w:tc>
      </w:tr>
      <w:tr w14:paraId="32B86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restart"/>
            <w:vAlign w:val="center"/>
          </w:tcPr>
          <w:p w14:paraId="075E36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理化特性</w:t>
            </w:r>
          </w:p>
        </w:tc>
        <w:tc>
          <w:tcPr>
            <w:tcW w:w="778" w:type="pct"/>
            <w:vAlign w:val="center"/>
          </w:tcPr>
          <w:p w14:paraId="10B2859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外观与性状</w:t>
            </w:r>
          </w:p>
        </w:tc>
        <w:tc>
          <w:tcPr>
            <w:tcW w:w="3950" w:type="pct"/>
            <w:gridSpan w:val="4"/>
            <w:vAlign w:val="center"/>
          </w:tcPr>
          <w:p w14:paraId="3A88CE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微黄色(溶液)或白色粉末(固体)，有似氯气的气味。</w:t>
            </w:r>
          </w:p>
        </w:tc>
      </w:tr>
      <w:tr w14:paraId="588BE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3F0A9EC0">
            <w:pPr>
              <w:pStyle w:val="146"/>
              <w:rPr>
                <w:rFonts w:hint="default" w:ascii="Times New Roman" w:hAnsi="Times New Roman" w:eastAsia="宋体" w:cs="Times New Roman"/>
                <w:snapToGrid w:val="0"/>
                <w:color w:val="auto"/>
                <w:highlight w:val="none"/>
              </w:rPr>
            </w:pPr>
          </w:p>
        </w:tc>
        <w:tc>
          <w:tcPr>
            <w:tcW w:w="778" w:type="pct"/>
            <w:vAlign w:val="center"/>
          </w:tcPr>
          <w:p w14:paraId="786A8E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熔点(℃)</w:t>
            </w:r>
          </w:p>
        </w:tc>
        <w:tc>
          <w:tcPr>
            <w:tcW w:w="1515" w:type="pct"/>
            <w:vAlign w:val="center"/>
          </w:tcPr>
          <w:p w14:paraId="70C0F9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w:t>
            </w:r>
          </w:p>
        </w:tc>
        <w:tc>
          <w:tcPr>
            <w:tcW w:w="1320" w:type="pct"/>
            <w:gridSpan w:val="2"/>
            <w:vAlign w:val="center"/>
          </w:tcPr>
          <w:p w14:paraId="42422C8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沸点(℃)</w:t>
            </w:r>
          </w:p>
        </w:tc>
        <w:tc>
          <w:tcPr>
            <w:tcW w:w="1114" w:type="pct"/>
            <w:vAlign w:val="center"/>
          </w:tcPr>
          <w:p w14:paraId="559B8E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102.2（</w:t>
            </w:r>
          </w:p>
        </w:tc>
      </w:tr>
      <w:tr w14:paraId="405FB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0E077C01">
            <w:pPr>
              <w:pStyle w:val="146"/>
              <w:rPr>
                <w:rFonts w:hint="default" w:ascii="Times New Roman" w:hAnsi="Times New Roman" w:eastAsia="宋体" w:cs="Times New Roman"/>
                <w:snapToGrid w:val="0"/>
                <w:color w:val="auto"/>
                <w:highlight w:val="none"/>
              </w:rPr>
            </w:pPr>
          </w:p>
        </w:tc>
        <w:tc>
          <w:tcPr>
            <w:tcW w:w="778" w:type="pct"/>
            <w:vAlign w:val="center"/>
          </w:tcPr>
          <w:p w14:paraId="0D2AE5A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闪点(℃)</w:t>
            </w:r>
          </w:p>
        </w:tc>
        <w:tc>
          <w:tcPr>
            <w:tcW w:w="1515" w:type="pct"/>
            <w:vAlign w:val="center"/>
          </w:tcPr>
          <w:p w14:paraId="7C0D79D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无意义</w:t>
            </w:r>
          </w:p>
        </w:tc>
        <w:tc>
          <w:tcPr>
            <w:tcW w:w="1320" w:type="pct"/>
            <w:gridSpan w:val="2"/>
            <w:vAlign w:val="center"/>
          </w:tcPr>
          <w:p w14:paraId="11D1A2B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引燃温度(℃)</w:t>
            </w:r>
          </w:p>
        </w:tc>
        <w:tc>
          <w:tcPr>
            <w:tcW w:w="1114" w:type="pct"/>
            <w:vAlign w:val="center"/>
          </w:tcPr>
          <w:p w14:paraId="3D85C72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无意义</w:t>
            </w:r>
          </w:p>
        </w:tc>
      </w:tr>
      <w:tr w14:paraId="544D7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70" w:type="pct"/>
            <w:vMerge w:val="continue"/>
            <w:vAlign w:val="center"/>
          </w:tcPr>
          <w:p w14:paraId="70929EB4">
            <w:pPr>
              <w:pStyle w:val="146"/>
              <w:rPr>
                <w:rFonts w:hint="default" w:ascii="Times New Roman" w:hAnsi="Times New Roman" w:eastAsia="宋体" w:cs="Times New Roman"/>
                <w:snapToGrid w:val="0"/>
                <w:color w:val="auto"/>
                <w:highlight w:val="none"/>
              </w:rPr>
            </w:pPr>
          </w:p>
        </w:tc>
        <w:tc>
          <w:tcPr>
            <w:tcW w:w="778" w:type="pct"/>
            <w:vAlign w:val="center"/>
          </w:tcPr>
          <w:p w14:paraId="1EB4977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爆炸上限%(V/V)</w:t>
            </w:r>
          </w:p>
        </w:tc>
        <w:tc>
          <w:tcPr>
            <w:tcW w:w="1515" w:type="pct"/>
            <w:vAlign w:val="center"/>
          </w:tcPr>
          <w:p w14:paraId="7945017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无意义</w:t>
            </w:r>
          </w:p>
        </w:tc>
        <w:tc>
          <w:tcPr>
            <w:tcW w:w="1320" w:type="pct"/>
            <w:gridSpan w:val="2"/>
            <w:vAlign w:val="center"/>
          </w:tcPr>
          <w:p w14:paraId="328F8F7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爆炸下限%(V/V)</w:t>
            </w:r>
          </w:p>
        </w:tc>
        <w:tc>
          <w:tcPr>
            <w:tcW w:w="1114" w:type="pct"/>
            <w:vAlign w:val="center"/>
          </w:tcPr>
          <w:p w14:paraId="3DA304E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无意义</w:t>
            </w:r>
          </w:p>
        </w:tc>
      </w:tr>
      <w:tr w14:paraId="293D8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7E31CB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毒理学资料</w:t>
            </w:r>
          </w:p>
        </w:tc>
        <w:tc>
          <w:tcPr>
            <w:tcW w:w="3950" w:type="pct"/>
            <w:gridSpan w:val="4"/>
            <w:vAlign w:val="center"/>
          </w:tcPr>
          <w:p w14:paraId="374809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LD50：无资料；LC50：无资料</w:t>
            </w:r>
          </w:p>
        </w:tc>
      </w:tr>
    </w:tbl>
    <w:p w14:paraId="453B0EFF">
      <w:pPr>
        <w:keepNext w:val="0"/>
        <w:keepLines w:val="0"/>
        <w:pageBreakBefore w:val="0"/>
        <w:widowControl w:val="0"/>
        <w:kinsoku/>
        <w:wordWrap/>
        <w:overflowPunct/>
        <w:topLinePunct w:val="0"/>
        <w:autoSpaceDE w:val="0"/>
        <w:autoSpaceDN w:val="0"/>
        <w:bidi w:val="0"/>
        <w:adjustRightInd w:val="0"/>
        <w:snapToGrid w:val="0"/>
        <w:spacing w:line="400" w:lineRule="exact"/>
        <w:jc w:val="center"/>
        <w:textAlignment w:val="auto"/>
        <w:rPr>
          <w:rFonts w:hint="default" w:ascii="Times New Roman" w:hAnsi="Times New Roman" w:cs="Times New Roman" w:eastAsiaTheme="minorEastAsia"/>
          <w:b/>
          <w:bCs/>
          <w:color w:val="auto"/>
          <w:kern w:val="0"/>
          <w:sz w:val="24"/>
          <w:highlight w:val="none"/>
        </w:rPr>
      </w:pPr>
      <w:r>
        <w:rPr>
          <w:rFonts w:hint="default" w:ascii="Times New Roman" w:hAnsi="Times New Roman" w:eastAsia="黑体" w:cs="Times New Roman"/>
          <w:snapToGrid w:val="0"/>
          <w:color w:val="auto"/>
          <w:kern w:val="2"/>
          <w:sz w:val="24"/>
          <w:szCs w:val="22"/>
          <w:highlight w:val="none"/>
          <w:lang w:val="zh-CN" w:eastAsia="zh-CN" w:bidi="ar-SA"/>
        </w:rPr>
        <w:t>表3-</w:t>
      </w:r>
      <w:r>
        <w:rPr>
          <w:rFonts w:hint="eastAsia" w:eastAsia="黑体" w:cs="Times New Roman"/>
          <w:snapToGrid w:val="0"/>
          <w:color w:val="auto"/>
          <w:kern w:val="2"/>
          <w:sz w:val="24"/>
          <w:szCs w:val="22"/>
          <w:highlight w:val="none"/>
          <w:lang w:val="en-US" w:eastAsia="zh-CN" w:bidi="ar-SA"/>
        </w:rPr>
        <w:t>4-12 COD</w:t>
      </w:r>
      <w:r>
        <w:rPr>
          <w:rFonts w:hint="eastAsia" w:ascii="Times New Roman" w:hAnsi="Times New Roman" w:eastAsia="黑体" w:cs="Times New Roman"/>
          <w:snapToGrid w:val="0"/>
          <w:color w:val="auto"/>
          <w:kern w:val="2"/>
          <w:sz w:val="24"/>
          <w:szCs w:val="22"/>
          <w:highlight w:val="none"/>
          <w:lang w:val="en-US" w:eastAsia="zh-CN" w:bidi="ar-SA"/>
        </w:rPr>
        <w:t>有机废液</w:t>
      </w:r>
      <w:r>
        <w:rPr>
          <w:rFonts w:hint="default" w:ascii="Times New Roman" w:hAnsi="Times New Roman" w:eastAsia="黑体" w:cs="Times New Roman"/>
          <w:snapToGrid w:val="0"/>
          <w:color w:val="auto"/>
          <w:kern w:val="2"/>
          <w:sz w:val="24"/>
          <w:szCs w:val="22"/>
          <w:highlight w:val="none"/>
          <w:lang w:val="zh-CN" w:eastAsia="zh-CN" w:bidi="ar-SA"/>
        </w:rPr>
        <w:t>的主要理化性质及危险特性</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5"/>
        <w:gridCol w:w="1297"/>
        <w:gridCol w:w="2516"/>
        <w:gridCol w:w="1470"/>
        <w:gridCol w:w="336"/>
        <w:gridCol w:w="2239"/>
      </w:tblGrid>
      <w:tr w14:paraId="5F41B0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1DBB3B8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中文名称</w:t>
            </w:r>
          </w:p>
        </w:tc>
        <w:tc>
          <w:tcPr>
            <w:tcW w:w="1515" w:type="pct"/>
            <w:vAlign w:val="center"/>
          </w:tcPr>
          <w:p w14:paraId="7133858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高浓度有机废液（COD≥10000mg/L）</w:t>
            </w:r>
          </w:p>
        </w:tc>
        <w:tc>
          <w:tcPr>
            <w:tcW w:w="1087" w:type="pct"/>
            <w:gridSpan w:val="2"/>
            <w:vAlign w:val="center"/>
          </w:tcPr>
          <w:p w14:paraId="0EC972D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英文名称</w:t>
            </w:r>
          </w:p>
        </w:tc>
        <w:tc>
          <w:tcPr>
            <w:tcW w:w="1348" w:type="pct"/>
            <w:vAlign w:val="center"/>
          </w:tcPr>
          <w:p w14:paraId="30BC980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High-concentration Organic Waste Liquid</w:t>
            </w:r>
          </w:p>
        </w:tc>
      </w:tr>
      <w:tr w14:paraId="7ED16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50074AF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 子 式</w:t>
            </w:r>
          </w:p>
        </w:tc>
        <w:tc>
          <w:tcPr>
            <w:tcW w:w="1515" w:type="pct"/>
            <w:vAlign w:val="center"/>
          </w:tcPr>
          <w:p w14:paraId="346F176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混合物，无固定单一分子式</w:t>
            </w:r>
          </w:p>
        </w:tc>
        <w:tc>
          <w:tcPr>
            <w:tcW w:w="1087" w:type="pct"/>
            <w:gridSpan w:val="2"/>
            <w:vAlign w:val="center"/>
          </w:tcPr>
          <w:p w14:paraId="7A0DFD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分子量</w:t>
            </w:r>
          </w:p>
        </w:tc>
        <w:tc>
          <w:tcPr>
            <w:tcW w:w="1348" w:type="pct"/>
            <w:vAlign w:val="center"/>
          </w:tcPr>
          <w:p w14:paraId="2F53070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复杂有机物混合体系，无固定平均分子量</w:t>
            </w:r>
          </w:p>
        </w:tc>
      </w:tr>
      <w:tr w14:paraId="0CA8D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restart"/>
            <w:vAlign w:val="center"/>
          </w:tcPr>
          <w:p w14:paraId="6660CCF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危险性概述</w:t>
            </w:r>
          </w:p>
        </w:tc>
        <w:tc>
          <w:tcPr>
            <w:tcW w:w="780" w:type="pct"/>
            <w:vAlign w:val="center"/>
          </w:tcPr>
          <w:p w14:paraId="0A95273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健康危害</w:t>
            </w:r>
          </w:p>
        </w:tc>
        <w:tc>
          <w:tcPr>
            <w:tcW w:w="3950" w:type="pct"/>
            <w:gridSpan w:val="4"/>
            <w:vAlign w:val="center"/>
          </w:tcPr>
          <w:p w14:paraId="1040A61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液含高浓度有机酸、醇类、酯类、芳烃、杂环有机物等，吸入、皮肤接触、误食均会刺激眼、鼻、咽喉及呼吸道；长期接触可引起头晕、乏力、恶心、神经衰弱，部分组分具有肝肾毒性、致敏性；皮肤长期接触可致脱脂、干燥、皮炎、腐蚀刺激。</w:t>
            </w:r>
          </w:p>
        </w:tc>
      </w:tr>
      <w:tr w14:paraId="32797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75BB85FA">
            <w:pPr>
              <w:pStyle w:val="146"/>
              <w:rPr>
                <w:rFonts w:hint="default" w:ascii="Times New Roman" w:hAnsi="Times New Roman" w:eastAsia="宋体" w:cs="Times New Roman"/>
                <w:snapToGrid w:val="0"/>
                <w:color w:val="auto"/>
                <w:highlight w:val="none"/>
              </w:rPr>
            </w:pPr>
          </w:p>
        </w:tc>
        <w:tc>
          <w:tcPr>
            <w:tcW w:w="780" w:type="pct"/>
            <w:vAlign w:val="center"/>
          </w:tcPr>
          <w:p w14:paraId="4588C43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环境危害</w:t>
            </w:r>
          </w:p>
        </w:tc>
        <w:tc>
          <w:tcPr>
            <w:tcW w:w="3950" w:type="pct"/>
            <w:gridSpan w:val="4"/>
            <w:vAlign w:val="center"/>
          </w:tcPr>
          <w:p w14:paraId="2B645DC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高 COD、高污染负荷，进入水体可快速消耗溶解氧，造成水体黑臭、水生生物窒息死亡；易渗入土壤及地下水，造成土壤和地下水持久性污染；属于突发环境事件风险物质，超标泄漏易引发区域水污染突发事件。</w:t>
            </w:r>
          </w:p>
        </w:tc>
      </w:tr>
      <w:tr w14:paraId="51164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1ABA0090">
            <w:pPr>
              <w:pStyle w:val="146"/>
              <w:rPr>
                <w:rFonts w:hint="default" w:ascii="Times New Roman" w:hAnsi="Times New Roman" w:eastAsia="宋体" w:cs="Times New Roman"/>
                <w:snapToGrid w:val="0"/>
                <w:color w:val="auto"/>
                <w:highlight w:val="none"/>
              </w:rPr>
            </w:pPr>
          </w:p>
        </w:tc>
        <w:tc>
          <w:tcPr>
            <w:tcW w:w="780" w:type="pct"/>
            <w:vAlign w:val="center"/>
          </w:tcPr>
          <w:p w14:paraId="6A726E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燃爆危险</w:t>
            </w:r>
          </w:p>
        </w:tc>
        <w:tc>
          <w:tcPr>
            <w:tcW w:w="3950" w:type="pct"/>
            <w:gridSpan w:val="4"/>
            <w:vAlign w:val="center"/>
          </w:tcPr>
          <w:p w14:paraId="0AEF7D6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废液多含挥发性可燃有机物，具有易燃性；蒸气与空气可形成爆炸性混合物，遇明火、高温、静电、火花有燃烧、爆炸风险；蒸气密度多大于空气，可沿地面扩散至远处火源回燃。</w:t>
            </w:r>
          </w:p>
        </w:tc>
      </w:tr>
      <w:tr w14:paraId="0789F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restart"/>
            <w:vAlign w:val="center"/>
          </w:tcPr>
          <w:p w14:paraId="21D003B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消防措施</w:t>
            </w:r>
          </w:p>
        </w:tc>
        <w:tc>
          <w:tcPr>
            <w:tcW w:w="780" w:type="pct"/>
            <w:vAlign w:val="center"/>
          </w:tcPr>
          <w:p w14:paraId="4F8905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危险特性</w:t>
            </w:r>
          </w:p>
        </w:tc>
        <w:tc>
          <w:tcPr>
            <w:tcW w:w="3950" w:type="pct"/>
            <w:gridSpan w:val="4"/>
            <w:vAlign w:val="center"/>
          </w:tcPr>
          <w:p w14:paraId="49DD93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遇高热易挥发产生可燃蒸气，容器受热有开裂、泄漏爆炸风险；燃烧分解产生一氧化碳、二氧化碳、有毒烟气；部分有机组分与氧化剂、强酸强碱接触可发生剧烈反应，引发燃烧飞溅。</w:t>
            </w:r>
          </w:p>
        </w:tc>
      </w:tr>
      <w:tr w14:paraId="20500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6E439F74">
            <w:pPr>
              <w:pStyle w:val="146"/>
              <w:rPr>
                <w:rFonts w:hint="default" w:ascii="Times New Roman" w:hAnsi="Times New Roman" w:eastAsia="宋体" w:cs="Times New Roman"/>
                <w:snapToGrid w:val="0"/>
                <w:color w:val="auto"/>
                <w:highlight w:val="none"/>
              </w:rPr>
            </w:pPr>
          </w:p>
        </w:tc>
        <w:tc>
          <w:tcPr>
            <w:tcW w:w="780" w:type="pct"/>
            <w:vAlign w:val="center"/>
          </w:tcPr>
          <w:p w14:paraId="5FC79D7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灭火方法</w:t>
            </w:r>
          </w:p>
        </w:tc>
        <w:tc>
          <w:tcPr>
            <w:tcW w:w="3950" w:type="pct"/>
            <w:gridSpan w:val="4"/>
            <w:vAlign w:val="center"/>
          </w:tcPr>
          <w:p w14:paraId="0606B74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灭火剂：泡沫、干粉、二氧化碳、雾状水；禁止直流水冲击液面，防止废液飞溅扩散；在上风向灭火，冷却周边储罐、容器，切断泄漏源；消防人员佩戴防毒面具、全身防护服，避免吸入有毒烟气。</w:t>
            </w:r>
          </w:p>
        </w:tc>
      </w:tr>
      <w:tr w14:paraId="56BFD2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09702F6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泄漏应急处理</w:t>
            </w:r>
          </w:p>
        </w:tc>
        <w:tc>
          <w:tcPr>
            <w:tcW w:w="3950" w:type="pct"/>
            <w:gridSpan w:val="4"/>
            <w:vAlign w:val="center"/>
          </w:tcPr>
          <w:p w14:paraId="1980E3B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 立即隔离泄漏区域，严禁明火、开关非防爆电器、产生静电；2. 穿戴耐酸碱防腐防护服、防毒口罩、防护眼镜、耐溶剂手套；3. 小量泄漏：用吸附棉、活性炭、砂土吸附收集，密封入危废桶；4. 大量泄漏：筑堤围堵、防渗围堰收集，导入应急事故池，严禁直排雨水管网、污水管网、地表水体；5. 收集后的泄漏废液按危险废物委托有资质单位处置，污染地面用惰性吸附材料清理后清运。</w:t>
            </w:r>
          </w:p>
        </w:tc>
      </w:tr>
      <w:tr w14:paraId="7677AF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12AFC5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储存注意事项</w:t>
            </w:r>
          </w:p>
        </w:tc>
        <w:tc>
          <w:tcPr>
            <w:tcW w:w="3950" w:type="pct"/>
            <w:gridSpan w:val="4"/>
            <w:vAlign w:val="center"/>
          </w:tcPr>
          <w:p w14:paraId="42EE187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 储存于阴凉、通风、防爆、防渗专用危废库房 / 储罐区，远离火种、热源；2. 储罐、收集桶做防渗、防腐、围堰、防雨、防淋措施，设置应急收集池；3. 与氧化剂、强酸、强碱、食用化学品分开存放，严禁混存；4. 容器密封完好，定期检查有无渗漏、挥发，控制库区温度，严禁暴晒；5. 按环境风险物质台账管理，严控厂界内最大贮存量不超风险临界管控量。</w:t>
            </w:r>
          </w:p>
        </w:tc>
      </w:tr>
      <w:tr w14:paraId="59C35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restart"/>
            <w:vAlign w:val="center"/>
          </w:tcPr>
          <w:p w14:paraId="2CD5377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理化特性</w:t>
            </w:r>
          </w:p>
        </w:tc>
        <w:tc>
          <w:tcPr>
            <w:tcW w:w="780" w:type="pct"/>
            <w:vAlign w:val="center"/>
          </w:tcPr>
          <w:p w14:paraId="525DFA2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外观与性状</w:t>
            </w:r>
          </w:p>
        </w:tc>
        <w:tc>
          <w:tcPr>
            <w:tcW w:w="3950" w:type="pct"/>
            <w:gridSpan w:val="4"/>
            <w:vAlign w:val="center"/>
          </w:tcPr>
          <w:p w14:paraId="11A99D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多为黄褐色、棕黑色浑浊液体，有刺激性有机溶剂气味，部分黏稠。</w:t>
            </w:r>
          </w:p>
        </w:tc>
      </w:tr>
      <w:tr w14:paraId="264C5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03F99B0F">
            <w:pPr>
              <w:pStyle w:val="146"/>
              <w:rPr>
                <w:rFonts w:hint="default" w:ascii="Times New Roman" w:hAnsi="Times New Roman" w:eastAsia="宋体" w:cs="Times New Roman"/>
                <w:snapToGrid w:val="0"/>
                <w:color w:val="auto"/>
                <w:highlight w:val="none"/>
              </w:rPr>
            </w:pPr>
          </w:p>
        </w:tc>
        <w:tc>
          <w:tcPr>
            <w:tcW w:w="780" w:type="pct"/>
            <w:vAlign w:val="center"/>
          </w:tcPr>
          <w:p w14:paraId="58E70BD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熔点(℃)</w:t>
            </w:r>
          </w:p>
        </w:tc>
        <w:tc>
          <w:tcPr>
            <w:tcW w:w="1515" w:type="pct"/>
            <w:vAlign w:val="center"/>
          </w:tcPr>
          <w:p w14:paraId="2CE60D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混合物无固定熔点，常温下均为液态。</w:t>
            </w:r>
          </w:p>
        </w:tc>
        <w:tc>
          <w:tcPr>
            <w:tcW w:w="885" w:type="pct"/>
            <w:shd w:val="clear" w:color="auto" w:fill="auto"/>
            <w:vAlign w:val="center"/>
          </w:tcPr>
          <w:p w14:paraId="43EAA9B8">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沸点(℃)</w:t>
            </w:r>
          </w:p>
        </w:tc>
        <w:tc>
          <w:tcPr>
            <w:tcW w:w="1550" w:type="pct"/>
            <w:gridSpan w:val="2"/>
            <w:vAlign w:val="center"/>
          </w:tcPr>
          <w:p w14:paraId="58C3BC1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为多种有机物的混合物，无固定单一沸点，通常随组分不同在70～300℃宽范围沸腾，易挥发组分沸点较低。</w:t>
            </w:r>
          </w:p>
        </w:tc>
      </w:tr>
      <w:tr w14:paraId="073B2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5364058B">
            <w:pPr>
              <w:pStyle w:val="146"/>
              <w:rPr>
                <w:rFonts w:hint="default" w:ascii="Times New Roman" w:hAnsi="Times New Roman" w:eastAsia="宋体" w:cs="Times New Roman"/>
                <w:snapToGrid w:val="0"/>
                <w:color w:val="auto"/>
                <w:highlight w:val="none"/>
              </w:rPr>
            </w:pPr>
          </w:p>
        </w:tc>
        <w:tc>
          <w:tcPr>
            <w:tcW w:w="780" w:type="pct"/>
            <w:vAlign w:val="center"/>
          </w:tcPr>
          <w:p w14:paraId="1AAE1DC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闪点(℃)</w:t>
            </w:r>
          </w:p>
        </w:tc>
        <w:tc>
          <w:tcPr>
            <w:tcW w:w="1515" w:type="pct"/>
            <w:vAlign w:val="center"/>
          </w:tcPr>
          <w:p w14:paraId="07E2DEF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多数组分闪点＜60℃，属可燃/易燃液体范畴。</w:t>
            </w:r>
          </w:p>
        </w:tc>
        <w:tc>
          <w:tcPr>
            <w:tcW w:w="885" w:type="pct"/>
            <w:shd w:val="clear" w:color="auto" w:fill="auto"/>
            <w:vAlign w:val="center"/>
          </w:tcPr>
          <w:p w14:paraId="5E1CA852">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引燃温度(℃)</w:t>
            </w:r>
          </w:p>
        </w:tc>
        <w:tc>
          <w:tcPr>
            <w:tcW w:w="1550" w:type="pct"/>
            <w:gridSpan w:val="2"/>
            <w:vAlign w:val="center"/>
          </w:tcPr>
          <w:p w14:paraId="44FD54F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无固定单一引燃温度，混合有机蒸气的引燃温度一般在 200～450℃之间，具体取决于废液中可燃组分的种类与浓度。</w:t>
            </w:r>
          </w:p>
        </w:tc>
      </w:tr>
      <w:tr w14:paraId="58EAF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8" w:type="pct"/>
            <w:vMerge w:val="continue"/>
            <w:vAlign w:val="center"/>
          </w:tcPr>
          <w:p w14:paraId="47E28230">
            <w:pPr>
              <w:pStyle w:val="146"/>
              <w:rPr>
                <w:rFonts w:hint="default" w:ascii="Times New Roman" w:hAnsi="Times New Roman" w:eastAsia="宋体" w:cs="Times New Roman"/>
                <w:snapToGrid w:val="0"/>
                <w:color w:val="auto"/>
                <w:highlight w:val="none"/>
              </w:rPr>
            </w:pPr>
          </w:p>
        </w:tc>
        <w:tc>
          <w:tcPr>
            <w:tcW w:w="780" w:type="pct"/>
            <w:vAlign w:val="center"/>
          </w:tcPr>
          <w:p w14:paraId="7FB2298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爆炸上限%(V/V)</w:t>
            </w:r>
          </w:p>
        </w:tc>
        <w:tc>
          <w:tcPr>
            <w:tcW w:w="1515" w:type="pct"/>
            <w:vAlign w:val="center"/>
          </w:tcPr>
          <w:p w14:paraId="3E1F952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随有机组分不同波动，一般为6%～15%（混合蒸气）</w:t>
            </w:r>
          </w:p>
        </w:tc>
        <w:tc>
          <w:tcPr>
            <w:tcW w:w="885" w:type="pct"/>
            <w:shd w:val="clear" w:color="auto" w:fill="auto"/>
            <w:vAlign w:val="center"/>
          </w:tcPr>
          <w:p w14:paraId="793D7809">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爆炸下限%(V/V)</w:t>
            </w:r>
          </w:p>
        </w:tc>
        <w:tc>
          <w:tcPr>
            <w:tcW w:w="1550" w:type="pct"/>
            <w:gridSpan w:val="2"/>
            <w:vAlign w:val="center"/>
          </w:tcPr>
          <w:p w14:paraId="44444F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随有机组分不同波动，一般为1%～5%（V/V），低于多数纯有机溶剂的爆炸下限，遇火源更易发生爆炸。</w:t>
            </w:r>
          </w:p>
        </w:tc>
      </w:tr>
      <w:tr w14:paraId="5D95A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585517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毒理学资料</w:t>
            </w:r>
          </w:p>
        </w:tc>
        <w:tc>
          <w:tcPr>
            <w:tcW w:w="3950" w:type="pct"/>
            <w:gridSpan w:val="4"/>
            <w:vAlign w:val="center"/>
          </w:tcPr>
          <w:p w14:paraId="178BAB5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混合有机组分具有急性低毒至中等毒性，经口、经皮、吸入均有毒害作用；部分含苯系物、酚类、卤代有机物，具有潜在蓄积毒性、生殖毒性、轻微致癌风险；高浓度蒸气可引发麻醉、呼吸道黏膜灼伤，水体生态毒性高，对鱼虾、微生物致死效应明显。</w:t>
            </w:r>
          </w:p>
        </w:tc>
      </w:tr>
    </w:tbl>
    <w:p w14:paraId="42D3FD7C">
      <w:pPr>
        <w:keepNext w:val="0"/>
        <w:keepLines w:val="0"/>
        <w:pageBreakBefore w:val="0"/>
        <w:widowControl w:val="0"/>
        <w:kinsoku/>
        <w:wordWrap/>
        <w:overflowPunct/>
        <w:topLinePunct w:val="0"/>
        <w:autoSpaceDE w:val="0"/>
        <w:autoSpaceDN w:val="0"/>
        <w:bidi w:val="0"/>
        <w:adjustRightInd w:val="0"/>
        <w:snapToGrid w:val="0"/>
        <w:spacing w:line="400" w:lineRule="exact"/>
        <w:jc w:val="center"/>
        <w:textAlignment w:val="auto"/>
        <w:rPr>
          <w:rFonts w:hint="default" w:ascii="Times New Roman" w:hAnsi="Times New Roman" w:cs="Times New Roman" w:eastAsiaTheme="minorEastAsia"/>
          <w:b/>
          <w:bCs/>
          <w:color w:val="auto"/>
          <w:kern w:val="0"/>
          <w:sz w:val="24"/>
          <w:highlight w:val="none"/>
        </w:rPr>
      </w:pPr>
      <w:r>
        <w:rPr>
          <w:rFonts w:hint="default" w:ascii="Times New Roman" w:hAnsi="Times New Roman" w:eastAsia="黑体" w:cs="Times New Roman"/>
          <w:snapToGrid w:val="0"/>
          <w:color w:val="auto"/>
          <w:kern w:val="2"/>
          <w:sz w:val="24"/>
          <w:szCs w:val="22"/>
          <w:highlight w:val="none"/>
          <w:lang w:val="zh-CN" w:eastAsia="zh-CN" w:bidi="ar-SA"/>
        </w:rPr>
        <w:t>表3-</w:t>
      </w:r>
      <w:r>
        <w:rPr>
          <w:rFonts w:hint="eastAsia" w:eastAsia="黑体" w:cs="Times New Roman"/>
          <w:snapToGrid w:val="0"/>
          <w:color w:val="auto"/>
          <w:kern w:val="2"/>
          <w:sz w:val="24"/>
          <w:szCs w:val="22"/>
          <w:highlight w:val="none"/>
          <w:lang w:val="en-US" w:eastAsia="zh-CN" w:bidi="ar-SA"/>
        </w:rPr>
        <w:t>4-13 氨氮</w:t>
      </w:r>
      <w:r>
        <w:rPr>
          <w:rFonts w:hint="eastAsia" w:ascii="Times New Roman" w:hAnsi="Times New Roman" w:eastAsia="黑体" w:cs="Times New Roman"/>
          <w:snapToGrid w:val="0"/>
          <w:color w:val="auto"/>
          <w:kern w:val="2"/>
          <w:sz w:val="24"/>
          <w:szCs w:val="22"/>
          <w:highlight w:val="none"/>
          <w:lang w:val="en-US" w:eastAsia="zh-CN" w:bidi="ar-SA"/>
        </w:rPr>
        <w:t>废液</w:t>
      </w:r>
      <w:r>
        <w:rPr>
          <w:rFonts w:hint="default" w:ascii="Times New Roman" w:hAnsi="Times New Roman" w:eastAsia="黑体" w:cs="Times New Roman"/>
          <w:snapToGrid w:val="0"/>
          <w:color w:val="auto"/>
          <w:kern w:val="2"/>
          <w:sz w:val="24"/>
          <w:szCs w:val="22"/>
          <w:highlight w:val="none"/>
          <w:lang w:val="zh-CN" w:eastAsia="zh-CN" w:bidi="ar-SA"/>
        </w:rPr>
        <w:t>的主要理化性质及危险特性</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3"/>
        <w:gridCol w:w="1299"/>
        <w:gridCol w:w="2516"/>
        <w:gridCol w:w="1470"/>
        <w:gridCol w:w="336"/>
        <w:gridCol w:w="2239"/>
      </w:tblGrid>
      <w:tr w14:paraId="1C02FA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205F587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中文名称</w:t>
            </w:r>
          </w:p>
        </w:tc>
        <w:tc>
          <w:tcPr>
            <w:tcW w:w="1515" w:type="pct"/>
            <w:vAlign w:val="center"/>
          </w:tcPr>
          <w:p w14:paraId="366F57D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高浓度氨氮废液</w:t>
            </w:r>
          </w:p>
        </w:tc>
        <w:tc>
          <w:tcPr>
            <w:tcW w:w="1087" w:type="pct"/>
            <w:gridSpan w:val="2"/>
            <w:vAlign w:val="center"/>
          </w:tcPr>
          <w:p w14:paraId="18519A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英文名称</w:t>
            </w:r>
          </w:p>
        </w:tc>
        <w:tc>
          <w:tcPr>
            <w:tcW w:w="1348" w:type="pct"/>
            <w:vAlign w:val="center"/>
          </w:tcPr>
          <w:p w14:paraId="1A8461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High-concentration ammonia nitrogen waste liquid</w:t>
            </w:r>
          </w:p>
        </w:tc>
      </w:tr>
      <w:tr w14:paraId="0195C8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7CC7B4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 子 式</w:t>
            </w:r>
          </w:p>
        </w:tc>
        <w:tc>
          <w:tcPr>
            <w:tcW w:w="1515" w:type="pct"/>
            <w:vAlign w:val="center"/>
          </w:tcPr>
          <w:p w14:paraId="70333862">
            <w:pPr>
              <w:pStyle w:val="146"/>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主要含NH3</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H2O</w:t>
            </w:r>
            <w:r>
              <w:rPr>
                <w:rFonts w:hint="eastAsia"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perscript"/>
              </w:rPr>
              <w:t>4+</w:t>
            </w:r>
            <w:r>
              <w:rPr>
                <w:rFonts w:hint="default" w:ascii="Times New Roman" w:hAnsi="Times New Roman" w:eastAsia="宋体" w:cs="Times New Roman"/>
                <w:snapToGrid w:val="0"/>
                <w:color w:val="auto"/>
                <w:highlight w:val="none"/>
              </w:rPr>
              <w:t>，无固定单一分子式</w:t>
            </w:r>
          </w:p>
        </w:tc>
        <w:tc>
          <w:tcPr>
            <w:tcW w:w="1087" w:type="pct"/>
            <w:gridSpan w:val="2"/>
            <w:vAlign w:val="center"/>
          </w:tcPr>
          <w:p w14:paraId="3328D5D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分子量</w:t>
            </w:r>
          </w:p>
        </w:tc>
        <w:tc>
          <w:tcPr>
            <w:tcW w:w="1348" w:type="pct"/>
            <w:vAlign w:val="center"/>
          </w:tcPr>
          <w:p w14:paraId="76732282">
            <w:pPr>
              <w:pStyle w:val="146"/>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混合物，无固定分子量</w:t>
            </w:r>
          </w:p>
        </w:tc>
      </w:tr>
      <w:tr w14:paraId="03A1F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restart"/>
            <w:vAlign w:val="center"/>
          </w:tcPr>
          <w:p w14:paraId="1F33D4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危险性概述</w:t>
            </w:r>
          </w:p>
        </w:tc>
        <w:tc>
          <w:tcPr>
            <w:tcW w:w="781" w:type="pct"/>
            <w:vAlign w:val="center"/>
          </w:tcPr>
          <w:p w14:paraId="7AB9CA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健康危害</w:t>
            </w:r>
          </w:p>
        </w:tc>
        <w:tc>
          <w:tcPr>
            <w:tcW w:w="3950" w:type="pct"/>
            <w:gridSpan w:val="4"/>
            <w:vAlign w:val="center"/>
          </w:tcPr>
          <w:p w14:paraId="7FFF810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1.废液挥发出氨气，刺激眼、鼻、咽喉及呼吸道黏膜，引发流泪、咽痛、咳嗽、胸闷；2.高浓度吸入可致支气管炎、肺水肿；3.皮肤长期接触易造成腐蚀、皮炎，误食刺激消化道引发不适。</w:t>
            </w:r>
          </w:p>
        </w:tc>
      </w:tr>
      <w:tr w14:paraId="6B40DF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vAlign w:val="center"/>
          </w:tcPr>
          <w:p w14:paraId="609866EB">
            <w:pPr>
              <w:pStyle w:val="146"/>
              <w:rPr>
                <w:rFonts w:hint="default" w:ascii="Times New Roman" w:hAnsi="Times New Roman" w:eastAsia="宋体" w:cs="Times New Roman"/>
                <w:snapToGrid w:val="0"/>
                <w:color w:val="auto"/>
                <w:highlight w:val="none"/>
              </w:rPr>
            </w:pPr>
          </w:p>
        </w:tc>
        <w:tc>
          <w:tcPr>
            <w:tcW w:w="781" w:type="pct"/>
            <w:vAlign w:val="center"/>
          </w:tcPr>
          <w:p w14:paraId="57ABBE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环境危害</w:t>
            </w:r>
          </w:p>
        </w:tc>
        <w:tc>
          <w:tcPr>
            <w:tcW w:w="3950" w:type="pct"/>
            <w:gridSpan w:val="4"/>
            <w:vAlign w:val="center"/>
          </w:tcPr>
          <w:p w14:paraId="6E4FD0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1.渗入土壤、地下水快速造成水体氨氮严重超标，破坏水生生态；2.促使水体富营养化，诱发黑臭、藻类爆发；3.地下水中逐步转化为亚硝酸盐、硝酸盐，长期污染地下水，难以修复，威胁饮用水安全。</w:t>
            </w:r>
          </w:p>
        </w:tc>
      </w:tr>
      <w:tr w14:paraId="78570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vAlign w:val="center"/>
          </w:tcPr>
          <w:p w14:paraId="60C2AEDC">
            <w:pPr>
              <w:pStyle w:val="146"/>
              <w:rPr>
                <w:rFonts w:hint="default" w:ascii="Times New Roman" w:hAnsi="Times New Roman" w:eastAsia="宋体" w:cs="Times New Roman"/>
                <w:snapToGrid w:val="0"/>
                <w:color w:val="auto"/>
                <w:highlight w:val="none"/>
              </w:rPr>
            </w:pPr>
          </w:p>
        </w:tc>
        <w:tc>
          <w:tcPr>
            <w:tcW w:w="781" w:type="pct"/>
            <w:vAlign w:val="center"/>
          </w:tcPr>
          <w:p w14:paraId="2F2DAD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燃爆危险</w:t>
            </w:r>
          </w:p>
        </w:tc>
        <w:tc>
          <w:tcPr>
            <w:tcW w:w="3950" w:type="pct"/>
            <w:gridSpan w:val="4"/>
            <w:vAlign w:val="center"/>
          </w:tcPr>
          <w:p w14:paraId="598D165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本身不易燃、无爆炸危险性；但挥发氨气属于易燃气体，高浓度氨气遇明火、高温可燃烧，与空气混合达到极限可发生爆炸。</w:t>
            </w:r>
          </w:p>
        </w:tc>
      </w:tr>
      <w:tr w14:paraId="588C9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restart"/>
            <w:vAlign w:val="center"/>
          </w:tcPr>
          <w:p w14:paraId="3B00EAA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消防措施</w:t>
            </w:r>
          </w:p>
        </w:tc>
        <w:tc>
          <w:tcPr>
            <w:tcW w:w="781" w:type="pct"/>
            <w:vAlign w:val="center"/>
          </w:tcPr>
          <w:p w14:paraId="6FC1C6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危险特性</w:t>
            </w:r>
          </w:p>
        </w:tc>
        <w:tc>
          <w:tcPr>
            <w:tcW w:w="3950" w:type="pct"/>
            <w:gridSpan w:val="4"/>
            <w:vAlign w:val="center"/>
          </w:tcPr>
          <w:p w14:paraId="4776F5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废液受热分解放出大量有毒刺激性氨气；氨气遇明火燃烧，放出有毒烟气，高温下容器易胀裂泄漏。</w:t>
            </w:r>
          </w:p>
        </w:tc>
      </w:tr>
      <w:tr w14:paraId="47775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vAlign w:val="center"/>
          </w:tcPr>
          <w:p w14:paraId="00D29F86">
            <w:pPr>
              <w:pStyle w:val="146"/>
              <w:rPr>
                <w:rFonts w:hint="default" w:ascii="Times New Roman" w:hAnsi="Times New Roman" w:eastAsia="宋体" w:cs="Times New Roman"/>
                <w:snapToGrid w:val="0"/>
                <w:color w:val="auto"/>
                <w:highlight w:val="none"/>
              </w:rPr>
            </w:pPr>
          </w:p>
        </w:tc>
        <w:tc>
          <w:tcPr>
            <w:tcW w:w="781" w:type="pct"/>
            <w:vAlign w:val="center"/>
          </w:tcPr>
          <w:p w14:paraId="3561C94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灭火方法</w:t>
            </w:r>
          </w:p>
        </w:tc>
        <w:tc>
          <w:tcPr>
            <w:tcW w:w="3950" w:type="pct"/>
            <w:gridSpan w:val="4"/>
            <w:vAlign w:val="center"/>
          </w:tcPr>
          <w:p w14:paraId="64A9395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1.选用雾状水、抗溶性泡沫、砂土灭火；2.优先疏散下风人员，消防员佩戴防毒面具、穿防护服在上风向灭火；3.严禁直喷冲击废液，防止大面积扩散污染。</w:t>
            </w:r>
          </w:p>
        </w:tc>
      </w:tr>
      <w:tr w14:paraId="624E9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1919F56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泄漏应急处理</w:t>
            </w:r>
          </w:p>
        </w:tc>
        <w:tc>
          <w:tcPr>
            <w:tcW w:w="3950" w:type="pct"/>
            <w:gridSpan w:val="4"/>
            <w:vAlign w:val="center"/>
          </w:tcPr>
          <w:p w14:paraId="442B99F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少量泄漏：用沙土、蛭石吸附收集，密闭转运至危废处置点；2.大量泄漏：立即构筑围堤、挖应急收集坑封堵，严禁流入沟渠、农田、地下水径流区；3.现场洒水抑制氨气挥发，禁止直接外排，委托资质单位清运处置；4.同步启动地下水跟踪监测，排查污染扩散范围。</w:t>
            </w:r>
          </w:p>
        </w:tc>
      </w:tr>
      <w:tr w14:paraId="3F36B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0D4CC9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储存注意事项</w:t>
            </w:r>
          </w:p>
        </w:tc>
        <w:tc>
          <w:tcPr>
            <w:tcW w:w="3950" w:type="pct"/>
            <w:gridSpan w:val="4"/>
            <w:vAlign w:val="center"/>
          </w:tcPr>
          <w:p w14:paraId="211B8B7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储存于防渗密闭防渗池、防渗储罐内，划分重点防渗区，严格落实防渗、防雨、防渗漏措施；2.远离火源、热源、酸性物料，分区存放，严禁与酸类混存；3.储存场所设置通风设施、氨气报警装置、应急收集池；4.严控储存总量，参照HJ941-2018，≥2000mg/L 氨氮废液临界量 5t，超量强化风险管控；5.定期巡查罐体、池体防渗完好性，建立出入库台账。</w:t>
            </w:r>
          </w:p>
        </w:tc>
      </w:tr>
      <w:tr w14:paraId="10C21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restart"/>
            <w:vAlign w:val="center"/>
          </w:tcPr>
          <w:p w14:paraId="79DBC0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理化特性</w:t>
            </w:r>
          </w:p>
        </w:tc>
        <w:tc>
          <w:tcPr>
            <w:tcW w:w="781" w:type="pct"/>
            <w:vAlign w:val="center"/>
          </w:tcPr>
          <w:p w14:paraId="5535012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外观与性状</w:t>
            </w:r>
          </w:p>
        </w:tc>
        <w:tc>
          <w:tcPr>
            <w:tcW w:w="3950" w:type="pct"/>
            <w:gridSpan w:val="4"/>
            <w:vAlign w:val="center"/>
          </w:tcPr>
          <w:p w14:paraId="793E32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浅灰/黄褐色浑浊液体，有强烈刺激性氨臭味</w:t>
            </w:r>
          </w:p>
        </w:tc>
      </w:tr>
      <w:tr w14:paraId="35D3E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vAlign w:val="center"/>
          </w:tcPr>
          <w:p w14:paraId="7DC09D8C">
            <w:pPr>
              <w:pStyle w:val="146"/>
              <w:rPr>
                <w:rFonts w:hint="default" w:ascii="Times New Roman" w:hAnsi="Times New Roman" w:eastAsia="宋体" w:cs="Times New Roman"/>
                <w:snapToGrid w:val="0"/>
                <w:color w:val="auto"/>
                <w:highlight w:val="none"/>
              </w:rPr>
            </w:pPr>
          </w:p>
        </w:tc>
        <w:tc>
          <w:tcPr>
            <w:tcW w:w="781" w:type="pct"/>
            <w:vAlign w:val="center"/>
          </w:tcPr>
          <w:p w14:paraId="7BDC27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熔点(℃)</w:t>
            </w:r>
          </w:p>
        </w:tc>
        <w:tc>
          <w:tcPr>
            <w:tcW w:w="1515" w:type="pct"/>
            <w:vAlign w:val="center"/>
          </w:tcPr>
          <w:p w14:paraId="6D92E7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接近0℃（水溶液特性）</w:t>
            </w:r>
          </w:p>
        </w:tc>
        <w:tc>
          <w:tcPr>
            <w:tcW w:w="885" w:type="pct"/>
            <w:shd w:val="clear" w:color="auto" w:fill="auto"/>
            <w:vAlign w:val="center"/>
          </w:tcPr>
          <w:p w14:paraId="4C7203A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沸点(℃)</w:t>
            </w:r>
          </w:p>
        </w:tc>
        <w:tc>
          <w:tcPr>
            <w:tcW w:w="1550" w:type="pct"/>
            <w:gridSpan w:val="2"/>
            <w:vAlign w:val="center"/>
          </w:tcPr>
          <w:p w14:paraId="06F3C19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约100℃（接近纯水沸点，氨气易挥发）</w:t>
            </w:r>
          </w:p>
        </w:tc>
      </w:tr>
      <w:tr w14:paraId="32A18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267" w:type="pct"/>
            <w:vMerge w:val="continue"/>
            <w:vAlign w:val="center"/>
          </w:tcPr>
          <w:p w14:paraId="41C096FE">
            <w:pPr>
              <w:pStyle w:val="146"/>
              <w:rPr>
                <w:rFonts w:hint="default" w:ascii="Times New Roman" w:hAnsi="Times New Roman" w:eastAsia="宋体" w:cs="Times New Roman"/>
                <w:snapToGrid w:val="0"/>
                <w:color w:val="auto"/>
                <w:highlight w:val="none"/>
              </w:rPr>
            </w:pPr>
          </w:p>
        </w:tc>
        <w:tc>
          <w:tcPr>
            <w:tcW w:w="781" w:type="pct"/>
            <w:vAlign w:val="center"/>
          </w:tcPr>
          <w:p w14:paraId="786138D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闪点(℃)</w:t>
            </w:r>
          </w:p>
        </w:tc>
        <w:tc>
          <w:tcPr>
            <w:tcW w:w="1515" w:type="pct"/>
            <w:vAlign w:val="center"/>
          </w:tcPr>
          <w:p w14:paraId="4D26D0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无意义（废液本身非易燃液体）</w:t>
            </w:r>
          </w:p>
        </w:tc>
        <w:tc>
          <w:tcPr>
            <w:tcW w:w="885" w:type="pct"/>
            <w:shd w:val="clear" w:color="auto" w:fill="auto"/>
            <w:vAlign w:val="center"/>
          </w:tcPr>
          <w:p w14:paraId="38DC28C9">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引燃温度(℃)</w:t>
            </w:r>
          </w:p>
        </w:tc>
        <w:tc>
          <w:tcPr>
            <w:tcW w:w="1550" w:type="pct"/>
            <w:gridSpan w:val="2"/>
            <w:vAlign w:val="center"/>
          </w:tcPr>
          <w:p w14:paraId="3EF2208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651℃（挥发氨气引燃温度）</w:t>
            </w:r>
          </w:p>
        </w:tc>
      </w:tr>
      <w:tr w14:paraId="52B0B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267" w:type="pct"/>
            <w:vMerge w:val="continue"/>
            <w:vAlign w:val="center"/>
          </w:tcPr>
          <w:p w14:paraId="7C7F2AF4">
            <w:pPr>
              <w:pStyle w:val="146"/>
              <w:rPr>
                <w:rFonts w:hint="default" w:ascii="Times New Roman" w:hAnsi="Times New Roman" w:eastAsia="宋体" w:cs="Times New Roman"/>
                <w:snapToGrid w:val="0"/>
                <w:color w:val="auto"/>
                <w:highlight w:val="none"/>
              </w:rPr>
            </w:pPr>
          </w:p>
        </w:tc>
        <w:tc>
          <w:tcPr>
            <w:tcW w:w="781" w:type="pct"/>
            <w:vAlign w:val="center"/>
          </w:tcPr>
          <w:p w14:paraId="4826B42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爆炸上限%(V/V)</w:t>
            </w:r>
          </w:p>
        </w:tc>
        <w:tc>
          <w:tcPr>
            <w:tcW w:w="1515" w:type="pct"/>
            <w:vAlign w:val="center"/>
          </w:tcPr>
          <w:p w14:paraId="655CC7C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28.0（氨气）</w:t>
            </w:r>
          </w:p>
        </w:tc>
        <w:tc>
          <w:tcPr>
            <w:tcW w:w="885" w:type="pct"/>
            <w:shd w:val="clear" w:color="auto" w:fill="auto"/>
            <w:vAlign w:val="center"/>
          </w:tcPr>
          <w:p w14:paraId="6C2CE8D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爆炸下限%(V/V)</w:t>
            </w:r>
          </w:p>
        </w:tc>
        <w:tc>
          <w:tcPr>
            <w:tcW w:w="1550" w:type="pct"/>
            <w:gridSpan w:val="2"/>
            <w:vAlign w:val="center"/>
          </w:tcPr>
          <w:p w14:paraId="180194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15.0（氨气）</w:t>
            </w:r>
          </w:p>
        </w:tc>
      </w:tr>
      <w:tr w14:paraId="48890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049" w:type="pct"/>
            <w:gridSpan w:val="2"/>
            <w:vAlign w:val="center"/>
          </w:tcPr>
          <w:p w14:paraId="03C50CA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毒理学资料</w:t>
            </w:r>
          </w:p>
        </w:tc>
        <w:tc>
          <w:tcPr>
            <w:tcW w:w="3950" w:type="pct"/>
            <w:gridSpan w:val="4"/>
            <w:vAlign w:val="center"/>
          </w:tcPr>
          <w:p w14:paraId="552B499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氨气具有强刺激性毒性，短期高浓度吸入可造成呼吸道损伤；2.废液长期渗入地下水，经饮水摄入可影响人体代谢，亚硝酸盐次生产物存在健康风险；3.水体高氨氮会造成水生生物中毒死亡，破坏区域生态食物链。</w:t>
            </w:r>
          </w:p>
        </w:tc>
      </w:tr>
    </w:tbl>
    <w:p w14:paraId="7C1DFE5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（2）环境风险类型</w:t>
      </w:r>
    </w:p>
    <w:p w14:paraId="4811624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环境风险类型包括</w:t>
      </w:r>
      <w:r>
        <w:rPr>
          <w:rFonts w:hint="eastAsia" w:eastAsia="宋体" w:cs="Times New Roman"/>
          <w:color w:val="auto"/>
          <w:highlight w:val="none"/>
          <w:lang w:val="en-US" w:eastAsia="zh-CN"/>
        </w:rPr>
        <w:t>废液</w:t>
      </w:r>
      <w:r>
        <w:rPr>
          <w:rFonts w:hint="eastAsia" w:eastAsia="宋体" w:cs="Times New Roman"/>
          <w:color w:val="auto"/>
          <w:highlight w:val="none"/>
          <w:lang w:eastAsia="zh-CN"/>
        </w:rPr>
        <w:t>、</w:t>
      </w:r>
      <w:r>
        <w:rPr>
          <w:rFonts w:hint="eastAsia" w:eastAsia="宋体" w:cs="Times New Roman"/>
          <w:color w:val="auto"/>
          <w:highlight w:val="none"/>
          <w:lang w:val="en-US" w:eastAsia="zh-CN"/>
        </w:rPr>
        <w:t>废气、消毒剂</w:t>
      </w:r>
      <w:r>
        <w:rPr>
          <w:rFonts w:hint="default" w:ascii="Times New Roman" w:hAnsi="Times New Roman" w:eastAsia="宋体" w:cs="Times New Roman"/>
          <w:color w:val="auto"/>
          <w:highlight w:val="none"/>
        </w:rPr>
        <w:t>泄漏，</w:t>
      </w:r>
      <w:r>
        <w:rPr>
          <w:rFonts w:hint="default" w:ascii="Times New Roman" w:hAnsi="Times New Roman" w:eastAsia="宋体" w:cs="Times New Roman"/>
          <w:bCs/>
          <w:color w:val="auto"/>
          <w:szCs w:val="21"/>
          <w:highlight w:val="none"/>
        </w:rPr>
        <w:t>发生毒害、火灾或爆炸事故</w:t>
      </w:r>
      <w:r>
        <w:rPr>
          <w:rFonts w:hint="default" w:ascii="Times New Roman" w:hAnsi="Times New Roman" w:eastAsia="宋体" w:cs="Times New Roman"/>
          <w:color w:val="auto"/>
          <w:highlight w:val="none"/>
        </w:rPr>
        <w:t>。</w:t>
      </w:r>
    </w:p>
    <w:p w14:paraId="01CFC38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（3）危险物质影响环境的途径</w:t>
      </w:r>
    </w:p>
    <w:p w14:paraId="7AB6AF3B">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废液</w:t>
      </w:r>
      <w:r>
        <w:rPr>
          <w:rFonts w:hint="default" w:ascii="Times New Roman" w:hAnsi="Times New Roman" w:eastAsia="宋体" w:cs="Times New Roman"/>
          <w:color w:val="auto"/>
          <w:highlight w:val="none"/>
        </w:rPr>
        <w:t>治理设施故障，生产废水事故排放，会对周围的地表水体和地下水体造成风险影响，可引发一系列的次生水环境风险事故。为杜绝生产装置发生环境风险事故时消防水携带物料进入排水系统排至厂外，本项目应建立环境风险事故防范措施。</w:t>
      </w:r>
    </w:p>
    <w:p w14:paraId="4BE27EE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氨和硫化氢等有毒有害气体未经处理直接排放入大气环境，可能会对大气环境造成影响。</w:t>
      </w:r>
    </w:p>
    <w:p w14:paraId="18AA7DB8">
      <w:pPr>
        <w:pStyle w:val="67"/>
        <w:ind w:firstLine="480"/>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次氯酸钠储存过程中发生泄漏。</w:t>
      </w:r>
    </w:p>
    <w:p w14:paraId="00F5A6C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4、危险物质数量与临界量比值（Q）</w:t>
      </w:r>
    </w:p>
    <w:p w14:paraId="121D543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计算所涉及的每种危险物质在厂界内的最大存在总量与其在附录B中对应临界量的比值Q。</w:t>
      </w:r>
      <w:r>
        <w:rPr>
          <w:rFonts w:hint="default" w:ascii="Times New Roman" w:hAnsi="Times New Roman" w:eastAsia="宋体" w:cs="Times New Roman"/>
          <w:color w:val="auto"/>
          <w:szCs w:val="24"/>
          <w:highlight w:val="none"/>
        </w:rPr>
        <w:t>在不同厂区的同一种物质，按其在厂界内的最大存在总量计算。</w:t>
      </w:r>
    </w:p>
    <w:p w14:paraId="43A689E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当只涉及一种危险物质时，计算该物质的总量与其临界量比值，即为Q；</w:t>
      </w:r>
    </w:p>
    <w:p w14:paraId="0614FB6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当存在多种危险物质时，则按式（C.1）计算物质总量与其临界量比值（Q）；</w:t>
      </w:r>
    </w:p>
    <w:p w14:paraId="5ACDE4DD">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3476625" cy="504825"/>
            <wp:effectExtent l="0" t="0" r="9525" b="9525"/>
            <wp:docPr id="20" name="图片 20" descr="1553825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5382509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476625" cy="504825"/>
                    </a:xfrm>
                    <a:prstGeom prst="rect">
                      <a:avLst/>
                    </a:prstGeom>
                    <a:noFill/>
                    <a:ln>
                      <a:noFill/>
                    </a:ln>
                  </pic:spPr>
                </pic:pic>
              </a:graphicData>
            </a:graphic>
          </wp:inline>
        </w:drawing>
      </w:r>
    </w:p>
    <w:p w14:paraId="41C9C7A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——每种危险物质的最大存在总量，t；</w:t>
      </w:r>
    </w:p>
    <w:p w14:paraId="1CEBC57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——每种危险物质的临界量，t。</w:t>
      </w:r>
    </w:p>
    <w:p w14:paraId="5D02FD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＜1时，该项目环境风险潜势为Ⅰ。</w:t>
      </w:r>
    </w:p>
    <w:p w14:paraId="5B7E7DC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≥1时，将</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值划分为：（1）1≤</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＜10；（2）10≤</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＜100；（3）</w:t>
      </w:r>
      <w:r>
        <w:rPr>
          <w:rFonts w:hint="default" w:ascii="Times New Roman" w:hAnsi="Times New Roman" w:eastAsia="宋体" w:cs="Times New Roman"/>
          <w:i/>
          <w:color w:val="auto"/>
          <w:highlight w:val="none"/>
        </w:rPr>
        <w:t>Q</w:t>
      </w:r>
      <w:r>
        <w:rPr>
          <w:rFonts w:hint="default" w:ascii="Times New Roman" w:hAnsi="Times New Roman" w:eastAsia="宋体" w:cs="Times New Roman"/>
          <w:color w:val="auto"/>
          <w:highlight w:val="none"/>
        </w:rPr>
        <w:t>≥100。</w:t>
      </w:r>
    </w:p>
    <w:p w14:paraId="509FD6E2">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eastAsia" w:cs="Times New Roman"/>
          <w:color w:val="auto"/>
          <w:highlight w:val="none"/>
          <w:lang w:val="en-US" w:eastAsia="zh-CN"/>
        </w:rPr>
        <w:t>14</w:t>
      </w:r>
      <w:r>
        <w:rPr>
          <w:rFonts w:hint="default" w:ascii="Times New Roman" w:hAnsi="Times New Roman" w:cs="Times New Roman"/>
          <w:color w:val="auto"/>
          <w:highlight w:val="none"/>
        </w:rPr>
        <w:t>项目危险物质存储情况</w:t>
      </w:r>
    </w:p>
    <w:bookmarkEnd w:id="249"/>
    <w:bookmarkEnd w:id="250"/>
    <w:bookmarkEnd w:id="251"/>
    <w:bookmarkEnd w:id="252"/>
    <w:tbl>
      <w:tblPr>
        <w:tblStyle w:val="47"/>
        <w:tblW w:w="48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2020"/>
        <w:gridCol w:w="1154"/>
        <w:gridCol w:w="1365"/>
        <w:gridCol w:w="1475"/>
        <w:gridCol w:w="1326"/>
      </w:tblGrid>
      <w:tr w14:paraId="37D4A9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465" w:type="pct"/>
            <w:shd w:val="clear" w:color="auto" w:fill="auto"/>
            <w:vAlign w:val="center"/>
          </w:tcPr>
          <w:p w14:paraId="3EE08FFB">
            <w:pPr>
              <w:pStyle w:val="146"/>
              <w:rPr>
                <w:rFonts w:hint="default" w:ascii="Times New Roman" w:hAnsi="Times New Roman" w:eastAsia="宋体" w:cs="Times New Roman"/>
                <w:snapToGrid w:val="0"/>
                <w:color w:val="auto"/>
                <w:highlight w:val="none"/>
              </w:rPr>
            </w:pPr>
            <w:bookmarkStart w:id="254" w:name="_Toc508022086"/>
            <w:bookmarkStart w:id="255" w:name="_Toc57713654"/>
            <w:bookmarkStart w:id="256" w:name="_Toc7338887"/>
            <w:r>
              <w:rPr>
                <w:rFonts w:hint="default" w:ascii="Times New Roman" w:hAnsi="Times New Roman" w:eastAsia="宋体" w:cs="Times New Roman"/>
                <w:snapToGrid w:val="0"/>
                <w:color w:val="auto"/>
                <w:highlight w:val="none"/>
              </w:rPr>
              <w:t>序号</w:t>
            </w:r>
          </w:p>
        </w:tc>
        <w:tc>
          <w:tcPr>
            <w:tcW w:w="1248" w:type="pct"/>
            <w:shd w:val="clear" w:color="auto" w:fill="auto"/>
            <w:vAlign w:val="center"/>
          </w:tcPr>
          <w:p w14:paraId="17C979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物质名称</w:t>
            </w:r>
          </w:p>
        </w:tc>
        <w:tc>
          <w:tcPr>
            <w:tcW w:w="713" w:type="pct"/>
            <w:vAlign w:val="center"/>
          </w:tcPr>
          <w:p w14:paraId="447943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CAS号</w:t>
            </w:r>
          </w:p>
        </w:tc>
        <w:tc>
          <w:tcPr>
            <w:tcW w:w="843" w:type="pct"/>
            <w:shd w:val="clear" w:color="auto" w:fill="auto"/>
            <w:vAlign w:val="center"/>
          </w:tcPr>
          <w:p w14:paraId="2FD306E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临界量</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/t</w:t>
            </w:r>
          </w:p>
        </w:tc>
        <w:tc>
          <w:tcPr>
            <w:tcW w:w="910" w:type="pct"/>
            <w:shd w:val="clear" w:color="auto" w:fill="auto"/>
            <w:vAlign w:val="center"/>
          </w:tcPr>
          <w:p w14:paraId="7B2480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单元实际储存量（</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/t</w:t>
            </w:r>
            <w:r>
              <w:rPr>
                <w:rFonts w:hint="default" w:ascii="Times New Roman" w:hAnsi="Times New Roman" w:eastAsia="宋体" w:cs="Times New Roman"/>
                <w:snapToGrid w:val="0"/>
                <w:color w:val="auto"/>
                <w:highlight w:val="none"/>
              </w:rPr>
              <w:t>）</w:t>
            </w:r>
          </w:p>
        </w:tc>
        <w:tc>
          <w:tcPr>
            <w:tcW w:w="819" w:type="pct"/>
            <w:shd w:val="clear" w:color="auto" w:fill="auto"/>
            <w:vAlign w:val="center"/>
          </w:tcPr>
          <w:p w14:paraId="6F72E9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q/Q</w:t>
            </w:r>
          </w:p>
        </w:tc>
      </w:tr>
      <w:tr w14:paraId="746F7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64C65AA6">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1</w:t>
            </w:r>
          </w:p>
        </w:tc>
        <w:tc>
          <w:tcPr>
            <w:tcW w:w="1248" w:type="pct"/>
            <w:shd w:val="clear" w:color="auto" w:fill="auto"/>
            <w:vAlign w:val="center"/>
          </w:tcPr>
          <w:p w14:paraId="5CCA3C0F">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次氯酸钠</w:t>
            </w:r>
          </w:p>
        </w:tc>
        <w:tc>
          <w:tcPr>
            <w:tcW w:w="713" w:type="pct"/>
            <w:vAlign w:val="center"/>
          </w:tcPr>
          <w:p w14:paraId="4EDA21A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7681-52-9</w:t>
            </w:r>
          </w:p>
        </w:tc>
        <w:tc>
          <w:tcPr>
            <w:tcW w:w="843" w:type="pct"/>
            <w:shd w:val="clear" w:color="auto" w:fill="auto"/>
            <w:vAlign w:val="center"/>
          </w:tcPr>
          <w:p w14:paraId="1CC5058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910" w:type="pct"/>
            <w:shd w:val="clear" w:color="auto" w:fill="auto"/>
            <w:vAlign w:val="center"/>
          </w:tcPr>
          <w:p w14:paraId="2FBAC96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2.0</w:t>
            </w:r>
          </w:p>
        </w:tc>
        <w:tc>
          <w:tcPr>
            <w:tcW w:w="819" w:type="pct"/>
            <w:shd w:val="clear" w:color="auto" w:fill="auto"/>
            <w:vAlign w:val="center"/>
          </w:tcPr>
          <w:p w14:paraId="391BB3C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.4</w:t>
            </w:r>
          </w:p>
        </w:tc>
      </w:tr>
      <w:tr w14:paraId="0BF12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59D2E218">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w:t>
            </w:r>
          </w:p>
        </w:tc>
        <w:tc>
          <w:tcPr>
            <w:tcW w:w="1248" w:type="pct"/>
            <w:shd w:val="clear" w:color="auto" w:fill="auto"/>
            <w:vAlign w:val="center"/>
          </w:tcPr>
          <w:p w14:paraId="374BF58B">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CODcr浓度≥10000mg/L的有机废液</w:t>
            </w:r>
          </w:p>
        </w:tc>
        <w:tc>
          <w:tcPr>
            <w:tcW w:w="713" w:type="pct"/>
            <w:vAlign w:val="center"/>
          </w:tcPr>
          <w:p w14:paraId="3DFB92CD">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w:t>
            </w:r>
          </w:p>
        </w:tc>
        <w:tc>
          <w:tcPr>
            <w:tcW w:w="843" w:type="pct"/>
            <w:shd w:val="clear" w:color="auto" w:fill="auto"/>
            <w:vAlign w:val="center"/>
          </w:tcPr>
          <w:p w14:paraId="0566C87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w:t>
            </w:r>
          </w:p>
        </w:tc>
        <w:tc>
          <w:tcPr>
            <w:tcW w:w="910" w:type="pct"/>
            <w:shd w:val="clear" w:color="auto" w:fill="auto"/>
            <w:vAlign w:val="center"/>
          </w:tcPr>
          <w:p w14:paraId="182155C7">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16.8</w:t>
            </w:r>
          </w:p>
        </w:tc>
        <w:tc>
          <w:tcPr>
            <w:tcW w:w="819" w:type="pct"/>
            <w:shd w:val="clear" w:color="auto" w:fill="auto"/>
            <w:vAlign w:val="center"/>
          </w:tcPr>
          <w:p w14:paraId="73924F1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1.68</w:t>
            </w:r>
          </w:p>
        </w:tc>
      </w:tr>
      <w:tr w14:paraId="01762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5" w:type="pct"/>
            <w:shd w:val="clear" w:color="auto" w:fill="auto"/>
            <w:vAlign w:val="center"/>
          </w:tcPr>
          <w:p w14:paraId="7CEE45C7">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w:t>
            </w:r>
          </w:p>
        </w:tc>
        <w:tc>
          <w:tcPr>
            <w:tcW w:w="1248" w:type="pct"/>
            <w:shd w:val="clear" w:color="auto" w:fill="auto"/>
            <w:vAlign w:val="center"/>
          </w:tcPr>
          <w:p w14:paraId="5E0A3EC9">
            <w:pPr>
              <w:pStyle w:val="146"/>
              <w:rPr>
                <w:rFonts w:hint="eastAsia"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NH</w:t>
            </w:r>
            <w:r>
              <w:rPr>
                <w:rFonts w:hint="eastAsia" w:eastAsia="宋体" w:cs="Times New Roman"/>
                <w:snapToGrid w:val="0"/>
                <w:color w:val="auto"/>
                <w:highlight w:val="none"/>
                <w:vertAlign w:val="subscript"/>
                <w:lang w:val="en-US" w:eastAsia="zh-CN"/>
              </w:rPr>
              <w:t>3</w:t>
            </w:r>
            <w:r>
              <w:rPr>
                <w:rFonts w:hint="eastAsia" w:eastAsia="宋体" w:cs="Times New Roman"/>
                <w:snapToGrid w:val="0"/>
                <w:color w:val="auto"/>
                <w:highlight w:val="none"/>
                <w:lang w:val="en-US" w:eastAsia="zh-CN"/>
              </w:rPr>
              <w:t>-N浓度≥2000mg/L的废液</w:t>
            </w:r>
          </w:p>
        </w:tc>
        <w:tc>
          <w:tcPr>
            <w:tcW w:w="713" w:type="pct"/>
            <w:vAlign w:val="center"/>
          </w:tcPr>
          <w:p w14:paraId="5272AB5D">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w:t>
            </w:r>
          </w:p>
        </w:tc>
        <w:tc>
          <w:tcPr>
            <w:tcW w:w="843" w:type="pct"/>
            <w:shd w:val="clear" w:color="auto" w:fill="auto"/>
            <w:vAlign w:val="center"/>
          </w:tcPr>
          <w:p w14:paraId="6D23779F">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5</w:t>
            </w:r>
          </w:p>
        </w:tc>
        <w:tc>
          <w:tcPr>
            <w:tcW w:w="910" w:type="pct"/>
            <w:shd w:val="clear" w:color="auto" w:fill="auto"/>
            <w:vAlign w:val="center"/>
          </w:tcPr>
          <w:p w14:paraId="3B296249">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16.8</w:t>
            </w:r>
          </w:p>
        </w:tc>
        <w:tc>
          <w:tcPr>
            <w:tcW w:w="819" w:type="pct"/>
            <w:shd w:val="clear" w:color="auto" w:fill="auto"/>
            <w:vAlign w:val="center"/>
          </w:tcPr>
          <w:p w14:paraId="00BD4E46">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3.36</w:t>
            </w:r>
          </w:p>
        </w:tc>
      </w:tr>
      <w:tr w14:paraId="177F9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 w:hRule="atLeast"/>
          <w:jc w:val="center"/>
        </w:trPr>
        <w:tc>
          <w:tcPr>
            <w:tcW w:w="1713" w:type="pct"/>
            <w:gridSpan w:val="2"/>
            <w:shd w:val="clear" w:color="auto" w:fill="auto"/>
            <w:vAlign w:val="center"/>
          </w:tcPr>
          <w:p w14:paraId="1022004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总计</w:t>
            </w:r>
          </w:p>
        </w:tc>
        <w:tc>
          <w:tcPr>
            <w:tcW w:w="2467" w:type="pct"/>
            <w:gridSpan w:val="3"/>
            <w:vAlign w:val="center"/>
          </w:tcPr>
          <w:p w14:paraId="3632C590">
            <w:pPr>
              <w:pStyle w:val="146"/>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i/>
                <w:iCs/>
                <w:color w:val="auto"/>
                <w:highlight w:val="none"/>
              </w:rPr>
              <w:t>Q</w:t>
            </w:r>
            <w:r>
              <w:rPr>
                <w:rFonts w:hint="default" w:ascii="Times New Roman" w:hAnsi="Times New Roman" w:eastAsia="宋体" w:cs="Times New Roman"/>
                <w:color w:val="auto"/>
                <w:highlight w:val="none"/>
              </w:rPr>
              <w:t>值Σ</w:t>
            </w:r>
          </w:p>
        </w:tc>
        <w:tc>
          <w:tcPr>
            <w:tcW w:w="819" w:type="pct"/>
            <w:shd w:val="clear" w:color="auto" w:fill="auto"/>
            <w:vAlign w:val="center"/>
          </w:tcPr>
          <w:p w14:paraId="5CCFCF89">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5.44</w:t>
            </w:r>
          </w:p>
        </w:tc>
      </w:tr>
    </w:tbl>
    <w:p w14:paraId="32726CEC">
      <w:pPr>
        <w:pStyle w:val="5"/>
        <w:spacing w:line="500" w:lineRule="exact"/>
        <w:rPr>
          <w:rFonts w:hint="default" w:ascii="Times New Roman" w:hAnsi="Times New Roman" w:cs="Times New Roman"/>
          <w:color w:val="auto"/>
          <w:highlight w:val="none"/>
        </w:rPr>
      </w:pPr>
      <w:bookmarkStart w:id="257" w:name="_Toc19930"/>
      <w:r>
        <w:rPr>
          <w:rFonts w:hint="default" w:ascii="Times New Roman" w:hAnsi="Times New Roman" w:cs="Times New Roman"/>
          <w:color w:val="auto"/>
          <w:highlight w:val="none"/>
        </w:rPr>
        <w:t>3.4.4清洁生产</w:t>
      </w:r>
      <w:bookmarkEnd w:id="254"/>
      <w:bookmarkEnd w:id="255"/>
      <w:bookmarkEnd w:id="256"/>
      <w:bookmarkEnd w:id="257"/>
    </w:p>
    <w:p w14:paraId="2F0A8C9A">
      <w:pPr>
        <w:pStyle w:val="67"/>
        <w:numPr>
          <w:ilvl w:val="0"/>
          <w:numId w:val="6"/>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生产工艺分析</w:t>
      </w:r>
    </w:p>
    <w:p w14:paraId="0191459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①选用优良新品种，有利于养殖业健康稳定，持续发展。</w:t>
      </w:r>
    </w:p>
    <w:p w14:paraId="1C605F4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②采取适度规模的集约化养殖方式，有利于采用能耗物耗小，污染物排放量少的清洁生产工艺，提高经济效益，提高环境质量。</w:t>
      </w:r>
    </w:p>
    <w:p w14:paraId="74C30EA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③养殖场设施完善，牛舍结构合理，设计和建设时将充分考虑环保的要求，牛舍里的粪便干法清除，牛尿通过管道收集处理。</w:t>
      </w:r>
    </w:p>
    <w:p w14:paraId="654D4F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④牛粪运至堆肥间采取好氧发酵工艺进行堆肥生产固体粪肥，施用于农田，实现粪便无害化。</w:t>
      </w:r>
    </w:p>
    <w:p w14:paraId="029FF74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⑤坚持农牧结合、种养平衡原则，严格根据土地对牛粪尿的消纳能力，控制养殖规模，做到畜禽养殖废水资源化利用，不向地表水体排放，以控制对环境的污染。</w:t>
      </w:r>
    </w:p>
    <w:p w14:paraId="729B30A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（2）资源能源利用情况分析</w:t>
      </w:r>
    </w:p>
    <w:p w14:paraId="2C7E8C3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按着国家有关节能技术规定，设计中对养殖各工序分别采取了相应的节能措施。厂区在设计过程中的主要节能措施如下所示。</w:t>
      </w:r>
    </w:p>
    <w:p w14:paraId="1DE0C80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①机电设备部分节能措施</w:t>
      </w:r>
    </w:p>
    <w:p w14:paraId="3FA8687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a设备选型力求与生产能力相匹配，以免造成设备的闲置与不必要的浪费。</w:t>
      </w:r>
    </w:p>
    <w:p w14:paraId="0C8504E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b电器设备均选用节能型设备，包括水泵、电机、灯具等，力求做到用电及电力系统合理匹配，从而降低能耗。</w:t>
      </w:r>
    </w:p>
    <w:p w14:paraId="20CA385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c供热设备选用效率高、能耗低的设备，管道敷设采用新型高效保温材料及施工方式，提高能源利用率。</w:t>
      </w:r>
    </w:p>
    <w:p w14:paraId="50131E9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d加强设备综合管理，对水、电等原料的使用，严格计量，提高设备运营效率。</w:t>
      </w:r>
    </w:p>
    <w:p w14:paraId="71EC176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②建筑部分节能措施</w:t>
      </w:r>
    </w:p>
    <w:p w14:paraId="03B019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主要建筑物等属民用建筑类，设计严格按照《严寒和寒冷地区居住建筑节能设计标准》（JGJ26-2018）执行。</w:t>
      </w:r>
    </w:p>
    <w:p w14:paraId="68245A1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在整个养殖过程中由于自动化较高，因此在能源方面较小型散养耗能较大，但从整体来看，单位产品的能耗却大大降低。</w:t>
      </w:r>
    </w:p>
    <w:p w14:paraId="7B85091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（3）产品指标分析</w:t>
      </w:r>
    </w:p>
    <w:p w14:paraId="0BF4EE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本工程规划养殖规模为</w:t>
      </w:r>
      <w:r>
        <w:rPr>
          <w:rFonts w:hint="default" w:ascii="Times New Roman" w:hAnsi="Times New Roman" w:eastAsia="宋体" w:cs="Times New Roman"/>
          <w:color w:val="auto"/>
          <w:highlight w:val="none"/>
          <w:lang w:val="en-US" w:eastAsia="zh-CN"/>
        </w:rPr>
        <w:t>年出栏</w:t>
      </w:r>
      <w:r>
        <w:rPr>
          <w:rFonts w:hint="eastAsia" w:eastAsia="宋体" w:cs="Times New Roman"/>
          <w:color w:val="auto"/>
          <w:highlight w:val="none"/>
          <w:lang w:val="en-US" w:eastAsia="zh-CN"/>
        </w:rPr>
        <w:t>1000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存栏</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000头肉牛</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黑尊牛（黑龙江）牧业科技有限公司</w:t>
      </w:r>
      <w:r>
        <w:rPr>
          <w:rFonts w:hint="default" w:ascii="Times New Roman" w:hAnsi="Times New Roman" w:eastAsia="宋体" w:cs="Times New Roman"/>
          <w:color w:val="auto"/>
          <w:highlight w:val="none"/>
        </w:rPr>
        <w:t>从肉牛的品种选择、养殖的厂址选择、养殖基础设施建设等多方面进行严格的考量，以确保肉牛的品质。</w:t>
      </w:r>
    </w:p>
    <w:p w14:paraId="212C958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（4）污染物产生情况分析</w:t>
      </w:r>
    </w:p>
    <w:p w14:paraId="42B35C5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①废水</w:t>
      </w:r>
    </w:p>
    <w:p w14:paraId="64168CF9">
      <w:pPr>
        <w:pStyle w:val="67"/>
        <w:ind w:firstLine="480"/>
        <w:rPr>
          <w:rFonts w:hint="default" w:ascii="Times New Roman" w:hAnsi="Times New Roman" w:eastAsia="宋体" w:cs="Times New Roman"/>
          <w:color w:val="auto"/>
          <w:highlight w:val="none"/>
        </w:rPr>
      </w:pPr>
      <w:bookmarkStart w:id="258" w:name="_Hlk479528944"/>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default" w:ascii="Times New Roman" w:hAnsi="Times New Roman" w:eastAsia="宋体" w:cs="Times New Roman"/>
          <w:color w:val="auto"/>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渗滤液与精料按比例配合饲喂肉牛，其味道酸甜，可促进食欲，但须随配随用，以免发霉。冬季不进行玉米秸秆青贮发酵生产，无渗滤液产生。</w:t>
      </w:r>
    </w:p>
    <w:bookmarkEnd w:id="258"/>
    <w:p w14:paraId="72D46BC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②固体废物</w:t>
      </w:r>
    </w:p>
    <w:p w14:paraId="7E95175C">
      <w:pPr>
        <w:pStyle w:val="6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eastAsia="zh-CN"/>
        </w:rPr>
        <w:t>废垫草垫料（含粪尿）产生量为</w:t>
      </w:r>
      <w:r>
        <w:rPr>
          <w:rFonts w:hint="eastAsia" w:cs="Times New Roman"/>
          <w:color w:val="auto"/>
          <w:sz w:val="24"/>
          <w:szCs w:val="24"/>
          <w:highlight w:val="none"/>
          <w:lang w:val="en-US" w:eastAsia="zh-CN"/>
        </w:rPr>
        <w:t>26018.2</w:t>
      </w:r>
      <w:r>
        <w:rPr>
          <w:rFonts w:hint="default" w:ascii="Times New Roman" w:hAnsi="Times New Roman" w:eastAsia="宋体" w:cs="Times New Roman"/>
          <w:color w:val="auto"/>
          <w:sz w:val="24"/>
          <w:szCs w:val="24"/>
          <w:highlight w:val="none"/>
          <w:lang w:val="en-US" w:eastAsia="zh-CN"/>
        </w:rPr>
        <w:t>t/a，属一般固体废物，根据《固体废物分类与代码目录》，废物种类为“SW82畜牧业废物”，代码为“030-001-S82”和“030-003-S82”。垫草垫料每个月清理更换一次，</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rPr>
        <w:t>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栏肉牛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头，则本项目正常死亡及普通疫病的病死牛约</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rPr>
        <w:t>头，每头牛重约</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00kg，</w:t>
      </w:r>
      <w:r>
        <w:rPr>
          <w:rFonts w:hint="eastAsia" w:eastAsia="宋体" w:cs="Times New Roman"/>
          <w:color w:val="auto"/>
          <w:highlight w:val="none"/>
          <w:lang w:val="en-US" w:eastAsia="zh-CN"/>
        </w:rPr>
        <w:t>7.0</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Cs w:val="24"/>
          <w:highlight w:val="none"/>
        </w:rPr>
        <w:t>根据《国家危险废物名录（2021</w:t>
      </w:r>
      <w:r>
        <w:rPr>
          <w:rFonts w:hint="default" w:ascii="Times New Roman" w:hAnsi="Times New Roman" w:eastAsia="宋体" w:cs="Times New Roman"/>
          <w:color w:val="auto"/>
          <w:highlight w:val="none"/>
        </w:rPr>
        <w:t>年版）</w:t>
      </w:r>
      <w:r>
        <w:rPr>
          <w:rFonts w:hint="default" w:ascii="Times New Roman" w:hAnsi="Times New Roman" w:eastAsia="宋体" w:cs="Times New Roman"/>
          <w:color w:val="auto"/>
          <w:szCs w:val="24"/>
          <w:highlight w:val="none"/>
        </w:rPr>
        <w:t>》病死牛不属于危废，病死牛的处置问题应根据我国《畜禽养殖业污染防治技术规划》（HJ/T81-2001）的固定采取焚烧炉焚烧或填埋的方法要求执行，防止周围环境产生污染，减少对人畜的健康问题，病死牛要及时处理，严禁随意丢弃，严禁出售或作为饲料再利用。本项目病死牛委托有资质单位进行无害化处理，满足《畜禽养殖业污染防治技术规划》（HJ/T81-2001）要求。</w:t>
      </w:r>
      <w:r>
        <w:rPr>
          <w:rFonts w:hint="default" w:ascii="Times New Roman" w:hAnsi="Times New Roman" w:eastAsia="宋体" w:cs="Times New Roman"/>
          <w:color w:val="auto"/>
          <w:highlight w:val="none"/>
        </w:rPr>
        <w:t>本项目拟定职工</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，生活垃圾产生量为0.5kg/人·天，则项目运行期间生活垃圾产生量为0.0</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14.6</w:t>
      </w:r>
      <w:r>
        <w:rPr>
          <w:rFonts w:hint="default" w:ascii="Times New Roman" w:hAnsi="Times New Roman" w:eastAsia="宋体" w:cs="Times New Roman"/>
          <w:color w:val="auto"/>
          <w:highlight w:val="none"/>
        </w:rPr>
        <w:t>t/a</w:t>
      </w:r>
      <w:r>
        <w:rPr>
          <w:rFonts w:hint="eastAsia" w:eastAsia="宋体" w:cs="Times New Roman"/>
          <w:color w:val="auto"/>
          <w:highlight w:val="none"/>
          <w:lang w:eastAsia="zh-CN"/>
        </w:rPr>
        <w:t>，</w:t>
      </w:r>
      <w:r>
        <w:rPr>
          <w:rFonts w:hint="eastAsia" w:eastAsia="宋体" w:cs="Times New Roman"/>
          <w:color w:val="auto"/>
          <w:highlight w:val="none"/>
          <w:lang w:val="en-US" w:eastAsia="zh-CN"/>
        </w:rPr>
        <w:t>由市政部门统一处理。堆肥间废活性炭产生量为23.35t/a，由厂家回收处理。</w:t>
      </w:r>
      <w:r>
        <w:rPr>
          <w:rFonts w:hint="default" w:ascii="Times New Roman" w:hAnsi="Times New Roman" w:eastAsia="宋体" w:cs="Times New Roman"/>
          <w:color w:val="auto"/>
          <w:highlight w:val="none"/>
        </w:rPr>
        <w:t>本项目产生医疗废物</w:t>
      </w:r>
      <w:r>
        <w:rPr>
          <w:rFonts w:hint="default" w:ascii="Times New Roman" w:hAnsi="Times New Roman" w:eastAsia="宋体" w:cs="Times New Roman"/>
          <w:color w:val="auto"/>
          <w:highlight w:val="none"/>
          <w:lang w:eastAsia="zh-CN"/>
        </w:rPr>
        <w:t>1.5</w:t>
      </w:r>
      <w:r>
        <w:rPr>
          <w:rFonts w:hint="default" w:ascii="Times New Roman" w:hAnsi="Times New Roman" w:eastAsia="宋体" w:cs="Times New Roman"/>
          <w:color w:val="auto"/>
          <w:highlight w:val="none"/>
        </w:rPr>
        <w:t>t/a。专用容器桶进行收集后暂存于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；处置：定期交有资质单位处理</w:t>
      </w:r>
      <w:r>
        <w:rPr>
          <w:rFonts w:hint="eastAsia" w:ascii="Times New Roman" w:hAnsi="Times New Roman" w:eastAsia="宋体" w:cs="Times New Roman"/>
          <w:color w:val="auto"/>
          <w:highlight w:val="none"/>
          <w:lang w:eastAsia="zh-CN"/>
        </w:rPr>
        <w:t>。</w:t>
      </w:r>
    </w:p>
    <w:p w14:paraId="0319D5F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bCs/>
          <w:iCs/>
          <w:color w:val="auto"/>
          <w:szCs w:val="28"/>
          <w:highlight w:val="none"/>
        </w:rPr>
        <w:t>固体废物处置率达到100%</w:t>
      </w:r>
      <w:r>
        <w:rPr>
          <w:rFonts w:hint="default" w:ascii="Times New Roman" w:hAnsi="Times New Roman" w:eastAsia="宋体" w:cs="Times New Roman"/>
          <w:color w:val="auto"/>
          <w:highlight w:val="none"/>
        </w:rPr>
        <w:t>，产生良好的经济效益和社会效益，符合循环经济和清洁生产要求。</w:t>
      </w:r>
    </w:p>
    <w:p w14:paraId="58F5379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（5）废物处理与综合利用指标分析</w:t>
      </w:r>
    </w:p>
    <w:p w14:paraId="1786576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本项目建成后</w:t>
      </w:r>
      <w:r>
        <w:rPr>
          <w:rFonts w:hint="eastAsia" w:eastAsia="宋体" w:cs="Times New Roman"/>
          <w:color w:val="auto"/>
          <w:highlight w:val="none"/>
          <w:lang w:val="en-US" w:eastAsia="zh-CN"/>
        </w:rPr>
        <w:t>含粪污</w:t>
      </w:r>
      <w:r>
        <w:rPr>
          <w:rFonts w:hint="default" w:ascii="Times New Roman" w:hAnsi="Times New Roman" w:eastAsia="宋体" w:cs="Times New Roman"/>
          <w:color w:val="auto"/>
          <w:highlight w:val="none"/>
          <w:lang w:val="en-US" w:eastAsia="zh-CN"/>
        </w:rPr>
        <w:t>废垫料</w:t>
      </w:r>
      <w:r>
        <w:rPr>
          <w:rFonts w:hint="default" w:ascii="Times New Roman" w:hAnsi="Times New Roman" w:eastAsia="宋体" w:cs="Times New Roman"/>
          <w:color w:val="auto"/>
          <w:highlight w:val="none"/>
        </w:rPr>
        <w:t>运至堆肥间进行好氧</w:t>
      </w:r>
      <w:r>
        <w:rPr>
          <w:rFonts w:hint="default" w:ascii="Times New Roman" w:hAnsi="Times New Roman" w:eastAsia="宋体" w:cs="Times New Roman"/>
          <w:snapToGrid/>
          <w:color w:val="auto"/>
          <w:highlight w:val="none"/>
        </w:rPr>
        <w:t>堆肥生产固体粪肥，施用于农田</w:t>
      </w:r>
      <w:r>
        <w:rPr>
          <w:rFonts w:hint="default" w:ascii="Times New Roman" w:hAnsi="Times New Roman" w:eastAsia="宋体" w:cs="Times New Roman"/>
          <w:color w:val="auto"/>
          <w:highlight w:val="none"/>
        </w:rPr>
        <w:t>；医疗废物暂存于危险废物贮存库，定期交由有资质的单位处理；生活垃圾及时清运，由市政部门统一处理，</w:t>
      </w:r>
      <w:r>
        <w:rPr>
          <w:rFonts w:hint="eastAsia" w:eastAsia="宋体" w:cs="Times New Roman"/>
          <w:color w:val="auto"/>
          <w:highlight w:val="none"/>
          <w:lang w:val="en-US" w:eastAsia="zh-CN"/>
        </w:rPr>
        <w:t>废活性炭由厂家回收处理。</w:t>
      </w:r>
      <w:r>
        <w:rPr>
          <w:rFonts w:hint="default" w:ascii="Times New Roman" w:hAnsi="Times New Roman" w:eastAsia="宋体" w:cs="Times New Roman"/>
          <w:color w:val="auto"/>
          <w:highlight w:val="none"/>
        </w:rPr>
        <w:t>可实现固废100%综合利用。</w:t>
      </w:r>
    </w:p>
    <w:p w14:paraId="19E465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（6）环境管理分析</w:t>
      </w:r>
    </w:p>
    <w:p w14:paraId="028730F8">
      <w:pPr>
        <w:pStyle w:val="67"/>
        <w:ind w:firstLine="480"/>
        <w:rPr>
          <w:rFonts w:hint="default" w:ascii="Times New Roman" w:hAnsi="Times New Roman" w:eastAsia="宋体" w:cs="Times New Roman"/>
          <w:color w:val="auto"/>
          <w:szCs w:val="28"/>
          <w:highlight w:val="none"/>
          <w:lang w:val="en-GB"/>
        </w:rPr>
      </w:pPr>
      <w:r>
        <w:rPr>
          <w:rFonts w:hint="default" w:ascii="Times New Roman" w:hAnsi="Times New Roman" w:eastAsia="宋体" w:cs="Times New Roman"/>
          <w:color w:val="auto"/>
          <w:highlight w:val="none"/>
        </w:rPr>
        <w:t>本项目各生产环节均符合国家和地方有关法律、法规，污染物排放达到国家、地方和行业现行排放标准、总量控制和排放许可证要求；养殖废物进行无害化处理；养殖过程进行严格的管理，各岗位需进行清洁生产相关内容的培训，完善管理制度并严格执行，规定严格的检验、计量措施、统计原始记录；为了环境保护的目的，对本项目施工期间和运营期，对于原料供应商、生产协作方等相关方的行为提出相应的环保要求，双方明确各自环境管理程序。</w:t>
      </w:r>
    </w:p>
    <w:p w14:paraId="19A96DE4">
      <w:pPr>
        <w:pStyle w:val="67"/>
        <w:ind w:firstLine="480"/>
        <w:rPr>
          <w:rFonts w:hint="default" w:ascii="Times New Roman" w:hAnsi="Times New Roman" w:eastAsia="宋体" w:cs="Times New Roman"/>
          <w:color w:val="auto"/>
          <w:szCs w:val="28"/>
          <w:highlight w:val="none"/>
          <w:lang w:val="en-GB"/>
        </w:rPr>
      </w:pPr>
      <w:r>
        <w:rPr>
          <w:rFonts w:hint="default" w:ascii="Times New Roman" w:hAnsi="Times New Roman" w:eastAsia="宋体" w:cs="Times New Roman"/>
          <w:color w:val="auto"/>
          <w:szCs w:val="28"/>
          <w:highlight w:val="none"/>
          <w:lang w:val="en-GB"/>
        </w:rPr>
        <w:t>（7）清洁生产结论</w:t>
      </w:r>
    </w:p>
    <w:p w14:paraId="5D1D117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清洁生产处于国内先进水平，考虑到清洁生产是以节能、降耗、减污为主要目标，以技术、管理为手段，通过产品的开发设计、原料的充分使用、良好的企业管理、合理的工艺流程、有效的物料循环以及综合利用等途径，实现养殖生产中包括生产、产品和消费的全过程控制，使污染物的产生量和排放量最小化的一种综合性措施。在养殖过程中应加强环境管理，发挥环保职能，使各项环保措施得到充分的发挥和利用。此外，在项目运营过程中，应强化企业管理，提高生产管理水平及环境管理水平，在实践中不断地改进工艺技术、最大限度地提高资源、能源的利用水平和改变产品体系，采取养殖工艺过程控制与末端治理相结合的污染防治措施。</w:t>
      </w:r>
    </w:p>
    <w:p w14:paraId="72EDD5A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在项目实施的各个阶段应加强监督及环保措施、及时监测各污染物排放浓度变化情况，保证污染物达标排放，对环境影响较小，可以实现废物的“无害化、资源化，减量化”的清洁生产原则。</w:t>
      </w:r>
    </w:p>
    <w:p w14:paraId="6C2CD0E7">
      <w:pPr>
        <w:pStyle w:val="67"/>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bookmarkEnd w:id="43"/>
    <w:p w14:paraId="17F4048D">
      <w:pPr>
        <w:pStyle w:val="3"/>
        <w:spacing w:line="500" w:lineRule="exact"/>
        <w:rPr>
          <w:rFonts w:hint="default" w:ascii="Times New Roman" w:hAnsi="Times New Roman" w:cs="Times New Roman"/>
          <w:color w:val="auto"/>
          <w:highlight w:val="none"/>
        </w:rPr>
      </w:pPr>
      <w:bookmarkStart w:id="259" w:name="_Toc4441"/>
      <w:bookmarkStart w:id="260" w:name="_Toc7338888"/>
      <w:bookmarkStart w:id="261" w:name="_Toc57713655"/>
      <w:bookmarkStart w:id="262" w:name="_Toc75075744"/>
      <w:bookmarkStart w:id="263" w:name="_Toc75075806"/>
      <w:bookmarkStart w:id="264" w:name="_Toc45678581"/>
      <w:bookmarkStart w:id="265" w:name="_Toc480447669"/>
      <w:bookmarkStart w:id="266" w:name="_Toc371751574"/>
      <w:bookmarkStart w:id="267" w:name="_Toc486255081"/>
      <w:bookmarkStart w:id="268" w:name="_Toc415146701"/>
      <w:r>
        <w:rPr>
          <w:rFonts w:hint="default" w:ascii="Times New Roman" w:hAnsi="Times New Roman" w:cs="Times New Roman"/>
          <w:color w:val="auto"/>
          <w:highlight w:val="none"/>
        </w:rPr>
        <w:t>4环境现状调查与评价</w:t>
      </w:r>
      <w:bookmarkEnd w:id="259"/>
      <w:bookmarkEnd w:id="260"/>
      <w:bookmarkEnd w:id="261"/>
    </w:p>
    <w:p w14:paraId="6529597D">
      <w:pPr>
        <w:pStyle w:val="4"/>
        <w:rPr>
          <w:rFonts w:hint="default" w:ascii="Times New Roman" w:hAnsi="Times New Roman" w:cs="Times New Roman"/>
          <w:color w:val="auto"/>
          <w:highlight w:val="none"/>
        </w:rPr>
      </w:pPr>
      <w:bookmarkStart w:id="269" w:name="_Toc7338889"/>
      <w:bookmarkStart w:id="270" w:name="_Toc6628"/>
      <w:bookmarkStart w:id="271" w:name="_Toc475378598"/>
      <w:bookmarkStart w:id="272" w:name="_Toc57713656"/>
      <w:bookmarkStart w:id="273" w:name="_Toc255391947"/>
      <w:bookmarkStart w:id="274" w:name="_Toc127950100"/>
      <w:bookmarkStart w:id="275" w:name="_Toc472590896"/>
      <w:bookmarkStart w:id="276" w:name="_Toc296952023"/>
      <w:bookmarkStart w:id="277" w:name="_Toc449393546"/>
      <w:bookmarkStart w:id="278" w:name="_Toc101092159"/>
      <w:bookmarkStart w:id="279" w:name="_Toc472585619"/>
      <w:r>
        <w:rPr>
          <w:rFonts w:hint="default" w:ascii="Times New Roman" w:hAnsi="Times New Roman" w:cs="Times New Roman"/>
          <w:color w:val="auto"/>
          <w:highlight w:val="none"/>
        </w:rPr>
        <w:t>4.1环境现状调查</w:t>
      </w:r>
      <w:bookmarkEnd w:id="269"/>
      <w:bookmarkEnd w:id="270"/>
      <w:bookmarkEnd w:id="271"/>
      <w:bookmarkEnd w:id="272"/>
    </w:p>
    <w:p w14:paraId="2683BB4B">
      <w:pPr>
        <w:pStyle w:val="5"/>
        <w:spacing w:line="500" w:lineRule="exact"/>
        <w:rPr>
          <w:rFonts w:hint="default" w:ascii="Times New Roman" w:hAnsi="Times New Roman" w:cs="Times New Roman"/>
          <w:color w:val="auto"/>
          <w:highlight w:val="none"/>
        </w:rPr>
      </w:pPr>
      <w:bookmarkStart w:id="280" w:name="_Toc57713657"/>
      <w:bookmarkStart w:id="281" w:name="_Toc7338890"/>
      <w:bookmarkStart w:id="282" w:name="_Toc29407"/>
      <w:r>
        <w:rPr>
          <w:rFonts w:hint="default" w:ascii="Times New Roman" w:hAnsi="Times New Roman" w:cs="Times New Roman"/>
          <w:color w:val="auto"/>
          <w:highlight w:val="none"/>
        </w:rPr>
        <w:t>4.1.1自然环境</w:t>
      </w:r>
      <w:bookmarkEnd w:id="273"/>
      <w:bookmarkEnd w:id="274"/>
      <w:bookmarkEnd w:id="275"/>
      <w:bookmarkEnd w:id="276"/>
      <w:bookmarkEnd w:id="277"/>
      <w:bookmarkEnd w:id="278"/>
      <w:bookmarkEnd w:id="279"/>
      <w:bookmarkEnd w:id="280"/>
      <w:bookmarkEnd w:id="281"/>
      <w:bookmarkEnd w:id="282"/>
      <w:bookmarkStart w:id="283" w:name="_Toc244330526"/>
      <w:bookmarkStart w:id="284" w:name="_Toc244329286"/>
      <w:bookmarkStart w:id="285" w:name="_Toc422224741"/>
      <w:bookmarkStart w:id="286" w:name="_Toc244330360"/>
      <w:bookmarkStart w:id="287" w:name="_Toc402352943"/>
    </w:p>
    <w:p w14:paraId="5551708E">
      <w:pPr>
        <w:pStyle w:val="6"/>
        <w:pageBreakBefore w:val="0"/>
        <w:kinsoku/>
        <w:wordWrap/>
        <w:overflowPunct/>
        <w:topLinePunct w:val="0"/>
        <w:autoSpaceDE/>
        <w:autoSpaceDN/>
        <w:bidi w:val="0"/>
        <w:spacing w:line="500" w:lineRule="atLeast"/>
        <w:textAlignment w:val="auto"/>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4.1.1.1地理位置</w:t>
      </w:r>
      <w:bookmarkEnd w:id="283"/>
      <w:bookmarkEnd w:id="284"/>
      <w:bookmarkEnd w:id="285"/>
      <w:bookmarkEnd w:id="286"/>
      <w:bookmarkEnd w:id="287"/>
    </w:p>
    <w:p w14:paraId="5A8097E6">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288" w:name="_Toc244330363"/>
      <w:bookmarkStart w:id="289" w:name="_Toc402352952"/>
      <w:bookmarkStart w:id="290" w:name="_Toc472590898"/>
      <w:bookmarkStart w:id="291" w:name="_Toc244329289"/>
      <w:bookmarkStart w:id="292" w:name="_Toc422224750"/>
      <w:bookmarkStart w:id="293" w:name="_Toc472585621"/>
      <w:bookmarkStart w:id="294" w:name="_Toc244330529"/>
      <w:bookmarkStart w:id="295" w:name="_Toc449393548"/>
      <w:bookmarkStart w:id="296" w:name="_Toc7338891"/>
      <w:bookmarkStart w:id="297" w:name="_Toc57713658"/>
      <w:r>
        <w:rPr>
          <w:rFonts w:hint="default" w:ascii="Times New Roman" w:hAnsi="Times New Roman" w:cs="Times New Roman"/>
          <w:color w:val="auto"/>
          <w:highlight w:val="none"/>
        </w:rPr>
        <w:t>孙吴县位于东经126°40´—128°，北纬48°59´—49°42´，地处黑龙江省北部、黑河市中部，小兴安岭北麓，北邻黑河市爱辉区，南接五大连池市，西连嫩江市，东与逊克县毗邻，是黑河市的重要交通枢纽。边境线长35公里，与俄罗斯阿穆尔州的康斯坦丁诺夫卡区隔黑龙江相望。全县总面积 4318.9 平方公里。距省城黑河市 500公里，距黑河市爱辉区110公里，是黑河市三个口岸市县之一。</w:t>
      </w:r>
    </w:p>
    <w:p w14:paraId="3BE69FD5">
      <w:pPr>
        <w:pStyle w:val="2"/>
        <w:ind w:left="0" w:leftChars="0" w:firstLine="0" w:firstLineChars="0"/>
        <w:rPr>
          <w:rFonts w:hint="default" w:ascii="Times New Roman" w:hAnsi="Times New Roman" w:cs="Times New Roman"/>
          <w:color w:val="auto"/>
          <w:highlight w:val="none"/>
        </w:rPr>
      </w:pPr>
      <w:r>
        <w:rPr>
          <w:color w:val="auto"/>
          <w:highlight w:val="none"/>
        </w:rPr>
        <w:drawing>
          <wp:anchor distT="0" distB="0" distL="114300" distR="114300" simplePos="0" relativeHeight="251732992" behindDoc="0" locked="0" layoutInCell="1" allowOverlap="1">
            <wp:simplePos x="0" y="0"/>
            <wp:positionH relativeFrom="column">
              <wp:posOffset>4909820</wp:posOffset>
            </wp:positionH>
            <wp:positionV relativeFrom="paragraph">
              <wp:posOffset>8255</wp:posOffset>
            </wp:positionV>
            <wp:extent cx="373380" cy="389890"/>
            <wp:effectExtent l="0" t="0" r="7620" b="10160"/>
            <wp:wrapNone/>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40"/>
                    <a:stretch>
                      <a:fillRect/>
                    </a:stretch>
                  </pic:blipFill>
                  <pic:spPr>
                    <a:xfrm>
                      <a:off x="0" y="0"/>
                      <a:ext cx="373380" cy="38989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1704975</wp:posOffset>
                </wp:positionH>
                <wp:positionV relativeFrom="paragraph">
                  <wp:posOffset>786130</wp:posOffset>
                </wp:positionV>
                <wp:extent cx="934720" cy="260350"/>
                <wp:effectExtent l="6350" t="6350" r="125730" b="323850"/>
                <wp:wrapNone/>
                <wp:docPr id="34" name="矩形标注 34"/>
                <wp:cNvGraphicFramePr/>
                <a:graphic xmlns:a="http://schemas.openxmlformats.org/drawingml/2006/main">
                  <a:graphicData uri="http://schemas.microsoft.com/office/word/2010/wordprocessingShape">
                    <wps:wsp>
                      <wps:cNvSpPr/>
                      <wps:spPr>
                        <a:xfrm>
                          <a:off x="3131820" y="4601210"/>
                          <a:ext cx="934720" cy="260350"/>
                        </a:xfrm>
                        <a:prstGeom prst="wedgeRectCallout">
                          <a:avLst>
                            <a:gd name="adj1" fmla="val 58695"/>
                            <a:gd name="adj2" fmla="val 158780"/>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txbx>
                        <w:txbxContent>
                          <w:p w14:paraId="357B8CC0">
                            <w:pPr>
                              <w:ind w:left="0" w:leftChars="0" w:firstLine="0" w:firstLineChars="0"/>
                              <w:jc w:val="center"/>
                              <w:rPr>
                                <w:rFonts w:hint="default" w:eastAsia="宋体"/>
                                <w:sz w:val="21"/>
                                <w:szCs w:val="20"/>
                                <w:lang w:val="en-US" w:eastAsia="zh-CN"/>
                              </w:rPr>
                            </w:pPr>
                            <w:r>
                              <w:rPr>
                                <w:rFonts w:hint="eastAsia"/>
                                <w:color w:val="000000" w:themeColor="text1"/>
                                <w:sz w:val="21"/>
                                <w:szCs w:val="20"/>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4.25pt;margin-top:61.9pt;height:20.5pt;width:73.6pt;z-index:251731968;v-text-anchor:middle;mso-width-relative:page;mso-height-relative:page;" filled="f" stroked="t" coordsize="21600,21600" o:gfxdata="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KXKUDHYAAAACwEAAA8AAAAAAAAAAQAgAAAAIgAAAGRycy9kb3ducmV2LnhtbFBL&#10;AQIUABQAAAAIAIdO4kDAcnbSEwMAAC8GAAAOAAAAAAAAAAEAIAAAACcBAABkcnMvZTJvRG9jLnht&#10;bFBLBQYAAAAABgAGAFkBAACsBgAAAAA=&#10;" adj="23478,45096">
                <v:fill on="f" focussize="0,0"/>
                <v:stroke weight="1pt" color="#FF0000 [2404]" miterlimit="8" joinstyle="miter"/>
                <v:imagedata o:title=""/>
                <o:lock v:ext="edit" aspectratio="f"/>
                <v:textbox>
                  <w:txbxContent>
                    <w:p w14:paraId="357B8CC0">
                      <w:pPr>
                        <w:ind w:left="0" w:leftChars="0" w:firstLine="0" w:firstLineChars="0"/>
                        <w:jc w:val="center"/>
                        <w:rPr>
                          <w:rFonts w:hint="default" w:eastAsia="宋体"/>
                          <w:sz w:val="21"/>
                          <w:szCs w:val="20"/>
                          <w:lang w:val="en-US" w:eastAsia="zh-CN"/>
                        </w:rPr>
                      </w:pPr>
                      <w:r>
                        <w:rPr>
                          <w:rFonts w:hint="eastAsia"/>
                          <w:color w:val="000000" w:themeColor="text1"/>
                          <w:sz w:val="21"/>
                          <w:szCs w:val="20"/>
                          <w:lang w:val="en-US" w:eastAsia="zh-CN"/>
                          <w14:textFill>
                            <w14:solidFill>
                              <w14:schemeClr w14:val="tx1"/>
                            </w14:solidFill>
                          </w14:textFill>
                        </w:rPr>
                        <w:t>本项目位置</w:t>
                      </w:r>
                    </w:p>
                  </w:txbxContent>
                </v:textbox>
              </v:shape>
            </w:pict>
          </mc:Fallback>
        </mc:AlternateContent>
      </w:r>
      <w:r>
        <w:rPr>
          <w:color w:val="auto"/>
          <w:highlight w:val="none"/>
        </w:rPr>
        <w:drawing>
          <wp:inline distT="0" distB="0" distL="114300" distR="114300">
            <wp:extent cx="5273040" cy="3088005"/>
            <wp:effectExtent l="0" t="0" r="3810" b="1714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41"/>
                    <a:stretch>
                      <a:fillRect/>
                    </a:stretch>
                  </pic:blipFill>
                  <pic:spPr>
                    <a:xfrm>
                      <a:off x="0" y="0"/>
                      <a:ext cx="5273040" cy="3088005"/>
                    </a:xfrm>
                    <a:prstGeom prst="rect">
                      <a:avLst/>
                    </a:prstGeom>
                    <a:noFill/>
                    <a:ln>
                      <a:noFill/>
                    </a:ln>
                  </pic:spPr>
                </pic:pic>
              </a:graphicData>
            </a:graphic>
          </wp:inline>
        </w:drawing>
      </w:r>
    </w:p>
    <w:p w14:paraId="0EB9900C">
      <w:pPr>
        <w:pStyle w:val="21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图4.1-1项目地理位置图</w:t>
      </w:r>
    </w:p>
    <w:p w14:paraId="64B6E837">
      <w:pPr>
        <w:pStyle w:val="6"/>
        <w:pageBreakBefore w:val="0"/>
        <w:kinsoku/>
        <w:wordWrap/>
        <w:overflowPunct/>
        <w:topLinePunct w:val="0"/>
        <w:autoSpaceDE/>
        <w:autoSpaceDN/>
        <w:bidi w:val="0"/>
        <w:spacing w:line="500" w:lineRule="atLeast"/>
        <w:textAlignment w:val="auto"/>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4.1.1.</w:t>
      </w:r>
      <w:r>
        <w:rPr>
          <w:rFonts w:hint="default" w:ascii="Times New Roman" w:hAnsi="Times New Roman" w:cs="Times New Roman"/>
          <w:snapToGrid w:val="0"/>
          <w:color w:val="auto"/>
          <w:highlight w:val="none"/>
          <w:lang w:val="en-US"/>
        </w:rPr>
        <w:t>2地形地貌</w:t>
      </w:r>
    </w:p>
    <w:p w14:paraId="0EB14BFD">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298" w:name="_Toc241292978"/>
      <w:r>
        <w:rPr>
          <w:rFonts w:hint="default" w:ascii="Times New Roman" w:hAnsi="Times New Roman" w:cs="Times New Roman"/>
          <w:color w:val="auto"/>
          <w:highlight w:val="none"/>
        </w:rPr>
        <w:t>孙吴县属于低山丘陵区，海拔在110—755米之间，地势南部和西部高，北部和东部低，由西南向东北逐渐倾斜。地貌分区较明显，西部为低山沟谷区，中部为丘陵河谷地区，东北部为沿江平原。</w:t>
      </w:r>
    </w:p>
    <w:p w14:paraId="0313F3B9">
      <w:pPr>
        <w:pStyle w:val="2"/>
        <w:ind w:left="0" w:leftChars="0" w:firstLine="0" w:firstLineChars="0"/>
        <w:rPr>
          <w:color w:val="auto"/>
          <w:highlight w:val="none"/>
        </w:rPr>
      </w:pPr>
      <w:r>
        <w:rPr>
          <w:color w:val="auto"/>
          <w:highlight w:val="none"/>
        </w:rPr>
        <w:drawing>
          <wp:anchor distT="0" distB="0" distL="114300" distR="114300" simplePos="0" relativeHeight="251734016" behindDoc="0" locked="0" layoutInCell="1" allowOverlap="1">
            <wp:simplePos x="0" y="0"/>
            <wp:positionH relativeFrom="column">
              <wp:posOffset>4901565</wp:posOffset>
            </wp:positionH>
            <wp:positionV relativeFrom="paragraph">
              <wp:posOffset>-1270</wp:posOffset>
            </wp:positionV>
            <wp:extent cx="373380" cy="389890"/>
            <wp:effectExtent l="0" t="0" r="7620" b="10160"/>
            <wp:wrapNone/>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40"/>
                    <a:stretch>
                      <a:fillRect/>
                    </a:stretch>
                  </pic:blipFill>
                  <pic:spPr>
                    <a:xfrm>
                      <a:off x="0" y="0"/>
                      <a:ext cx="373380" cy="38989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4312285</wp:posOffset>
                </wp:positionH>
                <wp:positionV relativeFrom="paragraph">
                  <wp:posOffset>2799080</wp:posOffset>
                </wp:positionV>
                <wp:extent cx="225425" cy="182245"/>
                <wp:effectExtent l="13970" t="13970" r="27305" b="32385"/>
                <wp:wrapNone/>
                <wp:docPr id="88" name="矩形 88"/>
                <wp:cNvGraphicFramePr/>
                <a:graphic xmlns:a="http://schemas.openxmlformats.org/drawingml/2006/main">
                  <a:graphicData uri="http://schemas.microsoft.com/office/word/2010/wordprocessingShape">
                    <wps:wsp>
                      <wps:cNvSpPr/>
                      <wps:spPr>
                        <a:xfrm>
                          <a:off x="5494655" y="7840980"/>
                          <a:ext cx="225425" cy="182245"/>
                        </a:xfrm>
                        <a:prstGeom prst="rect">
                          <a:avLst/>
                        </a:prstGeom>
                        <a:solidFill>
                          <a:srgbClr val="EFBFBA"/>
                        </a:solid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9.55pt;margin-top:220.4pt;height:14.35pt;width:17.75pt;z-index:251719680;v-text-anchor:middle;mso-width-relative:page;mso-height-relative:page;" fillcolor="#EFBFBA" filled="t" stroked="t" coordsize="21600,21600" o:gfxdata="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5664LaAAAACwEAAA8AAAAAAAAA&#10;AQAgAAAAIgAAAGRycy9kb3ducmV2LnhtbFBLAQIUABQAAAAIAIdO4kAAcnxdgQIAAAEFAAAOAAAA&#10;AAAAAAEAIAAAACkBAABkcnMvZTJvRG9jLnhtbFBLBQYAAAAABgAGAFkBAAAcBgAAAAA=&#10;">
                <v:fill on="t" focussize="0,0"/>
                <v:stroke weight="2.25pt" color="#FF0000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4216400</wp:posOffset>
                </wp:positionH>
                <wp:positionV relativeFrom="paragraph">
                  <wp:posOffset>2478405</wp:posOffset>
                </wp:positionV>
                <wp:extent cx="1046480" cy="606425"/>
                <wp:effectExtent l="4445" t="4445" r="15875" b="17780"/>
                <wp:wrapNone/>
                <wp:docPr id="87" name="文本框 87"/>
                <wp:cNvGraphicFramePr/>
                <a:graphic xmlns:a="http://schemas.openxmlformats.org/drawingml/2006/main">
                  <a:graphicData uri="http://schemas.microsoft.com/office/word/2010/wordprocessingShape">
                    <wps:wsp>
                      <wps:cNvSpPr txBox="1"/>
                      <wps:spPr>
                        <a:xfrm>
                          <a:off x="5555615" y="7408545"/>
                          <a:ext cx="1046480" cy="606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6D11176">
                            <w:pPr>
                              <w:ind w:left="0" w:leftChars="0" w:firstLine="0" w:firstLineChars="0"/>
                              <w:jc w:val="center"/>
                              <w:rPr>
                                <w:rFonts w:hint="eastAsia"/>
                                <w:sz w:val="21"/>
                                <w:szCs w:val="20"/>
                                <w:lang w:val="en-US" w:eastAsia="zh-CN"/>
                              </w:rPr>
                            </w:pPr>
                            <w:r>
                              <w:rPr>
                                <w:rFonts w:hint="eastAsia"/>
                                <w:sz w:val="21"/>
                                <w:szCs w:val="20"/>
                                <w:lang w:val="en-US" w:eastAsia="zh-CN"/>
                              </w:rPr>
                              <w:t>图例</w:t>
                            </w:r>
                          </w:p>
                          <w:p w14:paraId="67938179">
                            <w:pPr>
                              <w:pStyle w:val="2"/>
                              <w:rPr>
                                <w:rFonts w:hint="default"/>
                                <w:lang w:val="en-US" w:eastAsia="zh-CN"/>
                              </w:rPr>
                            </w:pPr>
                            <w:r>
                              <w:rPr>
                                <w:rFonts w:hint="eastAsia"/>
                                <w:sz w:val="21"/>
                                <w:szCs w:val="20"/>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pt;margin-top:195.15pt;height:47.75pt;width:82.4pt;z-index:251718656;mso-width-relative:page;mso-height-relative:page;" fillcolor="#FFFFFF [3201]" filled="t" stroked="t" coordsize="21600,21600" o:gfxdata="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yMQHG2AAAAAsBAAAPAAAAAAAAAAEAIAAAACIAAABkcnMvZG93bnJldi54bWxQSwEC&#10;FAAUAAAACACHTuJAY3wxiWYCAADFBAAADgAAAAAAAAABACAAAAAnAQAAZHJzL2Uyb0RvYy54bWxQ&#10;SwUGAAAAAAYABgBZAQAA/wUAAAAA&#10;">
                <v:fill on="t" focussize="0,0"/>
                <v:stroke weight="0.5pt" color="#000000 [3204]" joinstyle="round"/>
                <v:imagedata o:title=""/>
                <o:lock v:ext="edit" aspectratio="f"/>
                <v:textbox>
                  <w:txbxContent>
                    <w:p w14:paraId="56D11176">
                      <w:pPr>
                        <w:ind w:left="0" w:leftChars="0" w:firstLine="0" w:firstLineChars="0"/>
                        <w:jc w:val="center"/>
                        <w:rPr>
                          <w:rFonts w:hint="eastAsia"/>
                          <w:sz w:val="21"/>
                          <w:szCs w:val="20"/>
                          <w:lang w:val="en-US" w:eastAsia="zh-CN"/>
                        </w:rPr>
                      </w:pPr>
                      <w:r>
                        <w:rPr>
                          <w:rFonts w:hint="eastAsia"/>
                          <w:sz w:val="21"/>
                          <w:szCs w:val="20"/>
                          <w:lang w:val="en-US" w:eastAsia="zh-CN"/>
                        </w:rPr>
                        <w:t>图例</w:t>
                      </w:r>
                    </w:p>
                    <w:p w14:paraId="67938179">
                      <w:pPr>
                        <w:pStyle w:val="2"/>
                        <w:rPr>
                          <w:rFonts w:hint="default"/>
                          <w:lang w:val="en-US" w:eastAsia="zh-CN"/>
                        </w:rPr>
                      </w:pPr>
                      <w:r>
                        <w:rPr>
                          <w:rFonts w:hint="eastAsia"/>
                          <w:sz w:val="21"/>
                          <w:szCs w:val="20"/>
                          <w:lang w:val="en-US" w:eastAsia="zh-CN"/>
                        </w:rPr>
                        <w:t>：本项目</w:t>
                      </w:r>
                    </w:p>
                  </w:txbxContent>
                </v:textbox>
              </v:shape>
            </w:pict>
          </mc:Fallback>
        </mc:AlternateContent>
      </w:r>
      <w:r>
        <w:rPr>
          <w:color w:val="auto"/>
          <w:highlight w:val="none"/>
        </w:rPr>
        <w:drawing>
          <wp:anchor distT="0" distB="0" distL="114300" distR="114300" simplePos="0" relativeHeight="251717632" behindDoc="0" locked="0" layoutInCell="1" allowOverlap="1">
            <wp:simplePos x="0" y="0"/>
            <wp:positionH relativeFrom="column">
              <wp:posOffset>10160</wp:posOffset>
            </wp:positionH>
            <wp:positionV relativeFrom="paragraph">
              <wp:posOffset>2950210</wp:posOffset>
            </wp:positionV>
            <wp:extent cx="481330" cy="126365"/>
            <wp:effectExtent l="0" t="0" r="13970" b="6985"/>
            <wp:wrapNone/>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42"/>
                    <a:stretch>
                      <a:fillRect/>
                    </a:stretch>
                  </pic:blipFill>
                  <pic:spPr>
                    <a:xfrm>
                      <a:off x="0" y="0"/>
                      <a:ext cx="481330" cy="126365"/>
                    </a:xfrm>
                    <a:prstGeom prst="rect">
                      <a:avLst/>
                    </a:prstGeom>
                    <a:noFill/>
                    <a:ln>
                      <a:noFill/>
                    </a:ln>
                  </pic:spPr>
                </pic:pic>
              </a:graphicData>
            </a:graphic>
          </wp:anchor>
        </w:drawing>
      </w:r>
      <w:r>
        <w:rPr>
          <w:color w:val="auto"/>
          <w:highlight w:val="none"/>
        </w:rPr>
        <w:drawing>
          <wp:inline distT="0" distB="0" distL="114300" distR="114300">
            <wp:extent cx="5268595" cy="3078480"/>
            <wp:effectExtent l="0" t="0" r="8255" b="762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43"/>
                    <a:stretch>
                      <a:fillRect/>
                    </a:stretch>
                  </pic:blipFill>
                  <pic:spPr>
                    <a:xfrm>
                      <a:off x="0" y="0"/>
                      <a:ext cx="5268595" cy="3078480"/>
                    </a:xfrm>
                    <a:prstGeom prst="rect">
                      <a:avLst/>
                    </a:prstGeom>
                    <a:noFill/>
                    <a:ln>
                      <a:noFill/>
                    </a:ln>
                  </pic:spPr>
                </pic:pic>
              </a:graphicData>
            </a:graphic>
          </wp:inline>
        </w:drawing>
      </w:r>
    </w:p>
    <w:p w14:paraId="6CBA1659">
      <w:pPr>
        <w:pStyle w:val="21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图4.1-</w:t>
      </w: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项目地形图</w:t>
      </w:r>
    </w:p>
    <w:bookmarkEnd w:id="298"/>
    <w:p w14:paraId="3121D726">
      <w:pPr>
        <w:pStyle w:val="6"/>
        <w:pageBreakBefore w:val="0"/>
        <w:kinsoku/>
        <w:wordWrap/>
        <w:overflowPunct/>
        <w:topLinePunct w:val="0"/>
        <w:autoSpaceDE/>
        <w:autoSpaceDN/>
        <w:bidi w:val="0"/>
        <w:spacing w:line="500" w:lineRule="atLeast"/>
        <w:textAlignment w:val="auto"/>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4.1.1.</w:t>
      </w:r>
      <w:r>
        <w:rPr>
          <w:rFonts w:hint="default" w:ascii="Times New Roman" w:hAnsi="Times New Roman" w:cs="Times New Roman"/>
          <w:snapToGrid w:val="0"/>
          <w:color w:val="auto"/>
          <w:highlight w:val="none"/>
          <w:lang w:val="en-US"/>
        </w:rPr>
        <w:t>3气候、气象</w:t>
      </w:r>
    </w:p>
    <w:p w14:paraId="26084F5C">
      <w:pPr>
        <w:pageBreakBefore w:val="0"/>
        <w:kinsoku/>
        <w:wordWrap/>
        <w:overflowPunct/>
        <w:topLinePunct w:val="0"/>
        <w:autoSpaceDE/>
        <w:autoSpaceDN/>
        <w:bidi w:val="0"/>
        <w:adjustRightInd/>
        <w:snapToGrid/>
        <w:spacing w:line="500" w:lineRule="atLeast"/>
        <w:textAlignment w:val="auto"/>
        <w:rPr>
          <w:rFonts w:hint="default" w:ascii="Times New Roman" w:hAnsi="Times New Roman" w:eastAsia="仿宋" w:cs="Times New Roman"/>
          <w:color w:val="auto"/>
          <w:highlight w:val="none"/>
        </w:rPr>
      </w:pPr>
      <w:r>
        <w:rPr>
          <w:rFonts w:hint="default" w:ascii="Times New Roman" w:hAnsi="Times New Roman" w:cs="Times New Roman"/>
          <w:color w:val="auto"/>
          <w:highlight w:val="none"/>
        </w:rPr>
        <w:t>孙吴县地处中高纬度，属寒温带大陆性季风气候。孙吴县各地年平均气温在零下0.7℃至零下1.5℃之间。最热的六七月份极端最高气温沿黑龙江平原各村屯在零上35℃—37℃之间，低山河谷地区在37℃左右；最冷的一月份极端最低气温沿黑龙江各村屯在零下44℃—45℃之间，日最低气温低于零下30℃ 的日数最长连续44天之久，低于零下40℃的高寒潮日期最长可达10天。冻土深度孙吴县冻土深度约为200厘米。</w:t>
      </w:r>
    </w:p>
    <w:p w14:paraId="7FE1F5B0">
      <w:pPr>
        <w:pStyle w:val="6"/>
        <w:pageBreakBefore w:val="0"/>
        <w:kinsoku/>
        <w:wordWrap/>
        <w:overflowPunct/>
        <w:topLinePunct w:val="0"/>
        <w:autoSpaceDE/>
        <w:autoSpaceDN/>
        <w:bidi w:val="0"/>
        <w:spacing w:line="500" w:lineRule="atLeast"/>
        <w:textAlignment w:val="auto"/>
        <w:rPr>
          <w:rFonts w:hint="default" w:ascii="Times New Roman" w:hAnsi="Times New Roman" w:cs="Times New Roman"/>
          <w:snapToGrid w:val="0"/>
          <w:color w:val="auto"/>
          <w:highlight w:val="none"/>
          <w:lang w:val="en-US"/>
        </w:rPr>
      </w:pPr>
      <w:bookmarkStart w:id="299" w:name="_Toc241292980"/>
      <w:r>
        <w:rPr>
          <w:rFonts w:hint="default" w:ascii="Times New Roman" w:hAnsi="Times New Roman" w:cs="Times New Roman"/>
          <w:snapToGrid w:val="0"/>
          <w:color w:val="auto"/>
          <w:highlight w:val="none"/>
        </w:rPr>
        <w:t>4.1.1.</w:t>
      </w:r>
      <w:r>
        <w:rPr>
          <w:rFonts w:hint="eastAsia" w:cs="Times New Roman"/>
          <w:snapToGrid w:val="0"/>
          <w:color w:val="auto"/>
          <w:highlight w:val="none"/>
          <w:lang w:val="en-US" w:eastAsia="zh-CN"/>
        </w:rPr>
        <w:t>4</w:t>
      </w:r>
      <w:r>
        <w:rPr>
          <w:rFonts w:hint="default" w:ascii="Times New Roman" w:hAnsi="Times New Roman" w:cs="Times New Roman"/>
          <w:snapToGrid w:val="0"/>
          <w:color w:val="auto"/>
          <w:highlight w:val="none"/>
          <w:lang w:val="en-US"/>
        </w:rPr>
        <w:t>水文地质情况</w:t>
      </w:r>
    </w:p>
    <w:p w14:paraId="5E60FF07">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1、地下水类型</w:t>
      </w:r>
    </w:p>
    <w:p w14:paraId="7023AE53">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区域地下水类型包括第四系松散岩类孔隙水与碎屑岩类裂隙水。 </w:t>
      </w:r>
    </w:p>
    <w:p w14:paraId="6B9ADC16">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（1）第四系松散岩类孔隙水</w:t>
      </w:r>
    </w:p>
    <w:p w14:paraId="2878394D">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主要分布于逊河河谷平原及高平原地区，含水层由砂、砂砾石、卵石等组成。 富水性主要受含水层岩性、厚度等控制，单井涌水量可达1000-5000m3/d。 </w:t>
      </w:r>
    </w:p>
    <w:p w14:paraId="602AA027">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（2）碎屑岩类裂隙水 </w:t>
      </w:r>
    </w:p>
    <w:p w14:paraId="410FA46A">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分布于丘陵地带，含水层岩性为孙吴组弱胶结砂岩、砂砾岩，一般上细下粗，结构疏松，孔隙发育。含水层单层厚度一般为4m左右，单井涌水量为小于1000m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p w14:paraId="39DB04C7">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 xml:space="preserve">2、地下水补给条件 </w:t>
      </w:r>
    </w:p>
    <w:p w14:paraId="730B31B5">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区内地下水补给﹑径流及排泄条件受地层﹑地貌及水文﹑气象等诸多因素的控制和影响。</w:t>
      </w:r>
    </w:p>
    <w:p w14:paraId="75E2F74B">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（1）第四系松散岩类孔隙水</w:t>
      </w:r>
    </w:p>
    <w:p w14:paraId="227D1DD3">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含水层一般上覆弱透水的粉质粘土层（在河漫滩局部地段无覆盖层），可直接接受大气降水的入渗补给。该含水层与河谷两侧的基岩裂隙水一般具有较好的水力联系，此外，在洪水期近河床地带可接受地表河水的渗入补给。</w:t>
      </w:r>
    </w:p>
    <w:p w14:paraId="1EA6F1E2">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 xml:space="preserve">松散岩类孔隙水排泄方式为向河流排泄、向下游区径流排泄及人工开采。 </w:t>
      </w:r>
    </w:p>
    <w:p w14:paraId="2C6C2B8A">
      <w:pPr>
        <w:pageBreakBefore w:val="0"/>
        <w:widowControl/>
        <w:kinsoku/>
        <w:wordWrap/>
        <w:overflowPunct/>
        <w:topLinePunct w:val="0"/>
        <w:autoSpaceDE/>
        <w:autoSpaceDN/>
        <w:bidi w:val="0"/>
        <w:spacing w:line="500" w:lineRule="atLeast"/>
        <w:ind w:firstLine="480" w:firstLineChars="200"/>
        <w:jc w:val="both"/>
        <w:textAlignment w:val="auto"/>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val="en-US" w:bidi="ar"/>
        </w:rPr>
        <w:t>（2）碎屑岩类裂隙水</w:t>
      </w:r>
    </w:p>
    <w:p w14:paraId="74A560AD">
      <w:pPr>
        <w:pageBreakBefore w:val="0"/>
        <w:kinsoku/>
        <w:wordWrap/>
        <w:overflowPunct/>
        <w:topLinePunct w:val="0"/>
        <w:autoSpaceDE/>
        <w:autoSpaceDN/>
        <w:bidi w:val="0"/>
        <w:spacing w:line="500" w:lineRule="atLeast"/>
        <w:contextualSpacing/>
        <w:textAlignment w:val="auto"/>
        <w:rPr>
          <w:rFonts w:hint="default" w:ascii="Times New Roman" w:hAnsi="Times New Roman" w:eastAsia="仿宋" w:cs="Times New Roman"/>
          <w:bCs/>
          <w:snapToGrid w:val="0"/>
          <w:color w:val="auto"/>
          <w:szCs w:val="21"/>
          <w:highlight w:val="none"/>
        </w:rPr>
      </w:pPr>
      <w:r>
        <w:rPr>
          <w:rFonts w:hint="default" w:ascii="Times New Roman" w:hAnsi="Times New Roman" w:cs="Times New Roman"/>
          <w:color w:val="auto"/>
          <w:szCs w:val="24"/>
          <w:highlight w:val="none"/>
          <w:lang w:val="en-US" w:bidi="ar"/>
        </w:rPr>
        <w:t>主要补给来源地下水的侧向径流补给。地下水排泄方式主要为径流排泄及人工开采。地下径流方向为由西北向东南，场区地下水水力梯度约为0.034。</w:t>
      </w:r>
    </w:p>
    <w:bookmarkEnd w:id="299"/>
    <w:p w14:paraId="4389D603">
      <w:pPr>
        <w:pStyle w:val="6"/>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4.1.1.</w:t>
      </w:r>
      <w:r>
        <w:rPr>
          <w:rFonts w:hint="eastAsia" w:cs="Times New Roman"/>
          <w:color w:val="auto"/>
          <w:highlight w:val="none"/>
          <w:lang w:val="en-US" w:eastAsia="zh-CN"/>
        </w:rPr>
        <w:t>5</w:t>
      </w:r>
      <w:r>
        <w:rPr>
          <w:rFonts w:hint="default" w:ascii="Times New Roman" w:hAnsi="Times New Roman" w:cs="Times New Roman"/>
          <w:color w:val="auto"/>
          <w:highlight w:val="none"/>
          <w:lang w:val="en-US"/>
        </w:rPr>
        <w:t>土壤</w:t>
      </w:r>
    </w:p>
    <w:p w14:paraId="07190DC7">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评价区域内的土壤主要以暗棕壤为主，暗棕壤是在温带湿润季风气候和针阔混交林下发育形成的，剖面构型为O-AB-Bt-C，表层腐殖质积聚，全剖面呈中至微酸性反应，盐基饱和度60%~80%，剖面中部粘粒和铁锰含量均高于其上下两层的淋溶土。草甸暗棕壤主要分布于平缓的地形上，多为坡脚或河谷阶地。植被多为次生阔叶林或疏林草甸植被。表层为富含腐殖质的暗灰色黏壤土，略有团粒结构。表层以下为AB层，呈灰棕或灰色，团块结构，在向下为棕黄色的B层，在此层中常出现有铁锈、铁锰结核或灰色条纹，具有草甸过程的特征。腐殖质层较厚，有机质含量较高，呈微酸性反应，盐基饱和度较高，铁的还原淋溶较强，但黏粒移动弱，黏粒在剖面中分化不明显。</w:t>
      </w:r>
    </w:p>
    <w:p w14:paraId="5AD89DB7">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温带湿润气候条件下树木郁闭，湿润，降水量大，集中于夏季，土壤中产生了强烈的淋溶过程，致使暗棕色森林土呈弱酸性反应，并含有一定量的活性铝。季节性冻层的存在削弱了暗棕色森林土的淋溶过程，因被淋洗灰分元素受到冻层的阻留。由于冻结，土壤溶液中的硅酸脱水析出，淀附于全土层内，致使整个土壤剖面均有硅酸粉末附着于土壤结构表面，雨后成为灰棕色。</w:t>
      </w:r>
    </w:p>
    <w:p w14:paraId="60B21675">
      <w:pPr>
        <w:pageBreakBefore w:val="0"/>
        <w:kinsoku/>
        <w:wordWrap/>
        <w:overflowPunct/>
        <w:topLinePunct w:val="0"/>
        <w:autoSpaceDE/>
        <w:autoSpaceDN/>
        <w:bidi w:val="0"/>
        <w:spacing w:line="500" w:lineRule="atLeast"/>
        <w:contextualSpacing/>
        <w:textAlignment w:val="auto"/>
        <w:rPr>
          <w:rFonts w:hint="default" w:ascii="Times New Roman" w:hAnsi="Times New Roman" w:eastAsia="仿宋" w:cs="Times New Roman"/>
          <w:bCs/>
          <w:snapToGrid w:val="0"/>
          <w:color w:val="auto"/>
          <w:szCs w:val="21"/>
          <w:highlight w:val="none"/>
        </w:rPr>
      </w:pPr>
      <w:r>
        <w:rPr>
          <w:rFonts w:hint="default" w:ascii="Times New Roman" w:hAnsi="Times New Roman" w:cs="Times New Roman"/>
          <w:color w:val="auto"/>
          <w:highlight w:val="none"/>
          <w:lang w:val="zh-CN"/>
        </w:rPr>
        <w:t>暗棕壤具有良好的土壤物理性状，为林木或作物的生长奠定了优越的土壤环境条件。暗棕壤的腐殖质层因土壤生物积累作用强，有机质含量高，具有良好的团粒结构，其容重值一般小于1g/cm</w:t>
      </w:r>
      <w:r>
        <w:rPr>
          <w:rFonts w:hint="default" w:ascii="Times New Roman" w:hAnsi="Times New Roman" w:cs="Times New Roman"/>
          <w:color w:val="auto"/>
          <w:highlight w:val="none"/>
          <w:vertAlign w:val="superscript"/>
          <w:lang w:val="zh-CN"/>
        </w:rPr>
        <w:t>3</w:t>
      </w:r>
      <w:r>
        <w:rPr>
          <w:rFonts w:hint="default" w:ascii="Times New Roman" w:hAnsi="Times New Roman" w:cs="Times New Roman"/>
          <w:color w:val="auto"/>
          <w:highlight w:val="none"/>
          <w:lang w:val="zh-CN"/>
        </w:rPr>
        <w:t>。暗棕壤形成特点主要表现为弱酸性腐殖质累积和轻度淋溶、粘化过程。评价区域内针阔混交林组成复杂，地被物生长茂盛，森林每年有大量的凋落物，其中所含各种养料元素经微生物分解后补充到土壤中，林下的草本植物有庞大的根系，有机质分解过程较快，土壤积累了大量的腐殖质，因此暗棕壤具有较高的肥力。</w:t>
      </w:r>
    </w:p>
    <w:p w14:paraId="6DB4DB96">
      <w:pPr>
        <w:pStyle w:val="6"/>
        <w:pageBreakBefore w:val="0"/>
        <w:kinsoku/>
        <w:wordWrap/>
        <w:overflowPunct/>
        <w:topLinePunct w:val="0"/>
        <w:autoSpaceDE/>
        <w:autoSpaceDN/>
        <w:bidi w:val="0"/>
        <w:spacing w:line="500" w:lineRule="atLeast"/>
        <w:textAlignment w:val="auto"/>
        <w:rPr>
          <w:rFonts w:hint="eastAsia" w:ascii="Times New Roman" w:hAnsi="Times New Roman" w:eastAsia="黑体" w:cs="Times New Roman"/>
          <w:b/>
          <w:color w:val="auto"/>
          <w:sz w:val="28"/>
          <w:szCs w:val="28"/>
          <w:highlight w:val="none"/>
          <w:lang w:val="en-US" w:eastAsia="zh-CN"/>
        </w:rPr>
      </w:pPr>
      <w:r>
        <w:rPr>
          <w:rFonts w:hint="default" w:ascii="Times New Roman" w:hAnsi="Times New Roman" w:cs="Times New Roman"/>
          <w:color w:val="auto"/>
          <w:highlight w:val="none"/>
        </w:rPr>
        <w:t>4.1.1.</w:t>
      </w:r>
      <w:r>
        <w:rPr>
          <w:rFonts w:hint="eastAsia" w:cs="Times New Roman"/>
          <w:color w:val="auto"/>
          <w:highlight w:val="none"/>
          <w:lang w:val="en-US" w:eastAsia="zh-CN"/>
        </w:rPr>
        <w:t>6自然资源</w:t>
      </w:r>
    </w:p>
    <w:p w14:paraId="4022B793">
      <w:pPr>
        <w:pageBreakBefore w:val="0"/>
        <w:kinsoku/>
        <w:wordWrap/>
        <w:overflowPunct/>
        <w:topLinePunct w:val="0"/>
        <w:autoSpaceDE/>
        <w:autoSpaceDN/>
        <w:bidi w:val="0"/>
        <w:spacing w:line="500" w:lineRule="atLeast"/>
        <w:contextualSpacing/>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zh-CN"/>
        </w:rPr>
        <w:t>在国家动物地理区划上，孙吴县野生动物属古北界东北区长白山亚区，境内各类野生动物多达</w:t>
      </w:r>
      <w:r>
        <w:rPr>
          <w:rFonts w:hint="default" w:ascii="Times New Roman" w:hAnsi="Times New Roman" w:cs="Times New Roman"/>
          <w:color w:val="auto"/>
          <w:highlight w:val="none"/>
        </w:rPr>
        <w:t>300余种，其中主要兽类40余种，以熊、野牛、羊、鹿、狍子、獾、猞猁、黄鼠、水獭、银鼠为主；禽类150余种，以野鸡、飞龙、沙半鸡、树鸡、棒鸡居多；鱼类丰富，分属11科47种，不仅盛产鲤鱼、鲫鱼、鲢鱼、草鱼，而且还有“三花五罗”（鳌花、鳊花、鲫花，哲罗、法罗、雅罗、胡罗、</w:t>
      </w:r>
      <w:r>
        <w:rPr>
          <w:rFonts w:hint="default" w:ascii="Times New Roman" w:hAnsi="Times New Roman" w:cs="Times New Roman"/>
          <w:color w:val="auto"/>
          <w:highlight w:val="none"/>
          <w:lang w:eastAsia="zh-CN"/>
        </w:rPr>
        <w:t>铜锣</w:t>
      </w:r>
      <w:r>
        <w:rPr>
          <w:rFonts w:hint="default" w:ascii="Times New Roman" w:hAnsi="Times New Roman" w:cs="Times New Roman"/>
          <w:color w:val="auto"/>
          <w:highlight w:val="none"/>
        </w:rPr>
        <w:t>）、鲑鱼（大马哈）、中华鲟（鳇鱼）等珍稀鱼种，年均产商品鱼220吨左右。植物以长白山植物区系为主，种类多达400余种，药用植物有北五味子、土三七、兴安黄芪、大叶柴胡、百合、芍药、桔梗、刺五加、党参、蒲公英等；经济价值较高的土特山产品有木耳、蘑菇、猴头、榛子、蓝莓及蕨菜、薇菜等，是黑河市农副山产品重要生产和集散基地。</w:t>
      </w:r>
    </w:p>
    <w:p w14:paraId="76CFCECB">
      <w:pPr>
        <w:pStyle w:val="5"/>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lang w:val="en-US" w:eastAsia="zh-CN"/>
        </w:rPr>
      </w:pPr>
      <w:bookmarkStart w:id="300" w:name="_Toc3343"/>
      <w:r>
        <w:rPr>
          <w:rFonts w:hint="eastAsia" w:ascii="Times New Roman" w:hAnsi="Times New Roman" w:cs="Times New Roman"/>
          <w:color w:val="auto"/>
          <w:highlight w:val="none"/>
          <w:lang w:val="en-US" w:eastAsia="zh-CN"/>
        </w:rPr>
        <w:t>4.1.2环境保护目标调查</w:t>
      </w:r>
      <w:bookmarkEnd w:id="300"/>
    </w:p>
    <w:p w14:paraId="506AFA24">
      <w:pPr>
        <w:pStyle w:val="5"/>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301" w:name="_Toc6221"/>
      <w:bookmarkStart w:id="302" w:name="_Toc24225"/>
      <w:r>
        <w:rPr>
          <w:rFonts w:hint="eastAsia" w:ascii="Times New Roman" w:hAnsi="Times New Roman" w:cs="Times New Roman"/>
          <w:color w:val="auto"/>
          <w:highlight w:val="none"/>
          <w:lang w:val="en-US" w:eastAsia="zh-CN"/>
        </w:rPr>
        <w:t>4.1.2.1</w:t>
      </w:r>
      <w:r>
        <w:rPr>
          <w:rFonts w:hint="default" w:ascii="Times New Roman" w:hAnsi="Times New Roman" w:cs="Times New Roman"/>
          <w:color w:val="auto"/>
          <w:highlight w:val="none"/>
        </w:rPr>
        <w:t>逊别拉河省级自然保护区</w:t>
      </w:r>
      <w:bookmarkEnd w:id="301"/>
      <w:bookmarkEnd w:id="302"/>
    </w:p>
    <w:p w14:paraId="793AAEA3">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逊别拉自然保护区位于黑河市逊克县</w:t>
      </w:r>
      <w:r>
        <w:rPr>
          <w:rFonts w:hint="default" w:ascii="Times New Roman" w:hAnsi="Times New Roman" w:cs="Times New Roman"/>
          <w:bCs/>
          <w:color w:val="auto"/>
          <w:highlight w:val="none"/>
        </w:rPr>
        <w:t>127°48′31.72″-128°55′33.958″E， 48°55′7.028″-49°27′54.29″N。</w:t>
      </w:r>
      <w:r>
        <w:rPr>
          <w:rFonts w:hint="default" w:ascii="Times New Roman" w:hAnsi="Times New Roman" w:cs="Times New Roman"/>
          <w:color w:val="auto"/>
          <w:highlight w:val="none"/>
        </w:rPr>
        <w:t>总面积8632.12公顷，其中：核心区面积790.86公顷，缓冲区面积267.48公顷，实验区面积1308.61公顷，保护带面积6265.17公顷。逊别拉河省级自然保护区为野生动物类型自然保护区，主要保护目标为哲罗鲑、细鳞鱼、茴鱼、大麻哈鱼等冷水性鱼类及其生境。</w:t>
      </w:r>
    </w:p>
    <w:p w14:paraId="1DFFB486">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逊别拉河省级自然保护区位于本项目东</w:t>
      </w:r>
      <w:r>
        <w:rPr>
          <w:rFonts w:hint="default" w:ascii="Times New Roman" w:hAnsi="Times New Roman" w:cs="Times New Roman"/>
          <w:color w:val="auto"/>
          <w:highlight w:val="none"/>
          <w:lang w:val="en-US" w:eastAsia="zh-CN"/>
        </w:rPr>
        <w:t>侧</w:t>
      </w:r>
      <w:r>
        <w:rPr>
          <w:rFonts w:hint="default" w:ascii="Times New Roman" w:hAnsi="Times New Roman" w:cs="Times New Roman"/>
          <w:color w:val="auto"/>
          <w:highlight w:val="none"/>
        </w:rPr>
        <w:t>，距离本项目最近距离约</w:t>
      </w:r>
      <w:r>
        <w:rPr>
          <w:rFonts w:hint="eastAsia" w:ascii="Times New Roman" w:hAnsi="Times New Roman" w:cs="Times New Roman"/>
          <w:color w:val="auto"/>
          <w:highlight w:val="none"/>
          <w:lang w:val="en-US" w:eastAsia="zh-CN"/>
        </w:rPr>
        <w:t>38</w:t>
      </w:r>
      <w:r>
        <w:rPr>
          <w:rFonts w:hint="default" w:ascii="Times New Roman" w:hAnsi="Times New Roman" w:cs="Times New Roman"/>
          <w:color w:val="auto"/>
          <w:highlight w:val="none"/>
        </w:rPr>
        <w:t>km。本项目与逊别拉自然保护区位置关系见图4-2-4。</w:t>
      </w:r>
      <w:r>
        <w:rPr>
          <w:rFonts w:hint="default" w:ascii="Times New Roman" w:hAnsi="Times New Roman" w:cs="Times New Roman"/>
          <w:color w:val="auto"/>
          <w:highlight w:val="none"/>
          <w:lang w:val="en-US" w:eastAsia="zh-CN"/>
        </w:rPr>
        <w:t>根据现场踏查和质询，附近无饮用水水源保护区。</w:t>
      </w:r>
    </w:p>
    <w:p w14:paraId="43DE44A1">
      <w:pPr>
        <w:pStyle w:val="5"/>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303" w:name="_Toc19863"/>
      <w:bookmarkStart w:id="304" w:name="_Toc16245"/>
      <w:r>
        <w:rPr>
          <w:rFonts w:hint="eastAsia" w:ascii="Times New Roman" w:hAnsi="Times New Roman" w:cs="Times New Roman"/>
          <w:color w:val="auto"/>
          <w:highlight w:val="none"/>
          <w:lang w:val="en-US" w:eastAsia="zh-CN"/>
        </w:rPr>
        <w:t>4.1.2.2</w:t>
      </w:r>
      <w:r>
        <w:rPr>
          <w:rFonts w:hint="default" w:ascii="Times New Roman" w:hAnsi="Times New Roman" w:cs="Times New Roman"/>
          <w:color w:val="auto"/>
          <w:highlight w:val="none"/>
        </w:rPr>
        <w:t>孙吴红旗自然保护区</w:t>
      </w:r>
      <w:bookmarkEnd w:id="303"/>
      <w:bookmarkEnd w:id="304"/>
    </w:p>
    <w:p w14:paraId="7A839B02">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孙吴红旗自然保护区位于孙吴县境内。地理坐标是北纬49°17′～49°27′，东经126°53′～127°05′。保护区总面积21283公顷。其中，核心区8218公顷，缓冲区6334公顷，实验区6731公顷。属于内陆水域与湿地生态系统类型自然保护区，主要保护目标为湿地水域生态系统。</w:t>
      </w:r>
    </w:p>
    <w:p w14:paraId="09C034CF">
      <w:pPr>
        <w:pageBreakBefore w:val="0"/>
        <w:widowControl/>
        <w:kinsoku/>
        <w:wordWrap/>
        <w:overflowPunct/>
        <w:topLinePunct w:val="0"/>
        <w:autoSpaceDE/>
        <w:autoSpaceDN/>
        <w:bidi w:val="0"/>
        <w:spacing w:line="500" w:lineRule="atLeast"/>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孙吴红旗自然保护区位于本项目西侧约</w:t>
      </w:r>
      <w:r>
        <w:rPr>
          <w:rFonts w:hint="default" w:ascii="Times New Roman" w:hAnsi="Times New Roman" w:cs="Times New Roman"/>
          <w:bCs/>
          <w:color w:val="auto"/>
          <w:highlight w:val="none"/>
          <w:lang w:val="en-US" w:eastAsia="zh-CN"/>
        </w:rPr>
        <w:t>1</w:t>
      </w:r>
      <w:r>
        <w:rPr>
          <w:rFonts w:hint="eastAsia" w:ascii="Times New Roman" w:hAnsi="Times New Roman" w:cs="Times New Roman"/>
          <w:bCs/>
          <w:color w:val="auto"/>
          <w:highlight w:val="none"/>
          <w:lang w:val="en-US" w:eastAsia="zh-CN"/>
        </w:rPr>
        <w:t>7</w:t>
      </w:r>
      <w:r>
        <w:rPr>
          <w:rFonts w:hint="default" w:ascii="Times New Roman" w:hAnsi="Times New Roman" w:cs="Times New Roman"/>
          <w:bCs/>
          <w:color w:val="auto"/>
          <w:highlight w:val="none"/>
        </w:rPr>
        <w:t>km。</w:t>
      </w:r>
    </w:p>
    <w:p w14:paraId="00064A1E">
      <w:pPr>
        <w:pStyle w:val="5"/>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305" w:name="_Toc7168"/>
      <w:bookmarkStart w:id="306" w:name="_Toc15194"/>
      <w:r>
        <w:rPr>
          <w:rFonts w:hint="eastAsia" w:ascii="Times New Roman" w:hAnsi="Times New Roman" w:cs="Times New Roman"/>
          <w:color w:val="auto"/>
          <w:highlight w:val="none"/>
          <w:lang w:val="en-US" w:eastAsia="zh-CN"/>
        </w:rPr>
        <w:t>4.1.2.4平山</w:t>
      </w:r>
      <w:r>
        <w:rPr>
          <w:rFonts w:hint="default" w:ascii="Times New Roman" w:hAnsi="Times New Roman" w:cs="Times New Roman"/>
          <w:color w:val="auto"/>
          <w:highlight w:val="none"/>
        </w:rPr>
        <w:t>自然保护区</w:t>
      </w:r>
      <w:bookmarkEnd w:id="305"/>
      <w:bookmarkEnd w:id="306"/>
    </w:p>
    <w:p w14:paraId="2261078B">
      <w:pPr>
        <w:pageBreakBefore w:val="0"/>
        <w:kinsoku/>
        <w:wordWrap/>
        <w:overflowPunct/>
        <w:topLinePunct w:val="0"/>
        <w:autoSpaceDE/>
        <w:autoSpaceDN/>
        <w:bidi w:val="0"/>
        <w:spacing w:line="500" w:lineRule="atLeast"/>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黑龙江平山省级自然保护区由</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"https://baike.baidu.com/item/%E9%BB%91%E6%B2%B3%E5%B8%82%E6%9E%97%E4%B8%9A%E5%B1%80/16839047?fromModule=lemma_inlink"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黑河市林业局</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管辖，位于</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"https://baike.baidu.com/item/%E9%BB%91%E9%BE%99%E6%B1%9F%E7%9C%81/129397?fromModule=lemma_inlink"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黑龙江省</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"https://baike.baidu.com/item/%E5%AD%99%E5%90%B4%E5%8E%BF/5253771?fromModule=lemma_inlink"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孙吴县</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西北部，距孙吴县城西北约50公里，总面积21394公顷。保护区北接爱辉区二站林场，西接黑龙江胜山国家级自然保护区和爱辉区胜山林场，东临孙吴县大河口林场，南界孙吴县红旗林场，东西长22.8公里，南北宽21.9公里</w:t>
      </w:r>
      <w:r>
        <w:rPr>
          <w:rFonts w:hint="eastAsia" w:ascii="Times New Roman" w:hAnsi="Times New Roman" w:eastAsia="宋体" w:cs="Times New Roman"/>
          <w:color w:val="auto"/>
          <w:highlight w:val="none"/>
          <w:lang w:val="en-US" w:eastAsia="zh-CN"/>
        </w:rPr>
        <w:t>.</w:t>
      </w:r>
    </w:p>
    <w:p w14:paraId="3E84947B">
      <w:pPr>
        <w:pageBreakBefore w:val="0"/>
        <w:kinsoku/>
        <w:wordWrap/>
        <w:overflowPunct/>
        <w:topLinePunct w:val="0"/>
        <w:autoSpaceDE/>
        <w:autoSpaceDN/>
        <w:bidi w:val="0"/>
        <w:spacing w:line="500" w:lineRule="atLeas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保护区不仅有丰富的植物资源，而且还孕育着大量的野生动物资源。根据实地调查及分析统计，保护区共有高等植物670种，其中苔藓植物29科48属95种，蕨类植物12科20属32种，种子植物79科263属543种。保护区共有脊椎动物317种，其中鱼类7目12科51种；两栖类2目4科7种；爬行类3目4科10种；鸟类17目42科203种；兽类6目l5科46种。还有昆虫356种，隶属于10目78科。这充分体现出该保护区的</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"https://baike.baidu.com/item/%E7%89%A9%E7%A7%8D%E5%A4%9A%E6%A0%B7%E6%80%A7/3485246?fromModule=lemma_inlink"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物种多样性</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p>
    <w:p w14:paraId="7B76E3FA">
      <w:pPr>
        <w:pageBreakBefore w:val="0"/>
        <w:kinsoku/>
        <w:wordWrap/>
        <w:overflowPunct/>
        <w:topLinePunct w:val="0"/>
        <w:autoSpaceDE/>
        <w:autoSpaceDN/>
        <w:bidi w:val="0"/>
        <w:spacing w:line="500" w:lineRule="atLeas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保护区内生物资源丰富，森林、灌丛、草甸、沼泽、水域等生态系统共存，使得这里蕴藏了大量的珍稀</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"https://baike.baidu.com/item/%E9%87%8E%E7%94%9F%E5%8A%A8%E6%A4%8D%E7%89%A9%E8%B5%84%E6%BA%90/9703291?fromModule=lemma_inlink"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野生动植物资源</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，拥有国家Ⅰ级保护动物8种，如紫貂、貂熊、东方白鹳、金雕、白头鹤、白鹤、大鸨及黑嘴松鸡等；国家Ⅱ级保护动物38种，如棕熊、水獭、猞猁、马鹿、驼鹿、鸳鸯、苍鹰、</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"https://baike.baidu.com/item/%E8%8A%B1%E5%B0%BE%E6%A6%9B%E9%B8%A1/350006?fromModule=lemma_inlink" \t "https://baike.baidu.com/item/%E9%BB%91%E9%BE%99%E6%B1%9F%E5%B9%B3%E5%B1%B1%E7%9C%81%E7%BA%A7%E8%87%AA%E7%84%B6%E4%BF%9D%E6%8A%A4%E5%8C%BA/_blank"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花尾榛鸡</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等。此外，保护区内拥有国家Ⅱ级保护野生植物6种，如红松、水曲柳、黄檗、钻天柳和紫椴、野大豆等。</w:t>
      </w:r>
    </w:p>
    <w:p w14:paraId="34CA6C34">
      <w:pPr>
        <w:pageBreakBefore w:val="0"/>
        <w:widowControl/>
        <w:kinsoku/>
        <w:wordWrap/>
        <w:overflowPunct/>
        <w:topLinePunct w:val="0"/>
        <w:autoSpaceDE/>
        <w:autoSpaceDN/>
        <w:bidi w:val="0"/>
        <w:spacing w:line="500" w:lineRule="atLeast"/>
        <w:textAlignment w:val="auto"/>
        <w:rPr>
          <w:rFonts w:hint="default" w:ascii="Helvetica" w:hAnsi="Helvetica" w:eastAsia="宋体" w:cs="Helvetica"/>
          <w:i w:val="0"/>
          <w:iCs w:val="0"/>
          <w:caps w:val="0"/>
          <w:color w:val="auto"/>
          <w:spacing w:val="0"/>
          <w:sz w:val="21"/>
          <w:szCs w:val="21"/>
          <w:highlight w:val="none"/>
          <w:shd w:val="clear" w:fill="FFFFFF"/>
          <w:lang w:val="en-US" w:eastAsia="zh-CN"/>
        </w:rPr>
      </w:pPr>
      <w:r>
        <w:rPr>
          <w:rFonts w:hint="eastAsia" w:ascii="Times New Roman" w:hAnsi="Times New Roman" w:eastAsia="宋体" w:cs="Times New Roman"/>
          <w:bCs/>
          <w:color w:val="auto"/>
          <w:highlight w:val="none"/>
          <w:lang w:val="en-US" w:eastAsia="zh-CN"/>
        </w:rPr>
        <w:t>平山自然保护区位于本项目西侧约16km。</w:t>
      </w:r>
    </w:p>
    <w:p w14:paraId="43C46367">
      <w:pPr>
        <w:pStyle w:val="5"/>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bookmarkStart w:id="307" w:name="_Toc20766"/>
      <w:bookmarkStart w:id="308" w:name="_Toc15869"/>
      <w:r>
        <w:rPr>
          <w:rFonts w:hint="eastAsia" w:ascii="Times New Roman" w:hAnsi="Times New Roman" w:cs="Times New Roman"/>
          <w:color w:val="auto"/>
          <w:highlight w:val="none"/>
          <w:lang w:val="en-US" w:eastAsia="zh-CN"/>
        </w:rPr>
        <w:t>4.1.2.5</w:t>
      </w:r>
      <w:r>
        <w:rPr>
          <w:rFonts w:hint="default" w:ascii="Times New Roman" w:hAnsi="Times New Roman" w:cs="Times New Roman"/>
          <w:color w:val="auto"/>
          <w:highlight w:val="none"/>
        </w:rPr>
        <w:t>黑龙江胜山要塞国家森林公园</w:t>
      </w:r>
      <w:bookmarkEnd w:id="307"/>
      <w:bookmarkEnd w:id="308"/>
    </w:p>
    <w:p w14:paraId="2F7451B2">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黑龙江</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"https://baike.baidu.com/item/%E8%83%9C%E5%B1%B1%E8%A6%81%E5%A1%9E/5560134?fromModule=lemma_inlink" \t "https://baike.baidu.com/item/%E9%BB%91%E9%BE%99%E6%B1%9F%E8%83%9C%E5%B1%B1%E8%A6%81%E5%A1%9E%E5%9B%BD%E5%AE%B6%E6%A3%AE%E6%9E%97%E5%85%AC%E5%9B%AD/_blank"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胜山要塞</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国家森林公园位于黑龙江省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"https://baike.baidu.com/item/%E5%AD%99%E5%90%B4%E5%8E%BF/5253771?fromModule=lemma_inlink" \t "https://baike.baidu.com/item/%E9%BB%91%E9%BE%99%E6%B1%9F%E8%83%9C%E5%B1%B1%E8%A6%81%E5%A1%9E%E5%9B%BD%E5%AE%B6%E6%A3%AE%E6%9E%97%E5%85%AC%E5%9B%AD/_blank"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孙吴县</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"https://baike.baidu.com/item/%E6%B2%BF%E6%B1%9F%E6%9E%97%E5%9C%BA/216587?fromModule=lemma_inlink" \t "https://baike.baidu.com/item/%E9%BB%91%E9%BE%99%E6%B1%9F%E8%83%9C%E5%B1%B1%E8%A6%81%E5%A1%9E%E5%9B%BD%E5%AE%B6%E6%A3%AE%E6%9E%97%E5%85%AC%E5%9B%AD/_blank"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沿江林场</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"https://baike.baidu.com/item/%E5%89%8D%E8%BF%9B%E6%9E%97%E5%9C%BA/57966048?fromModule=lemma_inlink" \t "https://baike.baidu.com/item/%E9%BB%91%E9%BE%99%E6%B1%9F%E8%83%9C%E5%B1%B1%E8%A6%81%E5%A1%9E%E5%9B%BD%E5%AE%B6%E6%A3%AE%E6%9E%97%E5%85%AC%E5%9B%AD/_blank"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前进林场</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境内，总面积13828公顷，2004年12月经批准成为国家级森林公园，由孙吴县林业局管理，每年5月1日至10月14日开放。园区涵盖森林生态观赏区、战争遗址游览区及逊别拉河漂流区，保存有胜山要塞、特仓阵地等二战时期日军侵华遗址群，2020年获评“中国森林体验基地”称号。胜山要塞</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HYPERLINK "https://baike.baidu.com/item/%E6%A3%AE%E6%9E%97%E5%85%AC%E5%9B%AD/0?fromModule=lemma_inlink" \t "https://baike.baidu.com/item/%E9%BB%91%E9%BE%99%E6%B1%9F%E8%83%9C%E5%B1%B1%E8%A6%81%E5%A1%9E%E5%9B%BD%E5%AE%B6%E6%A3%AE%E6%9E%97%E5%85%AC%E5%9B%AD/_blank"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森林公园</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lang w:val="en-US" w:eastAsia="zh-CN"/>
        </w:rPr>
        <w:t>为避暑度假型生态旅游区，公园内设"森林生态观赏区、战争遗址游览区、霍尔漠津岛旅游度假区、逊河漂流区"，以大森林为背景，以观赏小兴安岭山地云杉、阔叶混交林，逊别拉河漂流，霍尔漠津岛度假观光，湿地观光为主要内容，辅以冰雪娱乐健体，民族文化追溯，战争遗址，爱国主义教育等，具有浓郁林区风情的生态旅游区。</w:t>
      </w:r>
    </w:p>
    <w:p w14:paraId="6C147879">
      <w:pPr>
        <w:pageBreakBefore w:val="0"/>
        <w:kinsoku/>
        <w:wordWrap/>
        <w:overflowPunct/>
        <w:topLinePunct w:val="0"/>
        <w:autoSpaceDE/>
        <w:autoSpaceDN/>
        <w:bidi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黑龙江胜山要塞国家森林公园</w:t>
      </w:r>
      <w:r>
        <w:rPr>
          <w:rFonts w:hint="eastAsia" w:ascii="Times New Roman" w:hAnsi="Times New Roman" w:eastAsia="宋体" w:cs="Times New Roman"/>
          <w:bCs/>
          <w:color w:val="auto"/>
          <w:highlight w:val="none"/>
          <w:lang w:val="en-US" w:eastAsia="zh-CN"/>
        </w:rPr>
        <w:t>位于本项目东侧约25km。</w:t>
      </w:r>
    </w:p>
    <w:p w14:paraId="7C628A35">
      <w:pPr>
        <w:rPr>
          <w:rFonts w:hint="default" w:ascii="Times New Roman" w:hAnsi="Times New Roman" w:cs="Times New Roman"/>
          <w:color w:val="auto"/>
          <w:highlight w:val="none"/>
        </w:rPr>
      </w:pPr>
    </w:p>
    <w:p w14:paraId="3F8B3E00">
      <w:pPr>
        <w:rPr>
          <w:rFonts w:hint="default" w:ascii="Times New Roman" w:hAnsi="Times New Roman" w:cs="Times New Roman"/>
          <w:color w:val="auto"/>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7FE70641">
      <w:pPr>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drawing>
          <wp:inline distT="0" distB="0" distL="114300" distR="114300">
            <wp:extent cx="7152005" cy="4710430"/>
            <wp:effectExtent l="0" t="0" r="10795" b="13970"/>
            <wp:docPr id="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IMG_256"/>
                    <pic:cNvPicPr>
                      <a:picLocks noChangeAspect="1"/>
                    </pic:cNvPicPr>
                  </pic:nvPicPr>
                  <pic:blipFill>
                    <a:blip r:embed="rId44"/>
                    <a:srcRect t="3503" b="3399"/>
                    <a:stretch>
                      <a:fillRect/>
                    </a:stretch>
                  </pic:blipFill>
                  <pic:spPr>
                    <a:xfrm>
                      <a:off x="0" y="0"/>
                      <a:ext cx="7152005" cy="4710430"/>
                    </a:xfrm>
                    <a:prstGeom prst="rect">
                      <a:avLst/>
                    </a:prstGeom>
                    <a:noFill/>
                    <a:ln w="9525">
                      <a:noFill/>
                    </a:ln>
                  </pic:spPr>
                </pic:pic>
              </a:graphicData>
            </a:graphic>
          </wp:inline>
        </w:drawing>
      </w:r>
    </w:p>
    <w:p w14:paraId="588613BE">
      <w:pPr>
        <w:spacing w:line="500" w:lineRule="exact"/>
        <w:contextualSpacing/>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图</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3</w:t>
      </w:r>
      <w:r>
        <w:rPr>
          <w:rFonts w:hint="default" w:ascii="Times New Roman" w:hAnsi="Times New Roman" w:cs="Times New Roman"/>
          <w:color w:val="auto"/>
          <w:highlight w:val="none"/>
        </w:rPr>
        <w:t xml:space="preserve"> 逊别拉河省级自然保护区划图</w:t>
      </w:r>
    </w:p>
    <w:p w14:paraId="3AE299A8">
      <w:pPr>
        <w:spacing w:line="500" w:lineRule="exact"/>
        <w:contextualSpacing/>
        <w:rPr>
          <w:rFonts w:hint="default" w:ascii="Times New Roman" w:hAnsi="Times New Roman" w:cs="Times New Roman"/>
          <w:color w:val="auto"/>
          <w:highlight w:val="none"/>
          <w:lang w:val="en-US" w:eastAsia="zh-CN"/>
        </w:rPr>
      </w:pPr>
      <w:r>
        <w:rPr>
          <w:color w:val="auto"/>
          <w:highlight w:val="none"/>
        </w:rPr>
        <w:drawing>
          <wp:anchor distT="0" distB="0" distL="114300" distR="114300" simplePos="0" relativeHeight="251735040" behindDoc="0" locked="0" layoutInCell="1" allowOverlap="1">
            <wp:simplePos x="0" y="0"/>
            <wp:positionH relativeFrom="column">
              <wp:posOffset>8478520</wp:posOffset>
            </wp:positionH>
            <wp:positionV relativeFrom="paragraph">
              <wp:posOffset>162560</wp:posOffset>
            </wp:positionV>
            <wp:extent cx="373380" cy="389890"/>
            <wp:effectExtent l="0" t="0" r="7620" b="10160"/>
            <wp:wrapNone/>
            <wp:docPr id="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pic:cNvPicPr>
                      <a:picLocks noChangeAspect="1"/>
                    </pic:cNvPicPr>
                  </pic:nvPicPr>
                  <pic:blipFill>
                    <a:blip r:embed="rId40"/>
                    <a:stretch>
                      <a:fillRect/>
                    </a:stretch>
                  </pic:blipFill>
                  <pic:spPr>
                    <a:xfrm>
                      <a:off x="0" y="0"/>
                      <a:ext cx="373380" cy="389890"/>
                    </a:xfrm>
                    <a:prstGeom prst="rect">
                      <a:avLst/>
                    </a:prstGeom>
                    <a:noFill/>
                    <a:ln>
                      <a:noFill/>
                    </a:ln>
                  </pic:spPr>
                </pic:pic>
              </a:graphicData>
            </a:graphic>
          </wp:anchor>
        </w:drawing>
      </w:r>
      <w:r>
        <w:rPr>
          <w:color w:val="auto"/>
          <w:highlight w:val="none"/>
        </w:rPr>
        <w:drawing>
          <wp:anchor distT="0" distB="0" distL="114300" distR="114300" simplePos="0" relativeHeight="251675648" behindDoc="0" locked="0" layoutInCell="1" allowOverlap="1">
            <wp:simplePos x="0" y="0"/>
            <wp:positionH relativeFrom="column">
              <wp:posOffset>1905</wp:posOffset>
            </wp:positionH>
            <wp:positionV relativeFrom="paragraph">
              <wp:posOffset>160655</wp:posOffset>
            </wp:positionV>
            <wp:extent cx="8856345" cy="4380230"/>
            <wp:effectExtent l="0" t="0" r="1905" b="1270"/>
            <wp:wrapNone/>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45"/>
                    <a:stretch>
                      <a:fillRect/>
                    </a:stretch>
                  </pic:blipFill>
                  <pic:spPr>
                    <a:xfrm>
                      <a:off x="0" y="0"/>
                      <a:ext cx="8856345" cy="4380230"/>
                    </a:xfrm>
                    <a:prstGeom prst="rect">
                      <a:avLst/>
                    </a:prstGeom>
                    <a:noFill/>
                    <a:ln>
                      <a:noFill/>
                    </a:ln>
                  </pic:spPr>
                </pic:pic>
              </a:graphicData>
            </a:graphic>
          </wp:anchor>
        </w:drawing>
      </w:r>
    </w:p>
    <w:p w14:paraId="4262825E">
      <w:pPr>
        <w:spacing w:line="500" w:lineRule="exact"/>
        <w:contextualSpacing/>
        <w:rPr>
          <w:rFonts w:hint="default" w:ascii="Times New Roman" w:hAnsi="Times New Roman" w:cs="Times New Roman"/>
          <w:color w:val="auto"/>
          <w:highlight w:val="none"/>
          <w:lang w:val="en-US" w:eastAsia="zh-CN"/>
        </w:rPr>
      </w:pPr>
    </w:p>
    <w:p w14:paraId="10467F89">
      <w:pPr>
        <w:spacing w:line="500" w:lineRule="exact"/>
        <w:contextualSpacing/>
        <w:rPr>
          <w:rFonts w:hint="default" w:ascii="Times New Roman" w:hAnsi="Times New Roman" w:cs="Times New Roman"/>
          <w:color w:val="auto"/>
          <w:highlight w:val="none"/>
          <w:lang w:val="en-US" w:eastAsia="zh-CN"/>
        </w:rPr>
      </w:pPr>
    </w:p>
    <w:p w14:paraId="1638C44E">
      <w:pPr>
        <w:spacing w:line="500" w:lineRule="exact"/>
        <w:contextualSpacing/>
        <w:rPr>
          <w:rFonts w:hint="default" w:ascii="Times New Roman" w:hAnsi="Times New Roman" w:cs="Times New Roman"/>
          <w:color w:val="auto"/>
          <w:highlight w:val="none"/>
          <w:lang w:val="en-US" w:eastAsia="zh-CN"/>
        </w:rPr>
      </w:pPr>
    </w:p>
    <w:p w14:paraId="239B8035">
      <w:pPr>
        <w:spacing w:line="500" w:lineRule="exact"/>
        <w:contextualSpacing/>
        <w:rPr>
          <w:color w:val="auto"/>
          <w:highlight w:val="none"/>
        </w:rPr>
      </w:pPr>
      <w:r>
        <w:rPr>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3852545</wp:posOffset>
                </wp:positionH>
                <wp:positionV relativeFrom="paragraph">
                  <wp:posOffset>129540</wp:posOffset>
                </wp:positionV>
                <wp:extent cx="251460" cy="216535"/>
                <wp:effectExtent l="20955" t="19050" r="32385" b="31115"/>
                <wp:wrapNone/>
                <wp:docPr id="7" name="五角星 7"/>
                <wp:cNvGraphicFramePr/>
                <a:graphic xmlns:a="http://schemas.openxmlformats.org/drawingml/2006/main">
                  <a:graphicData uri="http://schemas.microsoft.com/office/word/2010/wordprocessingShape">
                    <wps:wsp>
                      <wps:cNvSpPr/>
                      <wps:spPr>
                        <a:xfrm>
                          <a:off x="4784725" y="2574925"/>
                          <a:ext cx="251460" cy="21653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3.35pt;margin-top:10.2pt;height:17.05pt;width:19.8pt;z-index:251677696;v-text-anchor:middle;mso-width-relative:page;mso-height-relative:page;" fillcolor="#FF0000" filled="t" stroked="t" coordsize="251460,216535" o:gfxdata="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VDzEzYAAAACQEAAA8AAAAAAAAAAQAg&#10;AAAAIgAAAGRycy9kb3ducmV2LnhtbFBLAQIUABQAAAAIAIdO4kC2mz/BgAIAAAMFAAAOAAAAAAAA&#10;AAEAIAAAACcBAABkcnMvZTJvRG9jLnhtbFBLBQYAAAAABgAGAFkBAAAZBgAAAAA=&#10;" path="m0,82708l96049,82709,125730,0,155410,82709,251459,82708,173753,133825,203435,216534,125730,165416,48024,216534,77706,133825xe">
                <v:path o:connectlocs="125730,0;0,82708;48024,216534;203435,216534;251459,82708" o:connectangles="247,164,82,82,0"/>
                <v:fill on="t" focussize="0,0"/>
                <v:stroke weight="1pt" color="#FF0000 [2404]" miterlimit="8" joinstyle="miter"/>
                <v:imagedata o:title=""/>
                <o:lock v:ext="edit" aspectratio="f"/>
              </v:shape>
            </w:pict>
          </mc:Fallback>
        </mc:AlternateContent>
      </w:r>
    </w:p>
    <w:p w14:paraId="4C81DA9A">
      <w:pPr>
        <w:bidi w:val="0"/>
        <w:rPr>
          <w:rFonts w:ascii="Times New Roman" w:hAnsi="Times New Roman" w:eastAsia="宋体" w:cs="Times New Roman"/>
          <w:color w:val="auto"/>
          <w:kern w:val="2"/>
          <w:sz w:val="24"/>
          <w:szCs w:val="22"/>
          <w:highlight w:val="none"/>
          <w:lang w:val="en-US" w:eastAsia="zh-CN" w:bidi="ar-SA"/>
        </w:rPr>
      </w:pPr>
    </w:p>
    <w:p w14:paraId="7750BE4A">
      <w:pPr>
        <w:bidi w:val="0"/>
        <w:rPr>
          <w:color w:val="auto"/>
          <w:highlight w:val="none"/>
          <w:lang w:val="en-US" w:eastAsia="zh-CN"/>
        </w:rPr>
      </w:pPr>
    </w:p>
    <w:p w14:paraId="6BFB42BC">
      <w:pPr>
        <w:bidi w:val="0"/>
        <w:rPr>
          <w:color w:val="auto"/>
          <w:highlight w:val="none"/>
          <w:lang w:val="en-US" w:eastAsia="zh-CN"/>
        </w:rPr>
      </w:pPr>
    </w:p>
    <w:p w14:paraId="7083F40C">
      <w:pPr>
        <w:bidi w:val="0"/>
        <w:rPr>
          <w:color w:val="auto"/>
          <w:highlight w:val="none"/>
          <w:lang w:val="en-US" w:eastAsia="zh-CN"/>
        </w:rPr>
      </w:pPr>
    </w:p>
    <w:p w14:paraId="5B259FF4">
      <w:pPr>
        <w:bidi w:val="0"/>
        <w:rPr>
          <w:color w:val="auto"/>
          <w:highlight w:val="none"/>
          <w:lang w:val="en-US" w:eastAsia="zh-CN"/>
        </w:rPr>
      </w:pPr>
    </w:p>
    <w:p w14:paraId="2AE5197E">
      <w:pPr>
        <w:bidi w:val="0"/>
        <w:rPr>
          <w:color w:val="auto"/>
          <w:highlight w:val="none"/>
          <w:lang w:val="en-US" w:eastAsia="zh-CN"/>
        </w:rPr>
      </w:pPr>
    </w:p>
    <w:p w14:paraId="1FE9BB4D">
      <w:pPr>
        <w:bidi w:val="0"/>
        <w:rPr>
          <w:color w:val="auto"/>
          <w:highlight w:val="none"/>
          <w:lang w:val="en-US" w:eastAsia="zh-CN"/>
        </w:rPr>
      </w:pP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6434455</wp:posOffset>
                </wp:positionH>
                <wp:positionV relativeFrom="paragraph">
                  <wp:posOffset>140970</wp:posOffset>
                </wp:positionV>
                <wp:extent cx="2397760" cy="1204595"/>
                <wp:effectExtent l="4445" t="4445" r="17145" b="10160"/>
                <wp:wrapNone/>
                <wp:docPr id="6" name="文本框 6"/>
                <wp:cNvGraphicFramePr/>
                <a:graphic xmlns:a="http://schemas.openxmlformats.org/drawingml/2006/main">
                  <a:graphicData uri="http://schemas.microsoft.com/office/word/2010/wordprocessingShape">
                    <wps:wsp>
                      <wps:cNvSpPr txBox="1"/>
                      <wps:spPr>
                        <a:xfrm>
                          <a:off x="7772400" y="4559300"/>
                          <a:ext cx="2397760" cy="12045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3E23D8">
                            <w:pPr>
                              <w:spacing w:line="240" w:lineRule="auto"/>
                              <w:ind w:left="0" w:leftChars="0" w:firstLine="0" w:firstLineChars="0"/>
                              <w:jc w:val="center"/>
                              <w:rPr>
                                <w:rFonts w:hint="eastAsia"/>
                                <w:sz w:val="21"/>
                                <w:szCs w:val="20"/>
                                <w:lang w:val="en-US" w:eastAsia="zh-CN"/>
                              </w:rPr>
                            </w:pPr>
                            <w:r>
                              <w:rPr>
                                <w:rFonts w:hint="eastAsia"/>
                                <w:sz w:val="21"/>
                                <w:szCs w:val="20"/>
                                <w:lang w:val="en-US" w:eastAsia="zh-CN"/>
                              </w:rPr>
                              <w:t>图例</w:t>
                            </w:r>
                          </w:p>
                          <w:p w14:paraId="406FB2DA">
                            <w:pPr>
                              <w:spacing w:line="240" w:lineRule="auto"/>
                              <w:ind w:left="0" w:leftChars="0" w:firstLine="420" w:firstLineChars="200"/>
                              <w:jc w:val="both"/>
                              <w:rPr>
                                <w:rFonts w:hint="eastAsia"/>
                                <w:sz w:val="21"/>
                                <w:szCs w:val="20"/>
                                <w:lang w:val="en-US" w:eastAsia="zh-CN"/>
                              </w:rPr>
                            </w:pPr>
                            <w:r>
                              <w:rPr>
                                <w:rFonts w:hint="eastAsia"/>
                                <w:sz w:val="21"/>
                                <w:szCs w:val="20"/>
                                <w:lang w:val="en-US" w:eastAsia="zh-CN"/>
                              </w:rPr>
                              <w:t>：本项目</w:t>
                            </w:r>
                          </w:p>
                          <w:p w14:paraId="62A429D1">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sz w:val="21"/>
                                <w:szCs w:val="20"/>
                                <w:lang w:val="en-US" w:eastAsia="zh-CN"/>
                              </w:rPr>
                              <w:t>：</w:t>
                            </w:r>
                            <w:r>
                              <w:rPr>
                                <w:rFonts w:hint="default" w:ascii="Times New Roman" w:hAnsi="Times New Roman" w:cs="Times New Roman"/>
                                <w:color w:val="auto"/>
                                <w:sz w:val="21"/>
                                <w:szCs w:val="20"/>
                                <w:highlight w:val="none"/>
                              </w:rPr>
                              <w:t>逊别拉河省级自然保护区</w:t>
                            </w:r>
                          </w:p>
                          <w:p w14:paraId="598AD302">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ascii="Times New Roman" w:hAnsi="Times New Roman" w:cs="Times New Roman"/>
                                <w:color w:val="auto"/>
                                <w:sz w:val="21"/>
                                <w:szCs w:val="20"/>
                                <w:highlight w:val="none"/>
                                <w:lang w:eastAsia="zh-CN"/>
                              </w:rPr>
                              <w:t>：</w:t>
                            </w:r>
                            <w:r>
                              <w:rPr>
                                <w:rFonts w:hint="default" w:ascii="Times New Roman" w:hAnsi="Times New Roman" w:cs="Times New Roman"/>
                                <w:color w:val="auto"/>
                                <w:sz w:val="21"/>
                                <w:szCs w:val="20"/>
                                <w:highlight w:val="none"/>
                              </w:rPr>
                              <w:t>孙吴红旗自然保护区</w:t>
                            </w:r>
                          </w:p>
                          <w:p w14:paraId="5833F8E6">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ascii="Times New Roman" w:hAnsi="Times New Roman" w:cs="Times New Roman"/>
                                <w:color w:val="auto"/>
                                <w:sz w:val="21"/>
                                <w:szCs w:val="20"/>
                                <w:highlight w:val="none"/>
                                <w:lang w:val="en-US" w:eastAsia="zh-CN"/>
                              </w:rPr>
                              <w:t>：平山</w:t>
                            </w:r>
                            <w:r>
                              <w:rPr>
                                <w:rFonts w:hint="default" w:ascii="Times New Roman" w:hAnsi="Times New Roman" w:cs="Times New Roman"/>
                                <w:color w:val="auto"/>
                                <w:sz w:val="21"/>
                                <w:szCs w:val="20"/>
                                <w:highlight w:val="none"/>
                              </w:rPr>
                              <w:t>自然保护区</w:t>
                            </w:r>
                          </w:p>
                          <w:p w14:paraId="1A21BD76">
                            <w:pPr>
                              <w:spacing w:line="240" w:lineRule="auto"/>
                              <w:ind w:left="0" w:leftChars="0" w:firstLine="420" w:firstLineChars="200"/>
                              <w:jc w:val="both"/>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cs="Times New Roman"/>
                                <w:color w:val="auto"/>
                                <w:sz w:val="21"/>
                                <w:szCs w:val="20"/>
                                <w:highlight w:val="none"/>
                                <w:lang w:eastAsia="zh-CN"/>
                              </w:rPr>
                              <w:t>：</w:t>
                            </w:r>
                            <w:r>
                              <w:rPr>
                                <w:rFonts w:hint="default" w:ascii="Times New Roman" w:hAnsi="Times New Roman" w:cs="Times New Roman"/>
                                <w:color w:val="auto"/>
                                <w:sz w:val="21"/>
                                <w:szCs w:val="20"/>
                                <w:highlight w:val="none"/>
                              </w:rPr>
                              <w:t>黑龙江胜山要塞国家森林公园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6.65pt;margin-top:11.1pt;height:94.85pt;width:188.8pt;z-index:251676672;mso-width-relative:page;mso-height-relative:page;" fillcolor="#FFFFFF [3201]" filled="t" stroked="t" coordsize="21600,21600" o:gfxdata="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60cbHWAAAADAEAAA8AAAAAAAAAAQAgAAAAIgAAAGRycy9kb3ducmV2LnhtbFBLAQIUABQA&#10;AAAIAIdO4kDN1ifkZAIAAMQEAAAOAAAAAAAAAAEAIAAAACUBAABkcnMvZTJvRG9jLnhtbFBLBQYA&#10;AAAABgAGAFkBAAD7BQAAAAA=&#10;">
                <v:fill on="t" focussize="0,0"/>
                <v:stroke weight="0.5pt" color="#000000 [3204]" joinstyle="round"/>
                <v:imagedata o:title=""/>
                <o:lock v:ext="edit" aspectratio="f"/>
                <v:textbox>
                  <w:txbxContent>
                    <w:p w14:paraId="1C3E23D8">
                      <w:pPr>
                        <w:spacing w:line="240" w:lineRule="auto"/>
                        <w:ind w:left="0" w:leftChars="0" w:firstLine="0" w:firstLineChars="0"/>
                        <w:jc w:val="center"/>
                        <w:rPr>
                          <w:rFonts w:hint="eastAsia"/>
                          <w:sz w:val="21"/>
                          <w:szCs w:val="20"/>
                          <w:lang w:val="en-US" w:eastAsia="zh-CN"/>
                        </w:rPr>
                      </w:pPr>
                      <w:r>
                        <w:rPr>
                          <w:rFonts w:hint="eastAsia"/>
                          <w:sz w:val="21"/>
                          <w:szCs w:val="20"/>
                          <w:lang w:val="en-US" w:eastAsia="zh-CN"/>
                        </w:rPr>
                        <w:t>图例</w:t>
                      </w:r>
                    </w:p>
                    <w:p w14:paraId="406FB2DA">
                      <w:pPr>
                        <w:spacing w:line="240" w:lineRule="auto"/>
                        <w:ind w:left="0" w:leftChars="0" w:firstLine="420" w:firstLineChars="200"/>
                        <w:jc w:val="both"/>
                        <w:rPr>
                          <w:rFonts w:hint="eastAsia"/>
                          <w:sz w:val="21"/>
                          <w:szCs w:val="20"/>
                          <w:lang w:val="en-US" w:eastAsia="zh-CN"/>
                        </w:rPr>
                      </w:pPr>
                      <w:r>
                        <w:rPr>
                          <w:rFonts w:hint="eastAsia"/>
                          <w:sz w:val="21"/>
                          <w:szCs w:val="20"/>
                          <w:lang w:val="en-US" w:eastAsia="zh-CN"/>
                        </w:rPr>
                        <w:t>：本项目</w:t>
                      </w:r>
                    </w:p>
                    <w:p w14:paraId="62A429D1">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sz w:val="21"/>
                          <w:szCs w:val="20"/>
                          <w:lang w:val="en-US" w:eastAsia="zh-CN"/>
                        </w:rPr>
                        <w:t>：</w:t>
                      </w:r>
                      <w:r>
                        <w:rPr>
                          <w:rFonts w:hint="default" w:ascii="Times New Roman" w:hAnsi="Times New Roman" w:cs="Times New Roman"/>
                          <w:color w:val="auto"/>
                          <w:sz w:val="21"/>
                          <w:szCs w:val="20"/>
                          <w:highlight w:val="none"/>
                        </w:rPr>
                        <w:t>逊别拉河省级自然保护区</w:t>
                      </w:r>
                    </w:p>
                    <w:p w14:paraId="598AD302">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ascii="Times New Roman" w:hAnsi="Times New Roman" w:cs="Times New Roman"/>
                          <w:color w:val="auto"/>
                          <w:sz w:val="21"/>
                          <w:szCs w:val="20"/>
                          <w:highlight w:val="none"/>
                          <w:lang w:eastAsia="zh-CN"/>
                        </w:rPr>
                        <w:t>：</w:t>
                      </w:r>
                      <w:r>
                        <w:rPr>
                          <w:rFonts w:hint="default" w:ascii="Times New Roman" w:hAnsi="Times New Roman" w:cs="Times New Roman"/>
                          <w:color w:val="auto"/>
                          <w:sz w:val="21"/>
                          <w:szCs w:val="20"/>
                          <w:highlight w:val="none"/>
                        </w:rPr>
                        <w:t>孙吴红旗自然保护区</w:t>
                      </w:r>
                    </w:p>
                    <w:p w14:paraId="5833F8E6">
                      <w:pPr>
                        <w:spacing w:line="240" w:lineRule="auto"/>
                        <w:ind w:left="0" w:leftChars="0" w:firstLine="420" w:firstLineChars="200"/>
                        <w:jc w:val="both"/>
                        <w:rPr>
                          <w:rFonts w:hint="default" w:ascii="Times New Roman" w:hAnsi="Times New Roman" w:cs="Times New Roman"/>
                          <w:color w:val="auto"/>
                          <w:sz w:val="21"/>
                          <w:szCs w:val="20"/>
                          <w:highlight w:val="none"/>
                        </w:rPr>
                      </w:pPr>
                      <w:r>
                        <w:rPr>
                          <w:rFonts w:hint="eastAsia" w:ascii="Times New Roman" w:hAnsi="Times New Roman" w:cs="Times New Roman"/>
                          <w:color w:val="auto"/>
                          <w:sz w:val="21"/>
                          <w:szCs w:val="20"/>
                          <w:highlight w:val="none"/>
                          <w:lang w:val="en-US" w:eastAsia="zh-CN"/>
                        </w:rPr>
                        <w:t>：平山</w:t>
                      </w:r>
                      <w:r>
                        <w:rPr>
                          <w:rFonts w:hint="default" w:ascii="Times New Roman" w:hAnsi="Times New Roman" w:cs="Times New Roman"/>
                          <w:color w:val="auto"/>
                          <w:sz w:val="21"/>
                          <w:szCs w:val="20"/>
                          <w:highlight w:val="none"/>
                        </w:rPr>
                        <w:t>自然保护区</w:t>
                      </w:r>
                    </w:p>
                    <w:p w14:paraId="1A21BD76">
                      <w:pPr>
                        <w:spacing w:line="240" w:lineRule="auto"/>
                        <w:ind w:left="0" w:leftChars="0" w:firstLine="420" w:firstLineChars="200"/>
                        <w:jc w:val="both"/>
                        <w:rPr>
                          <w:rFonts w:hint="eastAsia" w:ascii="Times New Roman" w:hAnsi="Times New Roman" w:eastAsia="宋体" w:cs="Times New Roman"/>
                          <w:color w:val="auto"/>
                          <w:sz w:val="21"/>
                          <w:szCs w:val="20"/>
                          <w:highlight w:val="none"/>
                          <w:lang w:val="en-US" w:eastAsia="zh-CN"/>
                        </w:rPr>
                      </w:pPr>
                      <w:r>
                        <w:rPr>
                          <w:rFonts w:hint="eastAsia" w:ascii="Times New Roman" w:hAnsi="Times New Roman" w:cs="Times New Roman"/>
                          <w:color w:val="auto"/>
                          <w:sz w:val="21"/>
                          <w:szCs w:val="20"/>
                          <w:highlight w:val="none"/>
                          <w:lang w:eastAsia="zh-CN"/>
                        </w:rPr>
                        <w:t>：</w:t>
                      </w:r>
                      <w:r>
                        <w:rPr>
                          <w:rFonts w:hint="default" w:ascii="Times New Roman" w:hAnsi="Times New Roman" w:cs="Times New Roman"/>
                          <w:color w:val="auto"/>
                          <w:sz w:val="21"/>
                          <w:szCs w:val="20"/>
                          <w:highlight w:val="none"/>
                        </w:rPr>
                        <w:t>黑龙江胜山要塞国家森林公园</w:t>
                      </w:r>
                    </w:p>
                  </w:txbxContent>
                </v:textbox>
              </v:shape>
            </w:pict>
          </mc:Fallback>
        </mc:AlternateContent>
      </w:r>
    </w:p>
    <w:p w14:paraId="2B4A9E4F">
      <w:pPr>
        <w:bidi w:val="0"/>
        <w:rPr>
          <w:color w:val="auto"/>
          <w:highlight w:val="none"/>
          <w:lang w:val="en-US" w:eastAsia="zh-CN"/>
        </w:rPr>
      </w:pPr>
      <w:r>
        <w:rPr>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6539865</wp:posOffset>
                </wp:positionH>
                <wp:positionV relativeFrom="paragraph">
                  <wp:posOffset>82550</wp:posOffset>
                </wp:positionV>
                <wp:extent cx="190500" cy="156210"/>
                <wp:effectExtent l="22225" t="17780" r="34925" b="16510"/>
                <wp:wrapNone/>
                <wp:docPr id="133" name="五角星 133"/>
                <wp:cNvGraphicFramePr/>
                <a:graphic xmlns:a="http://schemas.openxmlformats.org/drawingml/2006/main">
                  <a:graphicData uri="http://schemas.microsoft.com/office/word/2010/wordprocessingShape">
                    <wps:wsp>
                      <wps:cNvSpPr/>
                      <wps:spPr>
                        <a:xfrm>
                          <a:off x="0" y="0"/>
                          <a:ext cx="190500" cy="15621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4.95pt;margin-top:6.5pt;height:12.3pt;width:15pt;z-index:251682816;v-text-anchor:middle;mso-width-relative:page;mso-height-relative:page;" fillcolor="#FF0000" filled="t" stroked="t" coordsize="190500,156210" o:gfxdata="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x2qtNYAAAALAQAADwAAAAAAAAABACAAAAAiAAAAZHJzL2Rv&#10;d25yZXYueG1sUEsBAhQAFAAAAAgAh07iQNnsitp1AgAA+wQAAA4AAAAAAAAAAQAgAAAAJQEAAGRy&#10;cy9lMm9Eb2MueG1sUEsFBgAAAAAGAAYAWQEAAAwGAAAAAA==&#10;" path="m0,59666l72764,59667,95250,0,117735,59667,190499,59666,131631,96542,154117,156209,95250,119332,36382,156209,58868,96542xe">
                <v:path o:connectlocs="95250,0;0,59666;36382,156209;154117,156209;190499,59666" o:connectangles="247,164,82,82,0"/>
                <v:fill on="t" focussize="0,0"/>
                <v:stroke weight="1pt" color="#FF0000 [2404]" miterlimit="8" joinstyle="miter"/>
                <v:imagedata o:title=""/>
                <o:lock v:ext="edit" aspectratio="f"/>
              </v:shape>
            </w:pict>
          </mc:Fallback>
        </mc:AlternateContent>
      </w:r>
    </w:p>
    <w:p w14:paraId="48F51316">
      <w:pPr>
        <w:bidi w:val="0"/>
        <w:rPr>
          <w:color w:val="auto"/>
          <w:highlight w:val="none"/>
          <w:lang w:val="en-US" w:eastAsia="zh-CN"/>
        </w:rPr>
      </w:pPr>
      <w:r>
        <w:rPr>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6481445</wp:posOffset>
                </wp:positionH>
                <wp:positionV relativeFrom="paragraph">
                  <wp:posOffset>200025</wp:posOffset>
                </wp:positionV>
                <wp:extent cx="285750" cy="146685"/>
                <wp:effectExtent l="6350" t="6350" r="12700" b="18415"/>
                <wp:wrapNone/>
                <wp:docPr id="43" name="矩形 43"/>
                <wp:cNvGraphicFramePr/>
                <a:graphic xmlns:a="http://schemas.openxmlformats.org/drawingml/2006/main">
                  <a:graphicData uri="http://schemas.microsoft.com/office/word/2010/wordprocessingShape">
                    <wps:wsp>
                      <wps:cNvSpPr/>
                      <wps:spPr>
                        <a:xfrm>
                          <a:off x="0" y="0"/>
                          <a:ext cx="285750" cy="146685"/>
                        </a:xfrm>
                        <a:prstGeom prst="rect">
                          <a:avLst/>
                        </a:prstGeom>
                        <a:solidFill>
                          <a:srgbClr val="78BA73"/>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35pt;margin-top:15.75pt;height:11.55pt;width:22.5pt;z-index:251679744;v-text-anchor:middle;mso-width-relative:page;mso-height-relative:page;" fillcolor="#78BA73" filled="t" stroked="t" coordsize="21600,21600" o:gfxdata="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udMEK2QAAAAsBAAAPAAAA&#10;AAAAAAEAIAAAACIAAABkcnMvZG93bnJldi54bWxQSwECFAAUAAAACACHTuJAyYnmLoYCAAAXBQAA&#10;DgAAAAAAAAABACAAAAAoAQAAZHJzL2Uyb0RvYy54bWxQSwUGAAAAAAYABgBZAQAAIAYAAAAA&#10;">
                <v:fill on="t" focussize="0,0"/>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6485255</wp:posOffset>
                </wp:positionH>
                <wp:positionV relativeFrom="paragraph">
                  <wp:posOffset>22225</wp:posOffset>
                </wp:positionV>
                <wp:extent cx="285750" cy="146685"/>
                <wp:effectExtent l="6350" t="6350" r="12700" b="18415"/>
                <wp:wrapNone/>
                <wp:docPr id="14" name="矩形 14"/>
                <wp:cNvGraphicFramePr/>
                <a:graphic xmlns:a="http://schemas.openxmlformats.org/drawingml/2006/main">
                  <a:graphicData uri="http://schemas.microsoft.com/office/word/2010/wordprocessingShape">
                    <wps:wsp>
                      <wps:cNvSpPr/>
                      <wps:spPr>
                        <a:xfrm>
                          <a:off x="7399655" y="4869815"/>
                          <a:ext cx="285750" cy="146685"/>
                        </a:xfrm>
                        <a:prstGeom prst="rect">
                          <a:avLst/>
                        </a:prstGeom>
                        <a:solidFill>
                          <a:srgbClr val="69B278"/>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65pt;margin-top:1.75pt;height:11.55pt;width:22.5pt;z-index:251678720;v-text-anchor:middle;mso-width-relative:page;mso-height-relative:page;" fillcolor="#69B278" filled="t" stroked="t" coordsize="21600,21600" o:gfxdata="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JpYgH7Y&#10;AAAACgEAAA8AAAAAAAAAAQAgAAAAIgAAAGRycy9kb3ducmV2LnhtbFBLAQIUABQAAAAIAIdO4kDY&#10;Ybw2kgIAACMFAAAOAAAAAAAAAAEAIAAAACcBAABkcnMvZTJvRG9jLnhtbFBLBQYAAAAABgAGAFkB&#10;AAArBgAAAAA=&#10;">
                <v:fill on="t" focussize="0,0"/>
                <v:stroke weight="1pt" color="#2F5597 [2404]" miterlimit="8" joinstyle="miter"/>
                <v:imagedata o:title=""/>
                <o:lock v:ext="edit" aspectratio="f"/>
              </v:rect>
            </w:pict>
          </mc:Fallback>
        </mc:AlternateContent>
      </w:r>
    </w:p>
    <w:p w14:paraId="6170CFB7">
      <w:pPr>
        <w:bidi w:val="0"/>
        <w:rPr>
          <w:color w:val="auto"/>
          <w:highlight w:val="none"/>
          <w:lang w:val="en-US" w:eastAsia="zh-CN"/>
        </w:rPr>
      </w:pP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6482715</wp:posOffset>
                </wp:positionH>
                <wp:positionV relativeFrom="paragraph">
                  <wp:posOffset>111125</wp:posOffset>
                </wp:positionV>
                <wp:extent cx="285750" cy="146685"/>
                <wp:effectExtent l="6350" t="6350" r="12700" b="18415"/>
                <wp:wrapNone/>
                <wp:docPr id="130" name="矩形 130"/>
                <wp:cNvGraphicFramePr/>
                <a:graphic xmlns:a="http://schemas.openxmlformats.org/drawingml/2006/main">
                  <a:graphicData uri="http://schemas.microsoft.com/office/word/2010/wordprocessingShape">
                    <wps:wsp>
                      <wps:cNvSpPr/>
                      <wps:spPr>
                        <a:xfrm>
                          <a:off x="0" y="0"/>
                          <a:ext cx="285750" cy="146685"/>
                        </a:xfrm>
                        <a:prstGeom prst="rect">
                          <a:avLst/>
                        </a:prstGeom>
                        <a:solidFill>
                          <a:srgbClr val="BBD032"/>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45pt;margin-top:8.75pt;height:11.55pt;width:22.5pt;z-index:251680768;v-text-anchor:middle;mso-width-relative:page;mso-height-relative:page;" fillcolor="#BBD032" filled="t" stroked="t" coordsize="21600,21600" o:gfxdata="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DlJzd3ZAAAACwEAAA8AAAAA&#10;AAAAAQAgAAAAIgAAAGRycy9kb3ducmV2LnhtbFBLAQIUABQAAAAIAIdO4kBZuqOghQIAABkFAAAO&#10;AAAAAAAAAAEAIAAAACgBAABkcnMvZTJvRG9jLnhtbFBLBQYAAAAABgAGAFkBAAAfBgAAAAA=&#10;">
                <v:fill on="t" focussize="0,0"/>
                <v:stroke weight="1pt" color="#2F5597 [2404]" miterlimit="8" joinstyle="miter"/>
                <v:imagedata o:title=""/>
                <o:lock v:ext="edit" aspectratio="f"/>
              </v:rect>
            </w:pict>
          </mc:Fallback>
        </mc:AlternateContent>
      </w:r>
    </w:p>
    <w:p w14:paraId="265EEC5A">
      <w:pPr>
        <w:bidi w:val="0"/>
        <w:rPr>
          <w:color w:val="auto"/>
          <w:highlight w:val="none"/>
          <w:lang w:val="en-US" w:eastAsia="zh-CN"/>
        </w:rPr>
      </w:pPr>
      <w:r>
        <w:rPr>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6482715</wp:posOffset>
                </wp:positionH>
                <wp:positionV relativeFrom="paragraph">
                  <wp:posOffset>38735</wp:posOffset>
                </wp:positionV>
                <wp:extent cx="285750" cy="146685"/>
                <wp:effectExtent l="6350" t="6350" r="12700" b="18415"/>
                <wp:wrapNone/>
                <wp:docPr id="131" name="矩形 131"/>
                <wp:cNvGraphicFramePr/>
                <a:graphic xmlns:a="http://schemas.openxmlformats.org/drawingml/2006/main">
                  <a:graphicData uri="http://schemas.microsoft.com/office/word/2010/wordprocessingShape">
                    <wps:wsp>
                      <wps:cNvSpPr/>
                      <wps:spPr>
                        <a:xfrm>
                          <a:off x="0" y="0"/>
                          <a:ext cx="285750" cy="146685"/>
                        </a:xfrm>
                        <a:prstGeom prst="rect">
                          <a:avLst/>
                        </a:prstGeom>
                        <a:solidFill>
                          <a:srgbClr val="18674C"/>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45pt;margin-top:3.05pt;height:11.55pt;width:22.5pt;z-index:251681792;v-text-anchor:middle;mso-width-relative:page;mso-height-relative:page;" fillcolor="#18674C" filled="t" stroked="t" coordsize="21600,21600" o:gfxdata="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h2D1V2AAAAAoBAAAPAAAAAAAA&#10;AAEAIAAAACIAAABkcnMvZG93bnJldi54bWxQSwECFAAUAAAACACHTuJAd5MFJoQCAAAZBQAADgAA&#10;AAAAAAABACAAAAAnAQAAZHJzL2Uyb0RvYy54bWxQSwUGAAAAAAYABgBZAQAAHQYAAAAA&#10;">
                <v:fill on="t" focussize="0,0"/>
                <v:stroke weight="1pt" color="#2F5597 [2404]" miterlimit="8" joinstyle="miter"/>
                <v:imagedata o:title=""/>
                <o:lock v:ext="edit" aspectratio="f"/>
              </v:rect>
            </w:pict>
          </mc:Fallback>
        </mc:AlternateContent>
      </w:r>
    </w:p>
    <w:p w14:paraId="6F3090FA">
      <w:pPr>
        <w:bidi w:val="0"/>
        <w:rPr>
          <w:color w:val="auto"/>
          <w:highlight w:val="none"/>
          <w:lang w:val="en-US" w:eastAsia="zh-CN"/>
        </w:rPr>
      </w:pPr>
    </w:p>
    <w:p w14:paraId="13C8BDE3">
      <w:pPr>
        <w:tabs>
          <w:tab w:val="left" w:pos="6068"/>
        </w:tabs>
        <w:bidi w:val="0"/>
        <w:ind w:left="0" w:leftChars="0" w:firstLine="0" w:firstLineChars="0"/>
        <w:jc w:val="center"/>
        <w:rPr>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highlight w:val="none"/>
        </w:rPr>
        <w:t>图</w:t>
      </w:r>
      <w:r>
        <w:rPr>
          <w:rFonts w:hint="default" w:ascii="Times New Roman" w:hAnsi="Times New Roman" w:cs="Times New Roman"/>
          <w:color w:val="auto"/>
          <w:highlight w:val="none"/>
          <w:lang w:val="en-US" w:eastAsia="zh-CN"/>
        </w:rPr>
        <w:t>4.</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cs="Times New Roman"/>
          <w:color w:val="auto"/>
          <w:highlight w:val="none"/>
        </w:rPr>
        <w:t xml:space="preserve"> </w:t>
      </w:r>
      <w:r>
        <w:rPr>
          <w:rFonts w:hint="default" w:ascii="Times New Roman" w:hAnsi="Times New Roman" w:eastAsia="宋体" w:cs="Times New Roman"/>
          <w:color w:val="auto"/>
          <w:highlight w:val="none"/>
          <w:lang w:val="en-US" w:eastAsia="zh-CN"/>
        </w:rPr>
        <w:t xml:space="preserve"> 本项目与</w:t>
      </w:r>
      <w:r>
        <w:rPr>
          <w:rFonts w:hint="eastAsia" w:ascii="Times New Roman" w:hAnsi="Times New Roman" w:eastAsia="宋体" w:cs="Times New Roman"/>
          <w:color w:val="auto"/>
          <w:highlight w:val="none"/>
          <w:lang w:val="en-US" w:eastAsia="zh-CN"/>
        </w:rPr>
        <w:t>各</w:t>
      </w:r>
      <w:r>
        <w:rPr>
          <w:rFonts w:hint="default" w:ascii="Times New Roman" w:hAnsi="Times New Roman" w:eastAsia="宋体" w:cs="Times New Roman"/>
          <w:color w:val="auto"/>
          <w:highlight w:val="none"/>
          <w:lang w:val="en-US" w:eastAsia="zh-CN"/>
        </w:rPr>
        <w:t>自然保护区位置关系图</w:t>
      </w:r>
    </w:p>
    <w:p w14:paraId="412652D0">
      <w:pPr>
        <w:pStyle w:val="5"/>
        <w:spacing w:line="500" w:lineRule="exact"/>
        <w:rPr>
          <w:rFonts w:hint="default" w:ascii="Times New Roman" w:hAnsi="Times New Roman" w:cs="Times New Roman"/>
          <w:color w:val="auto"/>
          <w:highlight w:val="none"/>
        </w:rPr>
      </w:pPr>
      <w:bookmarkStart w:id="309" w:name="_Toc6878"/>
      <w:r>
        <w:rPr>
          <w:rFonts w:hint="default" w:ascii="Times New Roman" w:hAnsi="Times New Roman" w:cs="Times New Roman"/>
          <w:color w:val="auto"/>
          <w:highlight w:val="none"/>
        </w:rPr>
        <w:t>4.</w:t>
      </w:r>
      <w:bookmarkEnd w:id="288"/>
      <w:bookmarkEnd w:id="289"/>
      <w:bookmarkEnd w:id="290"/>
      <w:bookmarkEnd w:id="291"/>
      <w:bookmarkEnd w:id="292"/>
      <w:bookmarkEnd w:id="293"/>
      <w:bookmarkEnd w:id="294"/>
      <w:bookmarkEnd w:id="295"/>
      <w:bookmarkStart w:id="310" w:name="_Toc422224754"/>
      <w:bookmarkStart w:id="311" w:name="_Toc244330533"/>
      <w:bookmarkStart w:id="312" w:name="_Toc244329293"/>
      <w:bookmarkStart w:id="313" w:name="_Toc449393549"/>
      <w:bookmarkStart w:id="314" w:name="_Toc244330367"/>
      <w:bookmarkStart w:id="315" w:name="_Toc402352956"/>
      <w:r>
        <w:rPr>
          <w:rFonts w:hint="default" w:ascii="Times New Roman" w:hAnsi="Times New Roman" w:cs="Times New Roman"/>
          <w:color w:val="auto"/>
          <w:highlight w:val="none"/>
        </w:rPr>
        <w:t>1.</w:t>
      </w:r>
      <w:r>
        <w:rPr>
          <w:rFonts w:hint="eastAsia" w:cs="Times New Roman"/>
          <w:color w:val="auto"/>
          <w:highlight w:val="none"/>
          <w:lang w:val="en-US" w:eastAsia="zh-CN"/>
        </w:rPr>
        <w:t>3</w:t>
      </w:r>
      <w:r>
        <w:rPr>
          <w:rFonts w:hint="default" w:ascii="Times New Roman" w:hAnsi="Times New Roman" w:cs="Times New Roman"/>
          <w:color w:val="auto"/>
          <w:highlight w:val="none"/>
        </w:rPr>
        <w:t>区域环境功能区划</w:t>
      </w:r>
      <w:bookmarkEnd w:id="296"/>
      <w:bookmarkEnd w:id="297"/>
      <w:bookmarkEnd w:id="309"/>
      <w:bookmarkEnd w:id="310"/>
      <w:bookmarkEnd w:id="311"/>
      <w:bookmarkEnd w:id="312"/>
      <w:bookmarkEnd w:id="313"/>
      <w:bookmarkEnd w:id="314"/>
      <w:bookmarkEnd w:id="315"/>
    </w:p>
    <w:p w14:paraId="3802E599">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（1）空气环境</w:t>
      </w:r>
    </w:p>
    <w:p w14:paraId="676DFED5">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bookmarkStart w:id="316" w:name="_Hlk44598697"/>
      <w:r>
        <w:rPr>
          <w:rFonts w:hint="default" w:ascii="Times New Roman" w:hAnsi="Times New Roman" w:eastAsia="宋体" w:cs="Times New Roman"/>
          <w:color w:val="auto"/>
          <w:highlight w:val="none"/>
        </w:rPr>
        <w:t>根据环境空气质量功能区划，场址位于《环境空气质量标准》（GB3095-20</w:t>
      </w:r>
      <w:r>
        <w:rPr>
          <w:rFonts w:hint="eastAsia" w:eastAsia="宋体" w:cs="Times New Roman"/>
          <w:color w:val="auto"/>
          <w:highlight w:val="none"/>
          <w:lang w:val="en-US" w:eastAsia="zh-CN"/>
        </w:rPr>
        <w:t>26</w:t>
      </w:r>
      <w:r>
        <w:rPr>
          <w:rFonts w:hint="default" w:ascii="Times New Roman" w:hAnsi="Times New Roman" w:eastAsia="宋体" w:cs="Times New Roman"/>
          <w:color w:val="auto"/>
          <w:highlight w:val="none"/>
        </w:rPr>
        <w:t>）二类区。</w:t>
      </w:r>
    </w:p>
    <w:p w14:paraId="7202360F">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（2）地表水环境</w:t>
      </w:r>
    </w:p>
    <w:p w14:paraId="4E72C31F">
      <w:pPr>
        <w:keepNext w:val="0"/>
        <w:keepLines w:val="0"/>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本项目所在流域河流为</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，根据《全国重要江河湖泊水功能区划（2011-2030年）》，项目所在区域松花江所在一级水功能区名称为逊别拉河逊克县、孙吴县开发利用区，起始断面为</w:t>
      </w:r>
      <w:r>
        <w:rPr>
          <w:rFonts w:hint="eastAsia" w:eastAsia="宋体" w:cs="Times New Roman"/>
          <w:color w:val="auto"/>
          <w:highlight w:val="none"/>
          <w:lang w:val="en-US" w:eastAsia="zh-CN"/>
        </w:rPr>
        <w:t>平山林场</w:t>
      </w:r>
      <w:r>
        <w:rPr>
          <w:rFonts w:hint="default" w:ascii="Times New Roman" w:hAnsi="Times New Roman" w:eastAsia="宋体" w:cs="Times New Roman"/>
          <w:color w:val="auto"/>
          <w:highlight w:val="none"/>
        </w:rPr>
        <w:t>，终止断面为</w:t>
      </w:r>
      <w:r>
        <w:rPr>
          <w:rFonts w:hint="eastAsia" w:eastAsia="宋体" w:cs="Times New Roman"/>
          <w:color w:val="auto"/>
          <w:highlight w:val="none"/>
          <w:lang w:val="en-US" w:eastAsia="zh-CN"/>
        </w:rPr>
        <w:t>逊河镇</w:t>
      </w:r>
      <w:r>
        <w:rPr>
          <w:rFonts w:hint="default" w:ascii="Times New Roman" w:hAnsi="Times New Roman" w:eastAsia="宋体" w:cs="Times New Roman"/>
          <w:color w:val="auto"/>
          <w:highlight w:val="none"/>
        </w:rPr>
        <w:t>，水质标准为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r>
        <w:rPr>
          <w:rFonts w:hint="eastAsia" w:eastAsia="宋体" w:cs="Times New Roman"/>
          <w:color w:val="auto"/>
          <w:highlight w:val="none"/>
          <w:lang w:val="en-US" w:eastAsia="zh-CN"/>
        </w:rPr>
        <w:t>故本项目</w:t>
      </w:r>
      <w:r>
        <w:rPr>
          <w:rFonts w:hint="default" w:ascii="Times New Roman" w:hAnsi="Times New Roman" w:eastAsia="宋体" w:cs="Times New Roman"/>
          <w:color w:val="auto"/>
          <w:highlight w:val="none"/>
        </w:rPr>
        <w:t>执行《地表水环境质量标准》（GB3838-2002）</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6F5493DB">
      <w:pPr>
        <w:keepNext w:val="0"/>
        <w:keepLines w:val="0"/>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根据黑河市生态环境局发布的国考地表水月报，对水温、pH值、导电率、溶解氧、高锰酸盐指数、氨氮、总磷等指标进行检测，202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月至202</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年12月逊别拉河</w:t>
      </w:r>
      <w:r>
        <w:rPr>
          <w:rFonts w:hint="eastAsia" w:cs="Times New Roman"/>
          <w:color w:val="auto"/>
          <w:highlight w:val="none"/>
          <w:lang w:val="en-US" w:eastAsia="zh-CN"/>
        </w:rPr>
        <w:t>逊河镇</w:t>
      </w:r>
      <w:r>
        <w:rPr>
          <w:rFonts w:hint="default" w:ascii="Times New Roman" w:hAnsi="Times New Roman" w:cs="Times New Roman"/>
          <w:color w:val="auto"/>
          <w:highlight w:val="none"/>
          <w:lang w:val="en-US" w:eastAsia="zh-CN"/>
        </w:rPr>
        <w:t>断面水质状况良好，仅</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月和8月水质现状不能满足III类标准，主要是由于河流两岸农田使用农药，造成水质超标，其他月份均能够达到水功能区划标准（Ⅲ类）。</w:t>
      </w:r>
    </w:p>
    <w:p w14:paraId="4AA7C3E6">
      <w:pPr>
        <w:pStyle w:val="489"/>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表4</w:t>
      </w:r>
      <w:r>
        <w:rPr>
          <w:rFonts w:hint="eastAsia" w:cs="Times New Roman"/>
          <w:color w:val="auto"/>
          <w:highlight w:val="none"/>
          <w:lang w:val="en-US" w:eastAsia="zh-CN"/>
        </w:rPr>
        <w:t>-1-1</w:t>
      </w:r>
      <w:r>
        <w:rPr>
          <w:rFonts w:hint="default" w:ascii="Times New Roman" w:hAnsi="Times New Roman" w:cs="Times New Roman"/>
          <w:color w:val="auto"/>
          <w:highlight w:val="none"/>
          <w:lang w:val="en-US" w:eastAsia="zh-CN"/>
        </w:rPr>
        <w:t xml:space="preserve">  地表水环境质量情况一览表</w:t>
      </w:r>
    </w:p>
    <w:tbl>
      <w:tblPr>
        <w:tblStyle w:val="47"/>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61"/>
        <w:gridCol w:w="1274"/>
        <w:gridCol w:w="1453"/>
        <w:gridCol w:w="1442"/>
        <w:gridCol w:w="1645"/>
        <w:gridCol w:w="1646"/>
      </w:tblGrid>
      <w:tr w14:paraId="776D12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359CE4E3">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时间</w:t>
            </w:r>
          </w:p>
        </w:tc>
        <w:tc>
          <w:tcPr>
            <w:tcW w:w="706" w:type="pct"/>
            <w:noWrap w:val="0"/>
            <w:vAlign w:val="top"/>
          </w:tcPr>
          <w:p w14:paraId="29209C99">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河流名称</w:t>
            </w:r>
          </w:p>
        </w:tc>
        <w:tc>
          <w:tcPr>
            <w:tcW w:w="805" w:type="pct"/>
            <w:noWrap w:val="0"/>
            <w:vAlign w:val="top"/>
          </w:tcPr>
          <w:p w14:paraId="03C0ED6D">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断面名称</w:t>
            </w:r>
          </w:p>
        </w:tc>
        <w:tc>
          <w:tcPr>
            <w:tcW w:w="799" w:type="pct"/>
            <w:noWrap w:val="0"/>
            <w:vAlign w:val="top"/>
          </w:tcPr>
          <w:p w14:paraId="33C43E39">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水质功能类别</w:t>
            </w:r>
          </w:p>
        </w:tc>
        <w:tc>
          <w:tcPr>
            <w:tcW w:w="911" w:type="pct"/>
            <w:noWrap w:val="0"/>
            <w:vAlign w:val="top"/>
          </w:tcPr>
          <w:p w14:paraId="561E613A">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水质现状类别</w:t>
            </w:r>
          </w:p>
        </w:tc>
        <w:tc>
          <w:tcPr>
            <w:tcW w:w="911" w:type="pct"/>
            <w:noWrap w:val="0"/>
            <w:vAlign w:val="top"/>
          </w:tcPr>
          <w:p w14:paraId="5958E20C">
            <w:pPr>
              <w:pStyle w:val="49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达标情况</w:t>
            </w:r>
          </w:p>
        </w:tc>
      </w:tr>
      <w:tr w14:paraId="6EA2C2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64C1D73B">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1</w:t>
            </w:r>
            <w:r>
              <w:rPr>
                <w:rFonts w:hint="default" w:cs="Times New Roman"/>
                <w:color w:val="auto"/>
                <w:highlight w:val="none"/>
                <w:lang w:val="en-US" w:eastAsia="zh-CN"/>
              </w:rPr>
              <w:t>月</w:t>
            </w:r>
          </w:p>
        </w:tc>
        <w:tc>
          <w:tcPr>
            <w:tcW w:w="706" w:type="pct"/>
            <w:noWrap w:val="0"/>
            <w:vAlign w:val="top"/>
          </w:tcPr>
          <w:p w14:paraId="41656539">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1C727DD6">
            <w:pPr>
              <w:pStyle w:val="49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7F72A27A">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1C340D54">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ROMAN \* MERGEFORMAT </w:instrText>
            </w:r>
            <w:r>
              <w:rPr>
                <w:rFonts w:hint="default" w:ascii="Times New Roman" w:hAnsi="Times New Roman" w:cs="Times New Roman"/>
                <w:color w:val="auto"/>
                <w:highlight w:val="none"/>
              </w:rPr>
              <w:fldChar w:fldCharType="separate"/>
            </w:r>
            <w:r>
              <w:rPr>
                <w:color w:val="auto"/>
                <w:highlight w:val="none"/>
              </w:rPr>
              <w:t>II</w:t>
            </w:r>
            <w:r>
              <w:rPr>
                <w:rFonts w:hint="default" w:ascii="Times New Roman" w:hAnsi="Times New Roman" w:cs="Times New Roman"/>
                <w:color w:val="auto"/>
                <w:highlight w:val="none"/>
              </w:rPr>
              <w:fldChar w:fldCharType="end"/>
            </w:r>
          </w:p>
        </w:tc>
        <w:tc>
          <w:tcPr>
            <w:tcW w:w="911" w:type="pct"/>
            <w:noWrap w:val="0"/>
            <w:vAlign w:val="top"/>
          </w:tcPr>
          <w:p w14:paraId="279C7937">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6545C9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53344EDF">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2</w:t>
            </w:r>
            <w:r>
              <w:rPr>
                <w:rFonts w:hint="default" w:cs="Times New Roman"/>
                <w:color w:val="auto"/>
                <w:highlight w:val="none"/>
                <w:lang w:val="en-US" w:eastAsia="zh-CN"/>
              </w:rPr>
              <w:t>月</w:t>
            </w:r>
          </w:p>
        </w:tc>
        <w:tc>
          <w:tcPr>
            <w:tcW w:w="706" w:type="pct"/>
            <w:noWrap w:val="0"/>
            <w:vAlign w:val="top"/>
          </w:tcPr>
          <w:p w14:paraId="287E816F">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051ACC53">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0B88DDF6">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1B6C717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54E4684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03E854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2057CA98">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3</w:t>
            </w:r>
            <w:r>
              <w:rPr>
                <w:rFonts w:hint="default" w:cs="Times New Roman"/>
                <w:color w:val="auto"/>
                <w:highlight w:val="none"/>
                <w:lang w:val="en-US" w:eastAsia="zh-CN"/>
              </w:rPr>
              <w:t>月</w:t>
            </w:r>
          </w:p>
        </w:tc>
        <w:tc>
          <w:tcPr>
            <w:tcW w:w="706" w:type="pct"/>
            <w:noWrap w:val="0"/>
            <w:vAlign w:val="top"/>
          </w:tcPr>
          <w:p w14:paraId="31CE5F3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4CF0C94D">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5E7DA49D">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3153C3E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ROMAN \* MERGEFORMAT </w:instrText>
            </w:r>
            <w:r>
              <w:rPr>
                <w:rFonts w:hint="default" w:ascii="Times New Roman" w:hAnsi="Times New Roman" w:cs="Times New Roman"/>
                <w:color w:val="auto"/>
                <w:highlight w:val="none"/>
              </w:rPr>
              <w:fldChar w:fldCharType="separate"/>
            </w:r>
            <w:r>
              <w:rPr>
                <w:color w:val="auto"/>
                <w:highlight w:val="none"/>
              </w:rPr>
              <w:t>II</w:t>
            </w:r>
            <w:r>
              <w:rPr>
                <w:rFonts w:hint="default" w:ascii="Times New Roman" w:hAnsi="Times New Roman" w:cs="Times New Roman"/>
                <w:color w:val="auto"/>
                <w:highlight w:val="none"/>
              </w:rPr>
              <w:fldChar w:fldCharType="end"/>
            </w:r>
          </w:p>
        </w:tc>
        <w:tc>
          <w:tcPr>
            <w:tcW w:w="911" w:type="pct"/>
            <w:noWrap w:val="0"/>
            <w:vAlign w:val="top"/>
          </w:tcPr>
          <w:p w14:paraId="03A3A18E">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359986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12FFD58B">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4</w:t>
            </w:r>
            <w:r>
              <w:rPr>
                <w:rFonts w:hint="default" w:cs="Times New Roman"/>
                <w:color w:val="auto"/>
                <w:highlight w:val="none"/>
                <w:lang w:val="en-US" w:eastAsia="zh-CN"/>
              </w:rPr>
              <w:t>月</w:t>
            </w:r>
          </w:p>
        </w:tc>
        <w:tc>
          <w:tcPr>
            <w:tcW w:w="706" w:type="pct"/>
            <w:noWrap w:val="0"/>
            <w:vAlign w:val="top"/>
          </w:tcPr>
          <w:p w14:paraId="2805967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1A585B2C">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shd w:val="clear" w:color="auto" w:fill="auto"/>
            <w:noWrap w:val="0"/>
            <w:vAlign w:val="top"/>
          </w:tcPr>
          <w:p w14:paraId="315CB159">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shd w:val="clear" w:color="auto" w:fill="auto"/>
            <w:noWrap w:val="0"/>
            <w:vAlign w:val="top"/>
          </w:tcPr>
          <w:p w14:paraId="4309A435">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Ⅳ</w:t>
            </w:r>
          </w:p>
        </w:tc>
        <w:tc>
          <w:tcPr>
            <w:tcW w:w="911" w:type="pct"/>
            <w:noWrap w:val="0"/>
            <w:vAlign w:val="top"/>
          </w:tcPr>
          <w:p w14:paraId="065DEE35">
            <w:pPr>
              <w:pStyle w:val="491"/>
              <w:bidi w:val="0"/>
              <w:rPr>
                <w:rFonts w:hint="default" w:ascii="Times New Roman" w:hAnsi="Times New Roman" w:cs="Times New Roman"/>
                <w:color w:val="auto"/>
                <w:highlight w:val="none"/>
              </w:rPr>
            </w:pPr>
            <w:r>
              <w:rPr>
                <w:rFonts w:hint="eastAsia" w:cs="Times New Roman"/>
                <w:color w:val="auto"/>
                <w:highlight w:val="none"/>
                <w:lang w:val="en-US" w:eastAsia="zh-CN"/>
              </w:rPr>
              <w:t>超标</w:t>
            </w:r>
          </w:p>
        </w:tc>
      </w:tr>
      <w:tr w14:paraId="754C7A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5EDA2A15">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5</w:t>
            </w:r>
            <w:r>
              <w:rPr>
                <w:rFonts w:hint="default" w:cs="Times New Roman"/>
                <w:color w:val="auto"/>
                <w:highlight w:val="none"/>
                <w:lang w:val="en-US" w:eastAsia="zh-CN"/>
              </w:rPr>
              <w:t>月</w:t>
            </w:r>
          </w:p>
        </w:tc>
        <w:tc>
          <w:tcPr>
            <w:tcW w:w="706" w:type="pct"/>
            <w:noWrap w:val="0"/>
            <w:vAlign w:val="top"/>
          </w:tcPr>
          <w:p w14:paraId="0558DA6F">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35A0347D">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1B199544">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622A1B0B">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79B3DA9A">
            <w:pPr>
              <w:pStyle w:val="491"/>
              <w:bidi w:val="0"/>
              <w:rPr>
                <w:rFonts w:hint="default" w:ascii="Times New Roman" w:hAnsi="Times New Roman" w:cs="Times New Roman"/>
                <w:color w:val="auto"/>
                <w:highlight w:val="none"/>
              </w:rPr>
            </w:pPr>
            <w:r>
              <w:rPr>
                <w:rFonts w:hint="eastAsia" w:cs="Times New Roman"/>
                <w:color w:val="auto"/>
                <w:highlight w:val="none"/>
                <w:lang w:val="en-US" w:eastAsia="zh-CN"/>
              </w:rPr>
              <w:t>达标</w:t>
            </w:r>
          </w:p>
        </w:tc>
      </w:tr>
      <w:tr w14:paraId="4CB05E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41E4B07B">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6</w:t>
            </w:r>
            <w:r>
              <w:rPr>
                <w:rFonts w:hint="default" w:cs="Times New Roman"/>
                <w:color w:val="auto"/>
                <w:highlight w:val="none"/>
                <w:lang w:val="en-US" w:eastAsia="zh-CN"/>
              </w:rPr>
              <w:t>月</w:t>
            </w:r>
          </w:p>
        </w:tc>
        <w:tc>
          <w:tcPr>
            <w:tcW w:w="706" w:type="pct"/>
            <w:noWrap w:val="0"/>
            <w:vAlign w:val="top"/>
          </w:tcPr>
          <w:p w14:paraId="388093D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5EE270C4">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1C30F426">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7DFC5FD9">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5E1B8F06">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34753D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31B99FFC">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7</w:t>
            </w:r>
            <w:r>
              <w:rPr>
                <w:rFonts w:hint="default" w:cs="Times New Roman"/>
                <w:color w:val="auto"/>
                <w:highlight w:val="none"/>
                <w:lang w:val="en-US" w:eastAsia="zh-CN"/>
              </w:rPr>
              <w:t>月</w:t>
            </w:r>
          </w:p>
        </w:tc>
        <w:tc>
          <w:tcPr>
            <w:tcW w:w="706" w:type="pct"/>
            <w:noWrap w:val="0"/>
            <w:vAlign w:val="top"/>
          </w:tcPr>
          <w:p w14:paraId="034972C6">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584E7FFD">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3D0094CE">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6AEA6362">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300C5F70">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2736FD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4BD8D39F">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8</w:t>
            </w:r>
            <w:r>
              <w:rPr>
                <w:rFonts w:hint="default" w:cs="Times New Roman"/>
                <w:color w:val="auto"/>
                <w:highlight w:val="none"/>
                <w:lang w:val="en-US" w:eastAsia="zh-CN"/>
              </w:rPr>
              <w:t>月</w:t>
            </w:r>
          </w:p>
        </w:tc>
        <w:tc>
          <w:tcPr>
            <w:tcW w:w="706" w:type="pct"/>
            <w:noWrap w:val="0"/>
            <w:vAlign w:val="top"/>
          </w:tcPr>
          <w:p w14:paraId="7188199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37A556F4">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shd w:val="clear" w:color="auto" w:fill="auto"/>
            <w:noWrap w:val="0"/>
            <w:vAlign w:val="top"/>
          </w:tcPr>
          <w:p w14:paraId="721B4833">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shd w:val="clear" w:color="auto" w:fill="auto"/>
            <w:noWrap w:val="0"/>
            <w:vAlign w:val="top"/>
          </w:tcPr>
          <w:p w14:paraId="41204764">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Ⅳ</w:t>
            </w:r>
          </w:p>
        </w:tc>
        <w:tc>
          <w:tcPr>
            <w:tcW w:w="911" w:type="pct"/>
            <w:noWrap w:val="0"/>
            <w:vAlign w:val="top"/>
          </w:tcPr>
          <w:p w14:paraId="31CB5E31">
            <w:pPr>
              <w:pStyle w:val="491"/>
              <w:bidi w:val="0"/>
              <w:rPr>
                <w:rFonts w:hint="default" w:ascii="Times New Roman" w:hAnsi="Times New Roman" w:cs="Times New Roman"/>
                <w:color w:val="auto"/>
                <w:highlight w:val="none"/>
              </w:rPr>
            </w:pPr>
            <w:r>
              <w:rPr>
                <w:rFonts w:hint="eastAsia" w:cs="Times New Roman"/>
                <w:color w:val="auto"/>
                <w:highlight w:val="none"/>
                <w:lang w:val="en-US" w:eastAsia="zh-CN"/>
              </w:rPr>
              <w:t>超标</w:t>
            </w:r>
          </w:p>
        </w:tc>
      </w:tr>
      <w:tr w14:paraId="7E8B6F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73434161">
            <w:pPr>
              <w:pStyle w:val="491"/>
              <w:bidi w:val="0"/>
              <w:rPr>
                <w:rFonts w:hint="default" w:cs="Times New Roman"/>
                <w:color w:val="auto"/>
                <w:highlight w:val="none"/>
                <w:lang w:val="en-US" w:eastAsia="zh-CN"/>
              </w:rPr>
            </w:pPr>
            <w:r>
              <w:rPr>
                <w:rFonts w:hint="default" w:cs="Times New Roman"/>
                <w:color w:val="auto"/>
                <w:highlight w:val="none"/>
                <w:lang w:val="en-US" w:eastAsia="zh-CN"/>
              </w:rPr>
              <w:t>202</w:t>
            </w:r>
            <w:r>
              <w:rPr>
                <w:rFonts w:hint="eastAsia" w:cs="Times New Roman"/>
                <w:color w:val="auto"/>
                <w:highlight w:val="none"/>
                <w:lang w:val="en-US" w:eastAsia="zh-CN"/>
              </w:rPr>
              <w:t>5</w:t>
            </w:r>
            <w:r>
              <w:rPr>
                <w:rFonts w:hint="default" w:cs="Times New Roman"/>
                <w:color w:val="auto"/>
                <w:highlight w:val="none"/>
                <w:lang w:val="en-US" w:eastAsia="zh-CN"/>
              </w:rPr>
              <w:t>年</w:t>
            </w:r>
            <w:r>
              <w:rPr>
                <w:rFonts w:hint="eastAsia" w:cs="Times New Roman"/>
                <w:color w:val="auto"/>
                <w:highlight w:val="none"/>
                <w:lang w:val="en-US" w:eastAsia="zh-CN"/>
              </w:rPr>
              <w:t>9</w:t>
            </w:r>
            <w:r>
              <w:rPr>
                <w:rFonts w:hint="default" w:cs="Times New Roman"/>
                <w:color w:val="auto"/>
                <w:highlight w:val="none"/>
                <w:lang w:val="en-US" w:eastAsia="zh-CN"/>
              </w:rPr>
              <w:t>月</w:t>
            </w:r>
          </w:p>
        </w:tc>
        <w:tc>
          <w:tcPr>
            <w:tcW w:w="706" w:type="pct"/>
            <w:noWrap w:val="0"/>
            <w:vAlign w:val="top"/>
          </w:tcPr>
          <w:p w14:paraId="7F72E4CD">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逊别拉河</w:t>
            </w:r>
          </w:p>
        </w:tc>
        <w:tc>
          <w:tcPr>
            <w:tcW w:w="805" w:type="pct"/>
            <w:noWrap w:val="0"/>
            <w:vAlign w:val="top"/>
          </w:tcPr>
          <w:p w14:paraId="1ABD99C2">
            <w:pPr>
              <w:pStyle w:val="491"/>
              <w:bidi w:val="0"/>
              <w:rPr>
                <w:rFonts w:hint="default" w:cs="Times New Roman"/>
                <w:color w:val="auto"/>
                <w:highlight w:val="none"/>
                <w:lang w:val="en-US" w:eastAsia="zh-CN"/>
              </w:rPr>
            </w:pPr>
            <w:r>
              <w:rPr>
                <w:rFonts w:hint="eastAsia" w:cs="Times New Roman"/>
                <w:color w:val="auto"/>
                <w:highlight w:val="none"/>
                <w:lang w:val="en-US" w:eastAsia="zh-CN"/>
              </w:rPr>
              <w:t>逊河镇</w:t>
            </w:r>
          </w:p>
        </w:tc>
        <w:tc>
          <w:tcPr>
            <w:tcW w:w="799" w:type="pct"/>
            <w:noWrap w:val="0"/>
            <w:vAlign w:val="top"/>
          </w:tcPr>
          <w:p w14:paraId="7A56EFB4">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2253CC93">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noWrap w:val="0"/>
            <w:vAlign w:val="top"/>
          </w:tcPr>
          <w:p w14:paraId="18EB810E">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0286F4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23057E87">
            <w:pPr>
              <w:pStyle w:val="491"/>
              <w:bidi w:val="0"/>
              <w:rPr>
                <w:rFonts w:hint="default" w:cs="Times New Roman"/>
                <w:color w:val="auto"/>
                <w:highlight w:val="none"/>
                <w:lang w:val="en-US" w:eastAsia="zh-CN"/>
              </w:rPr>
            </w:pPr>
            <w:r>
              <w:rPr>
                <w:rFonts w:hint="default" w:ascii="Times New Roman" w:hAnsi="Times New Roman" w:cs="Times New Roman"/>
                <w:color w:val="auto"/>
                <w:highlight w:val="none"/>
              </w:rPr>
              <w:t>202</w:t>
            </w:r>
            <w:r>
              <w:rPr>
                <w:rFonts w:hint="eastAsia" w:cs="Times New Roman"/>
                <w:color w:val="auto"/>
                <w:highlight w:val="none"/>
                <w:lang w:val="en-US" w:eastAsia="zh-CN"/>
              </w:rPr>
              <w:t>5</w:t>
            </w:r>
            <w:r>
              <w:rPr>
                <w:rFonts w:hint="default" w:ascii="Times New Roman" w:hAnsi="Times New Roman" w:cs="Times New Roman"/>
                <w:color w:val="auto"/>
                <w:highlight w:val="none"/>
              </w:rPr>
              <w:t>年</w:t>
            </w:r>
            <w:r>
              <w:rPr>
                <w:rFonts w:hint="eastAsia" w:cs="Times New Roman"/>
                <w:color w:val="auto"/>
                <w:highlight w:val="none"/>
                <w:lang w:val="en-US" w:eastAsia="zh-CN"/>
              </w:rPr>
              <w:t>10</w:t>
            </w:r>
            <w:r>
              <w:rPr>
                <w:rFonts w:hint="default" w:ascii="Times New Roman" w:hAnsi="Times New Roman" w:cs="Times New Roman"/>
                <w:color w:val="auto"/>
                <w:highlight w:val="none"/>
              </w:rPr>
              <w:t>月</w:t>
            </w:r>
          </w:p>
        </w:tc>
        <w:tc>
          <w:tcPr>
            <w:tcW w:w="706" w:type="pct"/>
            <w:shd w:val="clear" w:color="auto" w:fill="auto"/>
            <w:noWrap w:val="0"/>
            <w:vAlign w:val="top"/>
          </w:tcPr>
          <w:p w14:paraId="3A1F97ED">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逊别拉河</w:t>
            </w:r>
          </w:p>
        </w:tc>
        <w:tc>
          <w:tcPr>
            <w:tcW w:w="805" w:type="pct"/>
            <w:shd w:val="clear" w:color="auto" w:fill="auto"/>
            <w:noWrap w:val="0"/>
            <w:vAlign w:val="top"/>
          </w:tcPr>
          <w:p w14:paraId="5BF1FBEF">
            <w:pPr>
              <w:pStyle w:val="491"/>
              <w:bidi w:val="0"/>
              <w:rPr>
                <w:rFonts w:hint="eastAsia"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逊河镇</w:t>
            </w:r>
          </w:p>
        </w:tc>
        <w:tc>
          <w:tcPr>
            <w:tcW w:w="799" w:type="pct"/>
            <w:noWrap w:val="0"/>
            <w:vAlign w:val="top"/>
          </w:tcPr>
          <w:p w14:paraId="01F1E580">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Ⅲ</w:t>
            </w:r>
          </w:p>
        </w:tc>
        <w:tc>
          <w:tcPr>
            <w:tcW w:w="911" w:type="pct"/>
            <w:shd w:val="clear" w:color="auto" w:fill="auto"/>
            <w:noWrap w:val="0"/>
            <w:vAlign w:val="top"/>
          </w:tcPr>
          <w:p w14:paraId="07B5715D">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ROMAN \* MERGEFORMAT </w:instrText>
            </w:r>
            <w:r>
              <w:rPr>
                <w:rFonts w:hint="default" w:ascii="Times New Roman" w:hAnsi="Times New Roman" w:cs="Times New Roman"/>
                <w:color w:val="auto"/>
                <w:highlight w:val="none"/>
              </w:rPr>
              <w:fldChar w:fldCharType="separate"/>
            </w:r>
            <w:r>
              <w:rPr>
                <w:color w:val="auto"/>
                <w:highlight w:val="none"/>
              </w:rPr>
              <w:t>II</w:t>
            </w:r>
            <w:r>
              <w:rPr>
                <w:rFonts w:hint="default" w:ascii="Times New Roman" w:hAnsi="Times New Roman" w:cs="Times New Roman"/>
                <w:color w:val="auto"/>
                <w:highlight w:val="none"/>
              </w:rPr>
              <w:fldChar w:fldCharType="end"/>
            </w:r>
          </w:p>
        </w:tc>
        <w:tc>
          <w:tcPr>
            <w:tcW w:w="911" w:type="pct"/>
            <w:noWrap w:val="0"/>
            <w:vAlign w:val="top"/>
          </w:tcPr>
          <w:p w14:paraId="6E767D9C">
            <w:pPr>
              <w:pStyle w:val="49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6F8C62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6DFA0BB6">
            <w:pPr>
              <w:pStyle w:val="491"/>
              <w:bidi w:val="0"/>
              <w:rPr>
                <w:rFonts w:hint="default" w:cs="Times New Roman"/>
                <w:color w:val="auto"/>
                <w:highlight w:val="none"/>
                <w:lang w:val="en-US" w:eastAsia="zh-CN"/>
              </w:rPr>
            </w:pPr>
            <w:r>
              <w:rPr>
                <w:rFonts w:hint="default" w:ascii="Times New Roman" w:hAnsi="Times New Roman" w:cs="Times New Roman"/>
                <w:color w:val="auto"/>
                <w:highlight w:val="none"/>
              </w:rPr>
              <w:t>202</w:t>
            </w:r>
            <w:r>
              <w:rPr>
                <w:rFonts w:hint="eastAsia" w:cs="Times New Roman"/>
                <w:color w:val="auto"/>
                <w:highlight w:val="none"/>
                <w:lang w:val="en-US" w:eastAsia="zh-CN"/>
              </w:rPr>
              <w:t>5</w:t>
            </w:r>
            <w:r>
              <w:rPr>
                <w:rFonts w:hint="default" w:ascii="Times New Roman" w:hAnsi="Times New Roman" w:cs="Times New Roman"/>
                <w:color w:val="auto"/>
                <w:highlight w:val="none"/>
              </w:rPr>
              <w:t>年</w:t>
            </w:r>
            <w:r>
              <w:rPr>
                <w:rFonts w:hint="eastAsia" w:cs="Times New Roman"/>
                <w:color w:val="auto"/>
                <w:highlight w:val="none"/>
                <w:lang w:val="en-US" w:eastAsia="zh-CN"/>
              </w:rPr>
              <w:t>11</w:t>
            </w:r>
            <w:r>
              <w:rPr>
                <w:rFonts w:hint="default" w:ascii="Times New Roman" w:hAnsi="Times New Roman" w:cs="Times New Roman"/>
                <w:color w:val="auto"/>
                <w:highlight w:val="none"/>
              </w:rPr>
              <w:t>月</w:t>
            </w:r>
          </w:p>
        </w:tc>
        <w:tc>
          <w:tcPr>
            <w:tcW w:w="706" w:type="pct"/>
            <w:shd w:val="clear" w:color="auto" w:fill="auto"/>
            <w:noWrap w:val="0"/>
            <w:vAlign w:val="top"/>
          </w:tcPr>
          <w:p w14:paraId="7C8A9C15">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逊别拉河</w:t>
            </w:r>
          </w:p>
        </w:tc>
        <w:tc>
          <w:tcPr>
            <w:tcW w:w="805" w:type="pct"/>
            <w:shd w:val="clear" w:color="auto" w:fill="auto"/>
            <w:noWrap w:val="0"/>
            <w:vAlign w:val="top"/>
          </w:tcPr>
          <w:p w14:paraId="24367827">
            <w:pPr>
              <w:pStyle w:val="491"/>
              <w:bidi w:val="0"/>
              <w:rPr>
                <w:rFonts w:hint="eastAsia"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逊河镇</w:t>
            </w:r>
          </w:p>
        </w:tc>
        <w:tc>
          <w:tcPr>
            <w:tcW w:w="799" w:type="pct"/>
            <w:shd w:val="clear" w:color="auto" w:fill="auto"/>
            <w:noWrap w:val="0"/>
            <w:vAlign w:val="top"/>
          </w:tcPr>
          <w:p w14:paraId="4B8B45F8">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shd w:val="clear" w:color="auto" w:fill="auto"/>
            <w:noWrap w:val="0"/>
            <w:vAlign w:val="top"/>
          </w:tcPr>
          <w:p w14:paraId="3AB7531B">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noWrap w:val="0"/>
            <w:vAlign w:val="top"/>
          </w:tcPr>
          <w:p w14:paraId="3DC31EB3">
            <w:pPr>
              <w:pStyle w:val="49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r w14:paraId="402B34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865" w:type="pct"/>
            <w:noWrap w:val="0"/>
            <w:vAlign w:val="top"/>
          </w:tcPr>
          <w:p w14:paraId="40CCF9A0">
            <w:pPr>
              <w:pStyle w:val="491"/>
              <w:bidi w:val="0"/>
              <w:rPr>
                <w:rFonts w:hint="default" w:cs="Times New Roman"/>
                <w:color w:val="auto"/>
                <w:highlight w:val="none"/>
                <w:lang w:val="en-US" w:eastAsia="zh-CN"/>
              </w:rPr>
            </w:pPr>
            <w:r>
              <w:rPr>
                <w:rFonts w:hint="default" w:ascii="Times New Roman" w:hAnsi="Times New Roman" w:cs="Times New Roman"/>
                <w:color w:val="auto"/>
                <w:highlight w:val="none"/>
              </w:rPr>
              <w:t>202</w:t>
            </w:r>
            <w:r>
              <w:rPr>
                <w:rFonts w:hint="eastAsia" w:cs="Times New Roman"/>
                <w:color w:val="auto"/>
                <w:highlight w:val="none"/>
                <w:lang w:val="en-US" w:eastAsia="zh-CN"/>
              </w:rPr>
              <w:t>5</w:t>
            </w:r>
            <w:r>
              <w:rPr>
                <w:rFonts w:hint="default" w:ascii="Times New Roman" w:hAnsi="Times New Roman" w:cs="Times New Roman"/>
                <w:color w:val="auto"/>
                <w:highlight w:val="none"/>
              </w:rPr>
              <w:t>年</w:t>
            </w:r>
            <w:r>
              <w:rPr>
                <w:rFonts w:hint="eastAsia" w:cs="Times New Roman"/>
                <w:color w:val="auto"/>
                <w:highlight w:val="none"/>
                <w:lang w:val="en-US" w:eastAsia="zh-CN"/>
              </w:rPr>
              <w:t>12</w:t>
            </w:r>
            <w:r>
              <w:rPr>
                <w:rFonts w:hint="default" w:ascii="Times New Roman" w:hAnsi="Times New Roman" w:cs="Times New Roman"/>
                <w:color w:val="auto"/>
                <w:highlight w:val="none"/>
              </w:rPr>
              <w:t>月</w:t>
            </w:r>
          </w:p>
        </w:tc>
        <w:tc>
          <w:tcPr>
            <w:tcW w:w="706" w:type="pct"/>
            <w:shd w:val="clear" w:color="auto" w:fill="auto"/>
            <w:noWrap w:val="0"/>
            <w:vAlign w:val="top"/>
          </w:tcPr>
          <w:p w14:paraId="43CA6ED4">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逊别拉河</w:t>
            </w:r>
          </w:p>
        </w:tc>
        <w:tc>
          <w:tcPr>
            <w:tcW w:w="805" w:type="pct"/>
            <w:shd w:val="clear" w:color="auto" w:fill="auto"/>
            <w:noWrap w:val="0"/>
            <w:vAlign w:val="top"/>
          </w:tcPr>
          <w:p w14:paraId="7AAA1FC1">
            <w:pPr>
              <w:pStyle w:val="491"/>
              <w:bidi w:val="0"/>
              <w:rPr>
                <w:rFonts w:hint="eastAsia" w:ascii="Times New Roman" w:hAnsi="Times New Roman" w:eastAsia="宋体" w:cs="Times New Roman"/>
                <w:bCs/>
                <w:iCs/>
                <w:color w:val="auto"/>
                <w:kern w:val="2"/>
                <w:sz w:val="21"/>
                <w:szCs w:val="28"/>
                <w:highlight w:val="none"/>
                <w:lang w:val="en-US" w:eastAsia="zh-CN" w:bidi="ar-SA"/>
              </w:rPr>
            </w:pPr>
            <w:r>
              <w:rPr>
                <w:rFonts w:hint="eastAsia" w:cs="Times New Roman"/>
                <w:color w:val="auto"/>
                <w:highlight w:val="none"/>
                <w:lang w:val="en-US" w:eastAsia="zh-CN"/>
              </w:rPr>
              <w:t>逊河镇</w:t>
            </w:r>
          </w:p>
        </w:tc>
        <w:tc>
          <w:tcPr>
            <w:tcW w:w="799" w:type="pct"/>
            <w:shd w:val="clear" w:color="auto" w:fill="auto"/>
            <w:noWrap w:val="0"/>
            <w:vAlign w:val="top"/>
          </w:tcPr>
          <w:p w14:paraId="27774EA3">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shd w:val="clear" w:color="auto" w:fill="auto"/>
            <w:noWrap w:val="0"/>
            <w:vAlign w:val="top"/>
          </w:tcPr>
          <w:p w14:paraId="256B94E8">
            <w:pPr>
              <w:pStyle w:val="491"/>
              <w:bidi w:val="0"/>
              <w:rPr>
                <w:rFonts w:hint="default" w:ascii="Times New Roman" w:hAnsi="Times New Roman" w:eastAsia="宋体" w:cs="Times New Roman"/>
                <w:bCs/>
                <w:iCs/>
                <w:color w:val="auto"/>
                <w:kern w:val="2"/>
                <w:sz w:val="21"/>
                <w:szCs w:val="28"/>
                <w:highlight w:val="none"/>
                <w:lang w:val="en-US" w:eastAsia="zh-CN" w:bidi="ar-SA"/>
              </w:rPr>
            </w:pPr>
            <w:r>
              <w:rPr>
                <w:rFonts w:hint="default" w:ascii="Times New Roman" w:hAnsi="Times New Roman" w:cs="Times New Roman"/>
                <w:color w:val="auto"/>
                <w:highlight w:val="none"/>
              </w:rPr>
              <w:t>Ⅲ</w:t>
            </w:r>
          </w:p>
        </w:tc>
        <w:tc>
          <w:tcPr>
            <w:tcW w:w="911" w:type="pct"/>
            <w:noWrap w:val="0"/>
            <w:vAlign w:val="top"/>
          </w:tcPr>
          <w:p w14:paraId="4E9B8446">
            <w:pPr>
              <w:pStyle w:val="49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达标</w:t>
            </w:r>
          </w:p>
        </w:tc>
      </w:tr>
    </w:tbl>
    <w:p w14:paraId="1F20807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（3）声环境</w:t>
      </w:r>
    </w:p>
    <w:p w14:paraId="030681E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本项目场区周围声环境执行《声环境质量标准》（GB3096-2008）中的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类标准。</w:t>
      </w:r>
    </w:p>
    <w:p w14:paraId="28467EC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（4）地下水环境</w:t>
      </w:r>
    </w:p>
    <w:p w14:paraId="400C27D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本项目所在区域地下水执行《地下水质量标准》（GB/T14848-2017）中</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01D511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（5）土壤环境</w:t>
      </w:r>
    </w:p>
    <w:p w14:paraId="57848D2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本项目占地类型为</w:t>
      </w:r>
      <w:r>
        <w:rPr>
          <w:rFonts w:hint="eastAsia"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，西侧为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北侧</w:t>
      </w:r>
      <w:r>
        <w:rPr>
          <w:rFonts w:hint="default" w:ascii="Times New Roman" w:hAnsi="Times New Roman" w:eastAsia="宋体" w:cs="Times New Roman"/>
          <w:color w:val="auto"/>
          <w:highlight w:val="none"/>
        </w:rPr>
        <w:t>隔路为</w:t>
      </w:r>
      <w:r>
        <w:rPr>
          <w:rFonts w:hint="default" w:ascii="Times New Roman" w:hAnsi="Times New Roman" w:eastAsia="宋体" w:cs="Times New Roman"/>
          <w:color w:val="auto"/>
          <w:highlight w:val="none"/>
          <w:lang w:val="en-US" w:eastAsia="zh-CN"/>
        </w:rPr>
        <w:t>沙棘地，</w:t>
      </w:r>
      <w:r>
        <w:rPr>
          <w:rFonts w:hint="default" w:ascii="Times New Roman" w:hAnsi="Times New Roman" w:eastAsia="宋体" w:cs="Times New Roman"/>
          <w:color w:val="auto"/>
          <w:highlight w:val="none"/>
        </w:rPr>
        <w:t>东侧为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，南侧为</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。项目所在区域土壤环境执行《土壤环境质量 建设用地土壤污染风险管控标准（试行）》（GB36680-2018）第二类用地风险筛选值。</w:t>
      </w:r>
    </w:p>
    <w:bookmarkEnd w:id="316"/>
    <w:p w14:paraId="4FA89786">
      <w:pPr>
        <w:pStyle w:val="4"/>
        <w:rPr>
          <w:rFonts w:hint="default" w:ascii="Times New Roman" w:hAnsi="Times New Roman" w:cs="Times New Roman"/>
          <w:color w:val="auto"/>
          <w:highlight w:val="none"/>
        </w:rPr>
      </w:pPr>
      <w:bookmarkStart w:id="317" w:name="_Toc7338893"/>
      <w:bookmarkStart w:id="318" w:name="_Toc25580"/>
      <w:bookmarkStart w:id="319" w:name="_Toc57713660"/>
      <w:r>
        <w:rPr>
          <w:rFonts w:hint="default" w:ascii="Times New Roman" w:hAnsi="Times New Roman" w:cs="Times New Roman"/>
          <w:color w:val="auto"/>
          <w:highlight w:val="none"/>
        </w:rPr>
        <w:t>4.2环境质量现状评价</w:t>
      </w:r>
      <w:bookmarkEnd w:id="317"/>
      <w:bookmarkEnd w:id="318"/>
      <w:bookmarkEnd w:id="319"/>
    </w:p>
    <w:p w14:paraId="35D92C02">
      <w:pPr>
        <w:pStyle w:val="5"/>
        <w:spacing w:line="500" w:lineRule="exact"/>
        <w:rPr>
          <w:rFonts w:hint="default" w:ascii="Times New Roman" w:hAnsi="Times New Roman" w:cs="Times New Roman"/>
          <w:color w:val="auto"/>
          <w:highlight w:val="none"/>
        </w:rPr>
      </w:pPr>
      <w:bookmarkStart w:id="320" w:name="_Toc396852153"/>
      <w:bookmarkStart w:id="321" w:name="_Toc7338894"/>
      <w:bookmarkStart w:id="322" w:name="_Toc57713661"/>
      <w:bookmarkStart w:id="323" w:name="_Toc457029097"/>
      <w:bookmarkStart w:id="324" w:name="_Toc32644"/>
      <w:r>
        <w:rPr>
          <w:rFonts w:hint="default" w:ascii="Times New Roman" w:hAnsi="Times New Roman" w:cs="Times New Roman"/>
          <w:color w:val="auto"/>
          <w:highlight w:val="none"/>
        </w:rPr>
        <w:t>4.2.1环境空气质量现状</w:t>
      </w:r>
      <w:bookmarkEnd w:id="320"/>
      <w:bookmarkEnd w:id="321"/>
      <w:bookmarkEnd w:id="322"/>
      <w:bookmarkEnd w:id="323"/>
      <w:r>
        <w:rPr>
          <w:rFonts w:hint="default" w:ascii="Times New Roman" w:hAnsi="Times New Roman" w:cs="Times New Roman"/>
          <w:color w:val="auto"/>
          <w:highlight w:val="none"/>
        </w:rPr>
        <w:t>评价</w:t>
      </w:r>
      <w:bookmarkEnd w:id="324"/>
    </w:p>
    <w:p w14:paraId="6419D14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大气环境》（HJ2.2-2018）中“6环境空气质量现状调查与评价”要求，一级评价项目需调查项目所在区域环境质量达标情况，作为项目所在区域是否为达标区的判断依据；调查评价范围内有环境质量标准的评价因子的环境质量监测数据或进行补充监测，用于评价项目所在区域污染物环境质量现状，以及计算环境空气保护目标和网格点的环境质量现状浓度。</w:t>
      </w:r>
    </w:p>
    <w:p w14:paraId="4E29B0E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本工程所在区域环境质量达标情况的判定采用</w:t>
      </w:r>
      <w:r>
        <w:rPr>
          <w:rFonts w:hint="default" w:ascii="Times New Roman" w:hAnsi="Times New Roman" w:eastAsia="宋体" w:cs="Times New Roman"/>
          <w:snapToGrid w:val="0"/>
          <w:color w:val="auto"/>
          <w:kern w:val="0"/>
          <w:sz w:val="24"/>
          <w:szCs w:val="28"/>
          <w:highlight w:val="none"/>
          <w:lang w:val="en-US" w:eastAsia="zh-Hans"/>
        </w:rPr>
        <w:t>《202</w:t>
      </w:r>
      <w:r>
        <w:rPr>
          <w:rFonts w:hint="eastAsia" w:cs="Times New Roman"/>
          <w:snapToGrid w:val="0"/>
          <w:color w:val="auto"/>
          <w:kern w:val="0"/>
          <w:sz w:val="24"/>
          <w:szCs w:val="28"/>
          <w:highlight w:val="none"/>
          <w:lang w:val="en-US" w:eastAsia="zh-CN"/>
        </w:rPr>
        <w:t>5</w:t>
      </w:r>
      <w:r>
        <w:rPr>
          <w:rFonts w:hint="default" w:ascii="Times New Roman" w:hAnsi="Times New Roman" w:eastAsia="宋体" w:cs="Times New Roman"/>
          <w:snapToGrid w:val="0"/>
          <w:color w:val="auto"/>
          <w:kern w:val="0"/>
          <w:sz w:val="24"/>
          <w:szCs w:val="28"/>
          <w:highlight w:val="none"/>
          <w:lang w:val="en-US" w:eastAsia="zh-Hans"/>
        </w:rPr>
        <w:t>年黑龙江省生态环境质量状况》</w:t>
      </w:r>
      <w:r>
        <w:rPr>
          <w:rFonts w:hint="default" w:ascii="Times New Roman" w:hAnsi="Times New Roman" w:eastAsia="宋体" w:cs="Times New Roman"/>
          <w:color w:val="auto"/>
          <w:highlight w:val="none"/>
        </w:rPr>
        <w:t>中的数据来作为判断依据。根据《环境影响评价技术导则 大气环境》（HJ2.2-2018）中“6.2.2其他污染物环境质量现状数据”要求，“评价范围内没有环境空气质量监测网数据或公开发布的环境空气质量现状数据的，可收集评价范围内近3年与项目排放的其他污染物有关的历史监测资料”。因此，本次评价进行补充监测。</w:t>
      </w:r>
    </w:p>
    <w:p w14:paraId="0FAE13D5">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4.2.1.1项目所在区域环境质量现状</w:t>
      </w:r>
    </w:p>
    <w:p w14:paraId="0DE77D90">
      <w:pPr>
        <w:spacing w:line="500" w:lineRule="exact"/>
        <w:rPr>
          <w:rFonts w:hint="default" w:ascii="Times New Roman" w:hAnsi="Times New Roman" w:eastAsia="宋体" w:cs="Times New Roman"/>
          <w:color w:val="auto"/>
          <w:highlight w:val="none"/>
        </w:rPr>
      </w:pPr>
      <w:bookmarkStart w:id="325" w:name="_Hlk44598760"/>
      <w:r>
        <w:rPr>
          <w:rFonts w:hint="default" w:ascii="Times New Roman" w:hAnsi="Times New Roman" w:eastAsia="宋体" w:cs="Times New Roman"/>
          <w:color w:val="auto"/>
          <w:highlight w:val="none"/>
        </w:rPr>
        <w:t>根据</w:t>
      </w:r>
      <w:r>
        <w:rPr>
          <w:rFonts w:hint="default" w:ascii="Times New Roman" w:hAnsi="Times New Roman" w:eastAsia="宋体" w:cs="Times New Roman"/>
          <w:snapToGrid w:val="0"/>
          <w:color w:val="auto"/>
          <w:kern w:val="0"/>
          <w:sz w:val="24"/>
          <w:szCs w:val="28"/>
          <w:highlight w:val="none"/>
          <w:lang w:val="en-US" w:eastAsia="zh-Hans"/>
        </w:rPr>
        <w:t>《202</w:t>
      </w:r>
      <w:r>
        <w:rPr>
          <w:rFonts w:hint="eastAsia" w:cs="Times New Roman"/>
          <w:snapToGrid w:val="0"/>
          <w:color w:val="auto"/>
          <w:kern w:val="0"/>
          <w:sz w:val="24"/>
          <w:szCs w:val="28"/>
          <w:highlight w:val="none"/>
          <w:lang w:val="en-US" w:eastAsia="zh-CN"/>
        </w:rPr>
        <w:t>5</w:t>
      </w:r>
      <w:r>
        <w:rPr>
          <w:rFonts w:hint="default" w:ascii="Times New Roman" w:hAnsi="Times New Roman" w:eastAsia="宋体" w:cs="Times New Roman"/>
          <w:snapToGrid w:val="0"/>
          <w:color w:val="auto"/>
          <w:kern w:val="0"/>
          <w:sz w:val="24"/>
          <w:szCs w:val="28"/>
          <w:highlight w:val="none"/>
          <w:lang w:val="en-US" w:eastAsia="zh-Hans"/>
        </w:rPr>
        <w:t>年黑龙江省生态环境质量状况》</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黑河市</w:t>
      </w:r>
      <w:r>
        <w:rPr>
          <w:rFonts w:hint="default" w:ascii="Times New Roman" w:hAnsi="Times New Roman" w:eastAsia="宋体" w:cs="Times New Roman"/>
          <w:color w:val="auto"/>
          <w:highlight w:val="none"/>
        </w:rPr>
        <w:t>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年环境空气质量达标率</w:t>
      </w:r>
      <w:r>
        <w:rPr>
          <w:rFonts w:hint="eastAsia" w:cs="Times New Roman"/>
          <w:color w:val="auto"/>
          <w:highlight w:val="none"/>
          <w:lang w:val="en-US" w:eastAsia="zh-CN"/>
        </w:rPr>
        <w:t>99.2</w:t>
      </w:r>
      <w:r>
        <w:rPr>
          <w:rFonts w:hint="default" w:ascii="Times New Roman" w:hAnsi="Times New Roman" w:eastAsia="宋体" w:cs="Times New Roman"/>
          <w:color w:val="auto"/>
          <w:highlight w:val="none"/>
        </w:rPr>
        <w:t>%。</w:t>
      </w:r>
      <w:r>
        <w:rPr>
          <w:rFonts w:hint="default" w:ascii="Times New Roman" w:hAnsi="Times New Roman" w:eastAsia="宋体" w:cs="Times New Roman"/>
          <w:snapToGrid w:val="0"/>
          <w:color w:val="auto"/>
          <w:kern w:val="0"/>
          <w:sz w:val="24"/>
          <w:szCs w:val="28"/>
          <w:highlight w:val="none"/>
          <w:lang w:val="en-US" w:eastAsia="zh-Hans"/>
        </w:rPr>
        <w:t>SO</w:t>
      </w:r>
      <w:r>
        <w:rPr>
          <w:rFonts w:hint="default" w:ascii="Times New Roman" w:hAnsi="Times New Roman" w:eastAsia="宋体" w:cs="Times New Roman"/>
          <w:snapToGrid w:val="0"/>
          <w:color w:val="auto"/>
          <w:kern w:val="0"/>
          <w:sz w:val="24"/>
          <w:szCs w:val="28"/>
          <w:highlight w:val="none"/>
          <w:vertAlign w:val="subscript"/>
          <w:lang w:val="en-US" w:eastAsia="zh-Hans"/>
        </w:rPr>
        <w:t>2</w:t>
      </w:r>
      <w:r>
        <w:rPr>
          <w:rFonts w:hint="default" w:ascii="Times New Roman" w:hAnsi="Times New Roman" w:eastAsia="宋体" w:cs="Times New Roman"/>
          <w:snapToGrid w:val="0"/>
          <w:color w:val="auto"/>
          <w:kern w:val="0"/>
          <w:sz w:val="24"/>
          <w:szCs w:val="28"/>
          <w:highlight w:val="none"/>
          <w:lang w:val="en-US" w:eastAsia="zh-Hans"/>
        </w:rPr>
        <w:t>、NO</w:t>
      </w:r>
      <w:r>
        <w:rPr>
          <w:rFonts w:hint="default" w:ascii="Times New Roman" w:hAnsi="Times New Roman" w:eastAsia="宋体" w:cs="Times New Roman"/>
          <w:snapToGrid w:val="0"/>
          <w:color w:val="auto"/>
          <w:kern w:val="0"/>
          <w:sz w:val="24"/>
          <w:szCs w:val="28"/>
          <w:highlight w:val="none"/>
          <w:vertAlign w:val="subscript"/>
          <w:lang w:val="en-US" w:eastAsia="zh-Hans"/>
        </w:rPr>
        <w:t>2</w:t>
      </w:r>
      <w:r>
        <w:rPr>
          <w:rFonts w:hint="default" w:ascii="Times New Roman" w:hAnsi="Times New Roman" w:eastAsia="宋体" w:cs="Times New Roman"/>
          <w:snapToGrid w:val="0"/>
          <w:color w:val="auto"/>
          <w:kern w:val="0"/>
          <w:sz w:val="24"/>
          <w:szCs w:val="28"/>
          <w:highlight w:val="none"/>
          <w:lang w:val="en-US" w:eastAsia="zh-Hans"/>
        </w:rPr>
        <w:t>、PM</w:t>
      </w:r>
      <w:r>
        <w:rPr>
          <w:rFonts w:hint="default" w:ascii="Times New Roman" w:hAnsi="Times New Roman" w:eastAsia="宋体" w:cs="Times New Roman"/>
          <w:snapToGrid w:val="0"/>
          <w:color w:val="auto"/>
          <w:kern w:val="0"/>
          <w:sz w:val="24"/>
          <w:szCs w:val="28"/>
          <w:highlight w:val="none"/>
          <w:vertAlign w:val="subscript"/>
          <w:lang w:val="en-US" w:eastAsia="zh-Hans"/>
        </w:rPr>
        <w:t>10</w:t>
      </w:r>
      <w:r>
        <w:rPr>
          <w:rFonts w:hint="default" w:ascii="Times New Roman" w:hAnsi="Times New Roman" w:eastAsia="宋体" w:cs="Times New Roman"/>
          <w:snapToGrid w:val="0"/>
          <w:color w:val="auto"/>
          <w:kern w:val="0"/>
          <w:sz w:val="24"/>
          <w:szCs w:val="28"/>
          <w:highlight w:val="none"/>
          <w:lang w:val="en-US" w:eastAsia="zh-Hans"/>
        </w:rPr>
        <w:t>、PM</w:t>
      </w:r>
      <w:r>
        <w:rPr>
          <w:rFonts w:hint="default" w:ascii="Times New Roman" w:hAnsi="Times New Roman" w:eastAsia="宋体" w:cs="Times New Roman"/>
          <w:snapToGrid w:val="0"/>
          <w:color w:val="auto"/>
          <w:kern w:val="0"/>
          <w:sz w:val="24"/>
          <w:szCs w:val="28"/>
          <w:highlight w:val="none"/>
          <w:vertAlign w:val="subscript"/>
          <w:lang w:val="en-US" w:eastAsia="zh-Hans"/>
        </w:rPr>
        <w:t>2.5</w:t>
      </w:r>
      <w:r>
        <w:rPr>
          <w:rFonts w:hint="default" w:ascii="Times New Roman" w:hAnsi="Times New Roman" w:eastAsia="宋体" w:cs="Times New Roman"/>
          <w:snapToGrid w:val="0"/>
          <w:color w:val="auto"/>
          <w:kern w:val="0"/>
          <w:sz w:val="24"/>
          <w:szCs w:val="28"/>
          <w:highlight w:val="none"/>
          <w:lang w:val="en-US" w:eastAsia="zh-Hans"/>
        </w:rPr>
        <w:t>年均浓度</w:t>
      </w:r>
      <w:r>
        <w:rPr>
          <w:rFonts w:hint="default" w:ascii="Times New Roman" w:hAnsi="Times New Roman" w:eastAsia="宋体" w:cs="Times New Roman"/>
          <w:snapToGrid w:val="0"/>
          <w:color w:val="auto"/>
          <w:kern w:val="0"/>
          <w:sz w:val="24"/>
          <w:szCs w:val="28"/>
          <w:highlight w:val="none"/>
          <w:lang w:val="en-US" w:eastAsia="zh-CN"/>
        </w:rPr>
        <w:t>、</w:t>
      </w:r>
      <w:r>
        <w:rPr>
          <w:rFonts w:hint="default" w:ascii="Times New Roman" w:hAnsi="Times New Roman" w:eastAsia="宋体" w:cs="Times New Roman"/>
          <w:snapToGrid w:val="0"/>
          <w:color w:val="auto"/>
          <w:kern w:val="0"/>
          <w:sz w:val="24"/>
          <w:szCs w:val="28"/>
          <w:highlight w:val="none"/>
          <w:lang w:val="en-US" w:eastAsia="zh-Hans"/>
        </w:rPr>
        <w:t>CO24小时平均第95百分位数</w:t>
      </w:r>
      <w:r>
        <w:rPr>
          <w:rFonts w:hint="default" w:ascii="Times New Roman" w:hAnsi="Times New Roman" w:eastAsia="宋体" w:cs="Times New Roman"/>
          <w:snapToGrid w:val="0"/>
          <w:color w:val="auto"/>
          <w:kern w:val="0"/>
          <w:sz w:val="24"/>
          <w:szCs w:val="28"/>
          <w:highlight w:val="none"/>
          <w:lang w:val="en-US" w:eastAsia="zh-CN"/>
        </w:rPr>
        <w:t>、</w:t>
      </w:r>
      <w:r>
        <w:rPr>
          <w:rFonts w:hint="default" w:ascii="Times New Roman" w:hAnsi="Times New Roman" w:eastAsia="宋体" w:cs="Times New Roman"/>
          <w:snapToGrid w:val="0"/>
          <w:color w:val="auto"/>
          <w:kern w:val="0"/>
          <w:sz w:val="24"/>
          <w:szCs w:val="28"/>
          <w:highlight w:val="none"/>
          <w:lang w:val="en-US" w:eastAsia="zh-Hans"/>
        </w:rPr>
        <w:t>O</w:t>
      </w:r>
      <w:r>
        <w:rPr>
          <w:rFonts w:hint="default" w:ascii="Times New Roman" w:hAnsi="Times New Roman" w:eastAsia="宋体" w:cs="Times New Roman"/>
          <w:snapToGrid w:val="0"/>
          <w:color w:val="auto"/>
          <w:kern w:val="0"/>
          <w:sz w:val="24"/>
          <w:szCs w:val="28"/>
          <w:highlight w:val="none"/>
          <w:vertAlign w:val="subscript"/>
          <w:lang w:val="en-US" w:eastAsia="zh-Hans"/>
        </w:rPr>
        <w:t>3</w:t>
      </w:r>
      <w:r>
        <w:rPr>
          <w:rFonts w:hint="default" w:ascii="Times New Roman" w:hAnsi="Times New Roman" w:eastAsia="宋体" w:cs="Times New Roman"/>
          <w:snapToGrid w:val="0"/>
          <w:color w:val="auto"/>
          <w:kern w:val="0"/>
          <w:sz w:val="24"/>
          <w:szCs w:val="28"/>
          <w:highlight w:val="none"/>
          <w:lang w:val="en-US" w:eastAsia="zh-Hans"/>
        </w:rPr>
        <w:t>日最大8小时平均第90百分位数</w:t>
      </w:r>
      <w:r>
        <w:rPr>
          <w:rFonts w:hint="default" w:ascii="Times New Roman" w:hAnsi="Times New Roman" w:eastAsia="宋体" w:cs="Times New Roman"/>
          <w:snapToGrid w:val="0"/>
          <w:color w:val="auto"/>
          <w:kern w:val="0"/>
          <w:sz w:val="24"/>
          <w:szCs w:val="28"/>
          <w:highlight w:val="none"/>
          <w:lang w:val="en-US" w:eastAsia="zh-CN"/>
        </w:rPr>
        <w:t>见下表</w:t>
      </w:r>
      <w:r>
        <w:rPr>
          <w:rFonts w:hint="default" w:ascii="Times New Roman" w:hAnsi="Times New Roman" w:eastAsia="宋体" w:cs="Times New Roman"/>
          <w:snapToGrid w:val="0"/>
          <w:color w:val="auto"/>
          <w:kern w:val="0"/>
          <w:sz w:val="28"/>
          <w:szCs w:val="32"/>
          <w:highlight w:val="none"/>
          <w:lang w:val="en-US" w:eastAsia="zh-Hans"/>
        </w:rPr>
        <w:t>。</w:t>
      </w:r>
    </w:p>
    <w:p w14:paraId="14AD1ADC">
      <w:pPr>
        <w:pStyle w:val="489"/>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bookmarkStart w:id="326" w:name="_Hlk26984052"/>
      <w:bookmarkStart w:id="327" w:name="_Hlk6925715"/>
      <w:r>
        <w:rPr>
          <w:rFonts w:hint="default" w:ascii="Times New Roman" w:hAnsi="Times New Roman" w:cs="Times New Roman"/>
          <w:color w:val="auto"/>
          <w:highlight w:val="none"/>
          <w:lang w:eastAsia="zh-CN"/>
        </w:rPr>
        <w:t>黑河</w:t>
      </w:r>
      <w:r>
        <w:rPr>
          <w:rFonts w:hint="default" w:ascii="Times New Roman" w:hAnsi="Times New Roman" w:cs="Times New Roman"/>
          <w:color w:val="auto"/>
          <w:highlight w:val="none"/>
        </w:rPr>
        <w:t>市环境空气质量现状评价表</w:t>
      </w:r>
    </w:p>
    <w:tbl>
      <w:tblPr>
        <w:tblStyle w:val="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26"/>
        <w:gridCol w:w="3813"/>
        <w:gridCol w:w="1155"/>
        <w:gridCol w:w="1142"/>
        <w:gridCol w:w="1058"/>
        <w:gridCol w:w="932"/>
      </w:tblGrid>
      <w:tr w14:paraId="49778C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jc w:val="center"/>
        </w:trPr>
        <w:tc>
          <w:tcPr>
            <w:tcW w:w="895" w:type="dxa"/>
            <w:vAlign w:val="center"/>
          </w:tcPr>
          <w:p w14:paraId="708A874B">
            <w:pPr>
              <w:pStyle w:val="491"/>
              <w:bidi w:val="0"/>
              <w:rPr>
                <w:rFonts w:hint="default" w:ascii="Times New Roman" w:hAnsi="Times New Roman" w:cs="Times New Roman"/>
                <w:color w:val="auto"/>
                <w:highlight w:val="none"/>
              </w:rPr>
            </w:pPr>
            <w:bookmarkStart w:id="328" w:name="_Hlk11617145"/>
            <w:r>
              <w:rPr>
                <w:rFonts w:hint="default" w:ascii="Times New Roman" w:hAnsi="Times New Roman" w:cs="Times New Roman"/>
                <w:color w:val="auto"/>
                <w:highlight w:val="none"/>
              </w:rPr>
              <w:t>污染物</w:t>
            </w:r>
          </w:p>
        </w:tc>
        <w:tc>
          <w:tcPr>
            <w:tcW w:w="3690" w:type="dxa"/>
            <w:vAlign w:val="center"/>
          </w:tcPr>
          <w:p w14:paraId="11AA789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年评价指标</w:t>
            </w:r>
          </w:p>
        </w:tc>
        <w:tc>
          <w:tcPr>
            <w:tcW w:w="1119" w:type="dxa"/>
            <w:vAlign w:val="center"/>
          </w:tcPr>
          <w:p w14:paraId="595626C7">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现状浓度/μg/m</w:t>
            </w:r>
            <w:r>
              <w:rPr>
                <w:rFonts w:hint="default" w:ascii="Times New Roman" w:hAnsi="Times New Roman" w:cs="Times New Roman"/>
                <w:color w:val="auto"/>
                <w:highlight w:val="none"/>
                <w:vertAlign w:val="superscript"/>
              </w:rPr>
              <w:t>3</w:t>
            </w:r>
          </w:p>
        </w:tc>
        <w:tc>
          <w:tcPr>
            <w:tcW w:w="1104" w:type="dxa"/>
            <w:vAlign w:val="center"/>
          </w:tcPr>
          <w:p w14:paraId="35349803">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标准值/μg/m</w:t>
            </w:r>
            <w:r>
              <w:rPr>
                <w:rFonts w:hint="default" w:ascii="Times New Roman" w:hAnsi="Times New Roman" w:cs="Times New Roman"/>
                <w:color w:val="auto"/>
                <w:highlight w:val="none"/>
                <w:vertAlign w:val="superscript"/>
              </w:rPr>
              <w:t>3</w:t>
            </w:r>
          </w:p>
        </w:tc>
        <w:tc>
          <w:tcPr>
            <w:tcW w:w="1023" w:type="dxa"/>
            <w:vAlign w:val="center"/>
          </w:tcPr>
          <w:p w14:paraId="5B4FD36B">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占标率/%</w:t>
            </w:r>
          </w:p>
        </w:tc>
        <w:tc>
          <w:tcPr>
            <w:tcW w:w="901" w:type="dxa"/>
            <w:vAlign w:val="center"/>
          </w:tcPr>
          <w:p w14:paraId="5A28D9C2">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41C734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51483AF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3690" w:type="dxa"/>
            <w:vAlign w:val="top"/>
          </w:tcPr>
          <w:p w14:paraId="1E3CBA0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1119" w:type="dxa"/>
            <w:vAlign w:val="center"/>
          </w:tcPr>
          <w:p w14:paraId="3B6066BF">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12</w:t>
            </w:r>
          </w:p>
        </w:tc>
        <w:tc>
          <w:tcPr>
            <w:tcW w:w="1104" w:type="dxa"/>
            <w:vAlign w:val="center"/>
          </w:tcPr>
          <w:p w14:paraId="5A6664F4">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023" w:type="dxa"/>
            <w:vAlign w:val="center"/>
          </w:tcPr>
          <w:p w14:paraId="085FA217">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30.0</w:t>
            </w:r>
          </w:p>
        </w:tc>
        <w:tc>
          <w:tcPr>
            <w:tcW w:w="901" w:type="dxa"/>
            <w:vAlign w:val="center"/>
          </w:tcPr>
          <w:p w14:paraId="51B7BC2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979BB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150A41C2">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3690" w:type="dxa"/>
            <w:vAlign w:val="top"/>
          </w:tcPr>
          <w:p w14:paraId="7EB70522">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1119" w:type="dxa"/>
            <w:vAlign w:val="center"/>
          </w:tcPr>
          <w:p w14:paraId="1DF00DA0">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w:t>
            </w:r>
          </w:p>
        </w:tc>
        <w:tc>
          <w:tcPr>
            <w:tcW w:w="1104" w:type="dxa"/>
            <w:vAlign w:val="center"/>
          </w:tcPr>
          <w:p w14:paraId="60B1E98A">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023" w:type="dxa"/>
            <w:vAlign w:val="center"/>
          </w:tcPr>
          <w:p w14:paraId="44B8DC93">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10.0</w:t>
            </w:r>
          </w:p>
        </w:tc>
        <w:tc>
          <w:tcPr>
            <w:tcW w:w="901" w:type="dxa"/>
            <w:vAlign w:val="center"/>
          </w:tcPr>
          <w:p w14:paraId="1E60B1D9">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AFC1C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552416AA">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3690" w:type="dxa"/>
            <w:vAlign w:val="top"/>
          </w:tcPr>
          <w:p w14:paraId="4E4D5F40">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1119" w:type="dxa"/>
            <w:vAlign w:val="center"/>
          </w:tcPr>
          <w:p w14:paraId="73235EFD">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28</w:t>
            </w:r>
          </w:p>
        </w:tc>
        <w:tc>
          <w:tcPr>
            <w:tcW w:w="1104" w:type="dxa"/>
            <w:vAlign w:val="center"/>
          </w:tcPr>
          <w:p w14:paraId="01657A72">
            <w:pPr>
              <w:pStyle w:val="491"/>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1023" w:type="dxa"/>
            <w:vAlign w:val="center"/>
          </w:tcPr>
          <w:p w14:paraId="01E9BD5E">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46.7</w:t>
            </w:r>
          </w:p>
        </w:tc>
        <w:tc>
          <w:tcPr>
            <w:tcW w:w="901" w:type="dxa"/>
            <w:vAlign w:val="center"/>
          </w:tcPr>
          <w:p w14:paraId="6388B0AD">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A3F69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7471C86F">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p>
        </w:tc>
        <w:tc>
          <w:tcPr>
            <w:tcW w:w="3690" w:type="dxa"/>
            <w:vAlign w:val="top"/>
          </w:tcPr>
          <w:p w14:paraId="5AD6898E">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1119" w:type="dxa"/>
            <w:vAlign w:val="center"/>
          </w:tcPr>
          <w:p w14:paraId="3570DB0C">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18</w:t>
            </w:r>
          </w:p>
        </w:tc>
        <w:tc>
          <w:tcPr>
            <w:tcW w:w="1104" w:type="dxa"/>
            <w:vAlign w:val="center"/>
          </w:tcPr>
          <w:p w14:paraId="0CE84CA2">
            <w:pPr>
              <w:pStyle w:val="491"/>
              <w:bidi w:val="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3</w:t>
            </w:r>
            <w:r>
              <w:rPr>
                <w:rFonts w:hint="eastAsia" w:cs="Times New Roman"/>
                <w:color w:val="auto"/>
                <w:highlight w:val="none"/>
                <w:lang w:val="en-US" w:eastAsia="zh-CN"/>
              </w:rPr>
              <w:t>0</w:t>
            </w:r>
          </w:p>
        </w:tc>
        <w:tc>
          <w:tcPr>
            <w:tcW w:w="1023" w:type="dxa"/>
            <w:vAlign w:val="center"/>
          </w:tcPr>
          <w:p w14:paraId="3E9C7786">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60.0</w:t>
            </w:r>
          </w:p>
        </w:tc>
        <w:tc>
          <w:tcPr>
            <w:tcW w:w="901" w:type="dxa"/>
            <w:vAlign w:val="center"/>
          </w:tcPr>
          <w:p w14:paraId="2328B8F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F0BC7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45D0C4B1">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CO</w:t>
            </w:r>
          </w:p>
        </w:tc>
        <w:tc>
          <w:tcPr>
            <w:tcW w:w="3690" w:type="dxa"/>
            <w:vAlign w:val="top"/>
          </w:tcPr>
          <w:p w14:paraId="3B0AB272">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第95百分位数日平均质量浓度</w:t>
            </w:r>
          </w:p>
        </w:tc>
        <w:tc>
          <w:tcPr>
            <w:tcW w:w="1119" w:type="dxa"/>
            <w:vAlign w:val="center"/>
          </w:tcPr>
          <w:p w14:paraId="6B3DB1B7">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700</w:t>
            </w:r>
          </w:p>
        </w:tc>
        <w:tc>
          <w:tcPr>
            <w:tcW w:w="1104" w:type="dxa"/>
            <w:vAlign w:val="center"/>
          </w:tcPr>
          <w:p w14:paraId="7E44168F">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4000</w:t>
            </w:r>
          </w:p>
        </w:tc>
        <w:tc>
          <w:tcPr>
            <w:tcW w:w="1023" w:type="dxa"/>
            <w:vAlign w:val="center"/>
          </w:tcPr>
          <w:p w14:paraId="773E1844">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17.5</w:t>
            </w:r>
          </w:p>
        </w:tc>
        <w:tc>
          <w:tcPr>
            <w:tcW w:w="901" w:type="dxa"/>
            <w:vAlign w:val="center"/>
          </w:tcPr>
          <w:p w14:paraId="031F31A5">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8D863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95" w:type="dxa"/>
            <w:vAlign w:val="center"/>
          </w:tcPr>
          <w:p w14:paraId="6C618ABF">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p>
        </w:tc>
        <w:tc>
          <w:tcPr>
            <w:tcW w:w="3690" w:type="dxa"/>
            <w:vAlign w:val="top"/>
          </w:tcPr>
          <w:p w14:paraId="37EB5D6D">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第90百分位数8h平均质量浓度</w:t>
            </w:r>
          </w:p>
        </w:tc>
        <w:tc>
          <w:tcPr>
            <w:tcW w:w="1119" w:type="dxa"/>
            <w:vAlign w:val="center"/>
          </w:tcPr>
          <w:p w14:paraId="2A2BAC36">
            <w:pPr>
              <w:pStyle w:val="491"/>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93</w:t>
            </w:r>
          </w:p>
        </w:tc>
        <w:tc>
          <w:tcPr>
            <w:tcW w:w="1104" w:type="dxa"/>
            <w:vAlign w:val="center"/>
          </w:tcPr>
          <w:p w14:paraId="69112A78">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160</w:t>
            </w:r>
          </w:p>
        </w:tc>
        <w:tc>
          <w:tcPr>
            <w:tcW w:w="1023" w:type="dxa"/>
            <w:vAlign w:val="center"/>
          </w:tcPr>
          <w:p w14:paraId="061C54A2">
            <w:pPr>
              <w:pStyle w:val="491"/>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58.</w:t>
            </w:r>
            <w:r>
              <w:rPr>
                <w:rFonts w:hint="eastAsia" w:cs="Times New Roman"/>
                <w:color w:val="auto"/>
                <w:highlight w:val="none"/>
                <w:lang w:val="en-US" w:eastAsia="zh-CN"/>
              </w:rPr>
              <w:t>1</w:t>
            </w:r>
          </w:p>
        </w:tc>
        <w:tc>
          <w:tcPr>
            <w:tcW w:w="901" w:type="dxa"/>
            <w:vAlign w:val="center"/>
          </w:tcPr>
          <w:p w14:paraId="7E2F09F6">
            <w:pPr>
              <w:pStyle w:val="491"/>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bookmarkEnd w:id="328"/>
    </w:tbl>
    <w:p w14:paraId="3A5C6FF4">
      <w:pPr>
        <w:spacing w:line="240" w:lineRule="auto"/>
        <w:ind w:firstLine="0" w:firstLineChars="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X为98，PM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r>
        <w:rPr>
          <w:rFonts w:hint="default" w:ascii="Times New Roman" w:hAnsi="Times New Roman" w:cs="Times New Roman"/>
          <w:color w:val="auto"/>
          <w:sz w:val="21"/>
          <w:szCs w:val="21"/>
          <w:highlight w:val="none"/>
        </w:rPr>
        <w:t>、COX为95，CO日最大8小时平均X为95，O</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日最大8小时平均X为90。）</w:t>
      </w:r>
    </w:p>
    <w:p w14:paraId="1ACE58E8">
      <w:pPr>
        <w:pStyle w:val="483"/>
        <w:ind w:firstLine="480"/>
        <w:rPr>
          <w:rFonts w:hint="default" w:ascii="Times New Roman" w:hAnsi="Times New Roman" w:eastAsia="宋体" w:cs="Times New Roman"/>
          <w:snapToGrid w:val="0"/>
          <w:color w:val="auto"/>
          <w:kern w:val="0"/>
          <w:highlight w:val="none"/>
          <w:lang w:val="en-US" w:eastAsia="zh-CN"/>
        </w:rPr>
      </w:pPr>
      <w:r>
        <w:rPr>
          <w:rFonts w:hint="default" w:ascii="Times New Roman" w:hAnsi="Times New Roman" w:eastAsia="宋体" w:cs="Times New Roman"/>
          <w:color w:val="auto"/>
          <w:highlight w:val="none"/>
        </w:rPr>
        <w:t>由上表可知，</w:t>
      </w:r>
      <w:r>
        <w:rPr>
          <w:rFonts w:hint="eastAsia" w:cs="Times New Roman"/>
          <w:color w:val="auto"/>
          <w:highlight w:val="none"/>
          <w:lang w:val="en-US" w:eastAsia="zh-CN"/>
        </w:rPr>
        <w:t>各污染物</w:t>
      </w:r>
      <w:r>
        <w:rPr>
          <w:rFonts w:hint="default" w:ascii="Times New Roman" w:hAnsi="Times New Roman" w:eastAsia="宋体" w:cs="Times New Roman"/>
          <w:snapToGrid w:val="0"/>
          <w:color w:val="auto"/>
          <w:highlight w:val="none"/>
        </w:rPr>
        <w:t>均能达到《环境空气质量标准》（GB3095-20</w:t>
      </w:r>
      <w:r>
        <w:rPr>
          <w:rFonts w:hint="eastAsia"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w:t>
      </w:r>
      <w:r>
        <w:rPr>
          <w:rFonts w:hint="eastAsia" w:cs="Times New Roman"/>
          <w:snapToGrid w:val="0"/>
          <w:color w:val="auto"/>
          <w:highlight w:val="none"/>
          <w:lang w:val="en-US" w:eastAsia="zh-CN"/>
        </w:rPr>
        <w:t>过渡阶段浓度限制</w:t>
      </w:r>
      <w:r>
        <w:rPr>
          <w:rFonts w:hint="default" w:ascii="Times New Roman" w:hAnsi="Times New Roman" w:eastAsia="宋体" w:cs="Times New Roman"/>
          <w:snapToGrid w:val="0"/>
          <w:color w:val="auto"/>
          <w:highlight w:val="none"/>
        </w:rPr>
        <w:t>二级</w:t>
      </w:r>
      <w:r>
        <w:rPr>
          <w:rFonts w:hint="eastAsia" w:cs="Times New Roman"/>
          <w:snapToGrid w:val="0"/>
          <w:color w:val="auto"/>
          <w:highlight w:val="none"/>
          <w:lang w:val="en-US" w:eastAsia="zh-CN"/>
        </w:rPr>
        <w:t>标准</w:t>
      </w:r>
      <w:r>
        <w:rPr>
          <w:rFonts w:hint="default" w:ascii="Times New Roman" w:hAnsi="Times New Roman" w:eastAsia="宋体" w:cs="Times New Roman"/>
          <w:snapToGrid w:val="0"/>
          <w:color w:val="auto"/>
          <w:highlight w:val="none"/>
        </w:rPr>
        <w:t>要求，综上所述，</w:t>
      </w:r>
      <w:r>
        <w:rPr>
          <w:rFonts w:hint="default" w:ascii="Times New Roman" w:hAnsi="Times New Roman" w:eastAsia="宋体" w:cs="Times New Roman"/>
          <w:color w:val="auto"/>
          <w:highlight w:val="none"/>
        </w:rPr>
        <w:t>本项目区域为环境空气质量达标区。</w:t>
      </w:r>
    </w:p>
    <w:bookmarkEnd w:id="325"/>
    <w:bookmarkEnd w:id="326"/>
    <w:bookmarkEnd w:id="327"/>
    <w:p w14:paraId="68AAC74C">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4.2.1.2补充环境空气质量监测</w:t>
      </w:r>
    </w:p>
    <w:p w14:paraId="251C9BB6">
      <w:pPr>
        <w:pStyle w:val="67"/>
        <w:ind w:firstLine="480"/>
        <w:rPr>
          <w:rFonts w:hint="default" w:ascii="Times New Roman" w:hAnsi="Times New Roman" w:eastAsia="宋体" w:cs="Times New Roman"/>
          <w:color w:val="auto"/>
          <w:highlight w:val="none"/>
        </w:rPr>
      </w:pPr>
      <w:bookmarkStart w:id="329" w:name="_Hlk44598735"/>
      <w:bookmarkStart w:id="330" w:name="_Hlk44598779"/>
      <w:r>
        <w:rPr>
          <w:rFonts w:hint="default" w:ascii="Times New Roman" w:hAnsi="Times New Roman" w:eastAsia="宋体" w:cs="Times New Roman"/>
          <w:color w:val="auto"/>
          <w:highlight w:val="none"/>
        </w:rPr>
        <w:t>本项目委托</w:t>
      </w:r>
      <w:r>
        <w:rPr>
          <w:rFonts w:hint="eastAsia" w:ascii="Times New Roman" w:hAnsi="Times New Roman" w:eastAsia="宋体" w:cs="Times New Roman"/>
          <w:color w:val="auto"/>
          <w:highlight w:val="none"/>
          <w:lang w:eastAsia="zh-CN"/>
        </w:rPr>
        <w:t>黑龙江汉风环境检测技术有限公司</w:t>
      </w:r>
      <w:r>
        <w:rPr>
          <w:rFonts w:hint="default" w:ascii="Times New Roman" w:hAnsi="Times New Roman" w:eastAsia="宋体" w:cs="Times New Roman"/>
          <w:color w:val="auto"/>
          <w:highlight w:val="none"/>
        </w:rPr>
        <w:t>对本项目所在区域环境空气质量进行补充监测。</w:t>
      </w:r>
    </w:p>
    <w:bookmarkEnd w:id="329"/>
    <w:p w14:paraId="4681115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（1）监测时间及监测项目</w:t>
      </w:r>
    </w:p>
    <w:p w14:paraId="51DD24A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本项目于202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rPr>
        <w:t>日</w:t>
      </w:r>
      <w:r>
        <w:rPr>
          <w:rFonts w:hint="eastAsia" w:eastAsia="宋体" w:cs="Times New Roman"/>
          <w:color w:val="auto"/>
          <w:highlight w:val="none"/>
          <w:lang w:eastAsia="zh-CN"/>
        </w:rPr>
        <w:t>—</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rPr>
        <w:t>日为期7天监测有效数据，监测项目为NH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eastAsia" w:eastAsia="宋体" w:cs="Times New Roman"/>
          <w:color w:val="auto"/>
          <w:highlight w:val="none"/>
          <w:lang w:val="en-US" w:eastAsia="zh-CN"/>
        </w:rPr>
        <w:t>臭气浓度、</w:t>
      </w:r>
      <w:r>
        <w:rPr>
          <w:rFonts w:hint="default" w:ascii="Times New Roman" w:hAnsi="Times New Roman" w:eastAsia="宋体" w:cs="Times New Roman"/>
          <w:color w:val="auto"/>
          <w:highlight w:val="none"/>
        </w:rPr>
        <w:t>TSP。</w:t>
      </w:r>
    </w:p>
    <w:p w14:paraId="2988AC4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表4-2-2取值时间及数据有效性一览表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4"/>
        <w:gridCol w:w="1896"/>
        <w:gridCol w:w="1541"/>
        <w:gridCol w:w="4715"/>
      </w:tblGrid>
      <w:tr w14:paraId="0C246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shd w:val="clear" w:color="auto" w:fill="auto"/>
            <w:vAlign w:val="center"/>
          </w:tcPr>
          <w:p w14:paraId="4A891EE6">
            <w:pPr>
              <w:spacing w:line="240" w:lineRule="auto"/>
              <w:ind w:firstLine="0" w:firstLineChars="0"/>
              <w:jc w:val="center"/>
              <w:rPr>
                <w:rFonts w:hint="default" w:ascii="Times New Roman" w:hAnsi="Times New Roman" w:eastAsia="宋体" w:cs="Times New Roman"/>
                <w:color w:val="auto"/>
                <w:spacing w:val="12"/>
                <w:sz w:val="21"/>
                <w:highlight w:val="none"/>
                <w:lang w:val="zh-CN"/>
              </w:rPr>
            </w:pPr>
            <w:r>
              <w:rPr>
                <w:rFonts w:hint="default" w:ascii="Times New Roman" w:hAnsi="Times New Roman" w:eastAsia="宋体" w:cs="Times New Roman"/>
                <w:color w:val="auto"/>
                <w:sz w:val="21"/>
                <w:highlight w:val="none"/>
                <w:lang w:val="zh-CN"/>
              </w:rPr>
              <w:t>序号</w:t>
            </w:r>
          </w:p>
        </w:tc>
        <w:tc>
          <w:tcPr>
            <w:tcW w:w="1050" w:type="pct"/>
            <w:shd w:val="clear" w:color="auto" w:fill="auto"/>
            <w:vAlign w:val="center"/>
          </w:tcPr>
          <w:p w14:paraId="3D5AD7FC">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污染物</w:t>
            </w:r>
          </w:p>
        </w:tc>
        <w:tc>
          <w:tcPr>
            <w:tcW w:w="853" w:type="pct"/>
            <w:shd w:val="clear" w:color="auto" w:fill="auto"/>
            <w:vAlign w:val="center"/>
          </w:tcPr>
          <w:p w14:paraId="69785205">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取值时间</w:t>
            </w:r>
          </w:p>
        </w:tc>
        <w:tc>
          <w:tcPr>
            <w:tcW w:w="2611" w:type="pct"/>
            <w:shd w:val="clear" w:color="auto" w:fill="auto"/>
            <w:vAlign w:val="center"/>
          </w:tcPr>
          <w:p w14:paraId="6089CA61">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数据有效性</w:t>
            </w:r>
          </w:p>
        </w:tc>
      </w:tr>
      <w:tr w14:paraId="6BFF7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shd w:val="clear" w:color="auto" w:fill="auto"/>
            <w:vAlign w:val="center"/>
          </w:tcPr>
          <w:p w14:paraId="6921CA52">
            <w:pPr>
              <w:spacing w:line="240" w:lineRule="auto"/>
              <w:ind w:firstLine="0" w:firstLineChars="0"/>
              <w:jc w:val="center"/>
              <w:rPr>
                <w:rFonts w:hint="default" w:ascii="Times New Roman" w:hAnsi="Times New Roman" w:eastAsia="宋体" w:cs="Times New Roman"/>
                <w:color w:val="auto"/>
                <w:spacing w:val="12"/>
                <w:sz w:val="21"/>
                <w:highlight w:val="none"/>
              </w:rPr>
            </w:pPr>
            <w:r>
              <w:rPr>
                <w:rFonts w:hint="default" w:ascii="Times New Roman" w:hAnsi="Times New Roman" w:eastAsia="宋体" w:cs="Times New Roman"/>
                <w:color w:val="auto"/>
                <w:spacing w:val="12"/>
                <w:sz w:val="21"/>
                <w:highlight w:val="none"/>
              </w:rPr>
              <w:t>1</w:t>
            </w:r>
          </w:p>
        </w:tc>
        <w:tc>
          <w:tcPr>
            <w:tcW w:w="1050" w:type="pct"/>
            <w:shd w:val="clear" w:color="auto" w:fill="auto"/>
            <w:vAlign w:val="center"/>
          </w:tcPr>
          <w:p w14:paraId="05FD2865">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NH</w:t>
            </w:r>
            <w:r>
              <w:rPr>
                <w:rFonts w:hint="default" w:ascii="Times New Roman" w:hAnsi="Times New Roman" w:eastAsia="宋体" w:cs="Times New Roman"/>
                <w:color w:val="auto"/>
                <w:sz w:val="21"/>
                <w:highlight w:val="none"/>
                <w:vertAlign w:val="subscript"/>
                <w:lang w:val="zh-CN"/>
              </w:rPr>
              <w:t>3</w:t>
            </w:r>
          </w:p>
        </w:tc>
        <w:tc>
          <w:tcPr>
            <w:tcW w:w="853" w:type="pct"/>
            <w:shd w:val="clear" w:color="auto" w:fill="auto"/>
            <w:vAlign w:val="center"/>
          </w:tcPr>
          <w:p w14:paraId="6E58F0C9">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1小时均值</w:t>
            </w:r>
          </w:p>
        </w:tc>
        <w:tc>
          <w:tcPr>
            <w:tcW w:w="2611" w:type="pct"/>
            <w:shd w:val="clear" w:color="auto" w:fill="auto"/>
            <w:vAlign w:val="center"/>
          </w:tcPr>
          <w:p w14:paraId="4C3A1CE5">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每次采样至少45分钟</w:t>
            </w:r>
          </w:p>
        </w:tc>
      </w:tr>
      <w:tr w14:paraId="12FFE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shd w:val="clear" w:color="auto" w:fill="auto"/>
            <w:vAlign w:val="center"/>
          </w:tcPr>
          <w:p w14:paraId="52403ECC">
            <w:pPr>
              <w:spacing w:line="240" w:lineRule="auto"/>
              <w:ind w:firstLine="0" w:firstLineChars="0"/>
              <w:jc w:val="center"/>
              <w:rPr>
                <w:rFonts w:hint="default" w:ascii="Times New Roman" w:hAnsi="Times New Roman" w:eastAsia="宋体" w:cs="Times New Roman"/>
                <w:color w:val="auto"/>
                <w:spacing w:val="12"/>
                <w:sz w:val="21"/>
                <w:highlight w:val="none"/>
              </w:rPr>
            </w:pPr>
            <w:r>
              <w:rPr>
                <w:rFonts w:hint="default" w:ascii="Times New Roman" w:hAnsi="Times New Roman" w:eastAsia="宋体" w:cs="Times New Roman"/>
                <w:color w:val="auto"/>
                <w:spacing w:val="12"/>
                <w:sz w:val="21"/>
                <w:highlight w:val="none"/>
              </w:rPr>
              <w:t>2</w:t>
            </w:r>
          </w:p>
        </w:tc>
        <w:tc>
          <w:tcPr>
            <w:tcW w:w="1050" w:type="pct"/>
            <w:shd w:val="clear" w:color="auto" w:fill="auto"/>
            <w:vAlign w:val="center"/>
          </w:tcPr>
          <w:p w14:paraId="28ED1217">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H</w:t>
            </w:r>
            <w:r>
              <w:rPr>
                <w:rFonts w:hint="default" w:ascii="Times New Roman" w:hAnsi="Times New Roman" w:eastAsia="宋体" w:cs="Times New Roman"/>
                <w:color w:val="auto"/>
                <w:sz w:val="21"/>
                <w:highlight w:val="none"/>
                <w:vertAlign w:val="subscript"/>
                <w:lang w:val="zh-CN"/>
              </w:rPr>
              <w:t>2</w:t>
            </w:r>
            <w:r>
              <w:rPr>
                <w:rFonts w:hint="default" w:ascii="Times New Roman" w:hAnsi="Times New Roman" w:eastAsia="宋体" w:cs="Times New Roman"/>
                <w:color w:val="auto"/>
                <w:sz w:val="21"/>
                <w:highlight w:val="none"/>
                <w:lang w:val="zh-CN"/>
              </w:rPr>
              <w:t>S</w:t>
            </w:r>
          </w:p>
        </w:tc>
        <w:tc>
          <w:tcPr>
            <w:tcW w:w="853" w:type="pct"/>
            <w:shd w:val="clear" w:color="auto" w:fill="auto"/>
            <w:vAlign w:val="center"/>
          </w:tcPr>
          <w:p w14:paraId="57FEADD3">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1小时均值</w:t>
            </w:r>
          </w:p>
        </w:tc>
        <w:tc>
          <w:tcPr>
            <w:tcW w:w="2611" w:type="pct"/>
            <w:shd w:val="clear" w:color="auto" w:fill="auto"/>
            <w:vAlign w:val="center"/>
          </w:tcPr>
          <w:p w14:paraId="090BFDE4">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每次采样至少45分钟</w:t>
            </w:r>
          </w:p>
        </w:tc>
      </w:tr>
      <w:tr w14:paraId="13577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shd w:val="clear" w:color="auto" w:fill="auto"/>
            <w:vAlign w:val="center"/>
          </w:tcPr>
          <w:p w14:paraId="3B3DDF24">
            <w:pPr>
              <w:spacing w:line="240" w:lineRule="auto"/>
              <w:ind w:firstLine="0" w:firstLineChars="0"/>
              <w:jc w:val="center"/>
              <w:rPr>
                <w:rFonts w:hint="default" w:ascii="Times New Roman" w:hAnsi="Times New Roman" w:eastAsia="宋体" w:cs="Times New Roman"/>
                <w:color w:val="auto"/>
                <w:spacing w:val="12"/>
                <w:sz w:val="21"/>
                <w:highlight w:val="none"/>
                <w:lang w:val="en-US" w:eastAsia="zh-CN"/>
              </w:rPr>
            </w:pPr>
            <w:r>
              <w:rPr>
                <w:rFonts w:hint="default" w:ascii="Times New Roman" w:hAnsi="Times New Roman" w:eastAsia="宋体" w:cs="Times New Roman"/>
                <w:color w:val="auto"/>
                <w:spacing w:val="12"/>
                <w:sz w:val="21"/>
                <w:highlight w:val="none"/>
                <w:lang w:val="en-US" w:eastAsia="zh-CN"/>
              </w:rPr>
              <w:t>3</w:t>
            </w:r>
          </w:p>
        </w:tc>
        <w:tc>
          <w:tcPr>
            <w:tcW w:w="1050" w:type="pct"/>
            <w:shd w:val="clear" w:color="auto" w:fill="auto"/>
            <w:vAlign w:val="center"/>
          </w:tcPr>
          <w:p w14:paraId="7363793F">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en-US" w:eastAsia="zh-CN"/>
              </w:rPr>
              <w:t>臭气浓度</w:t>
            </w:r>
          </w:p>
        </w:tc>
        <w:tc>
          <w:tcPr>
            <w:tcW w:w="853" w:type="pct"/>
            <w:shd w:val="clear" w:color="auto" w:fill="auto"/>
            <w:vAlign w:val="center"/>
          </w:tcPr>
          <w:p w14:paraId="2A3316BA">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1小时均值</w:t>
            </w:r>
          </w:p>
        </w:tc>
        <w:tc>
          <w:tcPr>
            <w:tcW w:w="2611" w:type="pct"/>
            <w:shd w:val="clear" w:color="auto" w:fill="auto"/>
            <w:vAlign w:val="center"/>
          </w:tcPr>
          <w:p w14:paraId="6603340D">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每次采样至少45分钟</w:t>
            </w:r>
          </w:p>
        </w:tc>
      </w:tr>
      <w:tr w14:paraId="41F68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4" w:type="pct"/>
            <w:shd w:val="clear" w:color="auto" w:fill="auto"/>
            <w:vAlign w:val="center"/>
          </w:tcPr>
          <w:p w14:paraId="36AFB4B4">
            <w:pPr>
              <w:spacing w:line="240" w:lineRule="auto"/>
              <w:ind w:firstLine="0" w:firstLineChars="0"/>
              <w:jc w:val="center"/>
              <w:rPr>
                <w:rFonts w:hint="default" w:ascii="Times New Roman" w:hAnsi="Times New Roman" w:eastAsia="宋体" w:cs="Times New Roman"/>
                <w:color w:val="auto"/>
                <w:spacing w:val="12"/>
                <w:sz w:val="21"/>
                <w:highlight w:val="none"/>
                <w:lang w:val="en-US" w:eastAsia="zh-CN"/>
              </w:rPr>
            </w:pPr>
            <w:r>
              <w:rPr>
                <w:rFonts w:hint="default" w:ascii="Times New Roman" w:hAnsi="Times New Roman" w:eastAsia="宋体" w:cs="Times New Roman"/>
                <w:color w:val="auto"/>
                <w:spacing w:val="12"/>
                <w:sz w:val="21"/>
                <w:highlight w:val="none"/>
                <w:lang w:val="en-US" w:eastAsia="zh-CN"/>
              </w:rPr>
              <w:t>4</w:t>
            </w:r>
          </w:p>
        </w:tc>
        <w:tc>
          <w:tcPr>
            <w:tcW w:w="1050" w:type="pct"/>
            <w:shd w:val="clear" w:color="auto" w:fill="auto"/>
            <w:vAlign w:val="center"/>
          </w:tcPr>
          <w:p w14:paraId="71A9BD37">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TSP</w:t>
            </w:r>
          </w:p>
        </w:tc>
        <w:tc>
          <w:tcPr>
            <w:tcW w:w="853" w:type="pct"/>
            <w:shd w:val="clear" w:color="auto" w:fill="auto"/>
            <w:vAlign w:val="center"/>
          </w:tcPr>
          <w:p w14:paraId="4618FDC3">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default" w:ascii="Times New Roman" w:hAnsi="Times New Roman" w:eastAsia="宋体" w:cs="Times New Roman"/>
                <w:color w:val="auto"/>
                <w:sz w:val="21"/>
                <w:highlight w:val="none"/>
                <w:lang w:val="zh-CN"/>
              </w:rPr>
              <w:t>24小时均值</w:t>
            </w:r>
          </w:p>
        </w:tc>
        <w:tc>
          <w:tcPr>
            <w:tcW w:w="2611" w:type="pct"/>
            <w:shd w:val="clear" w:color="auto" w:fill="auto"/>
            <w:vAlign w:val="center"/>
          </w:tcPr>
          <w:p w14:paraId="4997526D">
            <w:pPr>
              <w:spacing w:line="240" w:lineRule="auto"/>
              <w:ind w:firstLine="0" w:firstLineChars="0"/>
              <w:jc w:val="center"/>
              <w:rPr>
                <w:rFonts w:hint="default" w:ascii="Times New Roman" w:hAnsi="Times New Roman" w:eastAsia="宋体" w:cs="Times New Roman"/>
                <w:color w:val="auto"/>
                <w:sz w:val="21"/>
                <w:highlight w:val="none"/>
                <w:lang w:val="zh-CN"/>
              </w:rPr>
            </w:pPr>
            <w:r>
              <w:rPr>
                <w:rFonts w:hint="eastAsia" w:cs="Times New Roman"/>
                <w:color w:val="auto"/>
                <w:sz w:val="21"/>
                <w:highlight w:val="none"/>
                <w:lang w:val="en-US" w:eastAsia="zh-CN"/>
              </w:rPr>
              <w:t>24</w:t>
            </w:r>
            <w:r>
              <w:rPr>
                <w:rFonts w:hint="default" w:ascii="Times New Roman" w:hAnsi="Times New Roman" w:eastAsia="宋体" w:cs="Times New Roman"/>
                <w:color w:val="auto"/>
                <w:sz w:val="21"/>
                <w:highlight w:val="none"/>
                <w:lang w:val="zh-CN"/>
              </w:rPr>
              <w:t>个小时平均浓度值或采样时间</w:t>
            </w:r>
          </w:p>
        </w:tc>
      </w:tr>
    </w:tbl>
    <w:p w14:paraId="68D8CA2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（2）监测点布设</w:t>
      </w:r>
    </w:p>
    <w:p w14:paraId="567AD8D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大气环境》（HJ2.2-2018），补充监测布点以近20年的当地主导风向为轴向，在厂址及主导风向下风向5km范围内设置1~2个监测点。</w:t>
      </w:r>
    </w:p>
    <w:p w14:paraId="2D0C261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项目所处区域</w:t>
      </w:r>
      <w:r>
        <w:rPr>
          <w:rFonts w:hint="eastAsia" w:eastAsia="宋体" w:cs="Times New Roman"/>
          <w:color w:val="auto"/>
          <w:highlight w:val="none"/>
          <w:lang w:val="en-US" w:eastAsia="zh-CN"/>
        </w:rPr>
        <w:t>常年</w:t>
      </w:r>
      <w:r>
        <w:rPr>
          <w:rFonts w:hint="default" w:ascii="Times New Roman" w:hAnsi="Times New Roman" w:eastAsia="宋体" w:cs="Times New Roman"/>
          <w:color w:val="auto"/>
          <w:highlight w:val="none"/>
        </w:rPr>
        <w:t>主导风向为</w:t>
      </w:r>
      <w:r>
        <w:rPr>
          <w:rFonts w:hint="eastAsia" w:eastAsia="宋体" w:cs="Times New Roman"/>
          <w:color w:val="auto"/>
          <w:highlight w:val="none"/>
          <w:lang w:val="en-US" w:eastAsia="zh-CN"/>
        </w:rPr>
        <w:t>西南风</w:t>
      </w:r>
      <w:r>
        <w:rPr>
          <w:rFonts w:hint="default" w:ascii="Times New Roman" w:hAnsi="Times New Roman" w:eastAsia="宋体" w:cs="Times New Roman"/>
          <w:color w:val="auto"/>
          <w:highlight w:val="none"/>
        </w:rPr>
        <w:t>，共布设2处监测点：厂区</w:t>
      </w:r>
      <w:r>
        <w:rPr>
          <w:rFonts w:hint="default" w:ascii="Times New Roman" w:hAnsi="Times New Roman" w:eastAsia="宋体" w:cs="Times New Roman"/>
          <w:snapToGrid/>
          <w:color w:val="auto"/>
          <w:highlight w:val="none"/>
        </w:rPr>
        <w:t>1个，厂区下风向1个。</w:t>
      </w:r>
      <w:r>
        <w:rPr>
          <w:rFonts w:hint="default" w:ascii="Times New Roman" w:hAnsi="Times New Roman" w:eastAsia="宋体" w:cs="Times New Roman"/>
          <w:color w:val="auto"/>
          <w:highlight w:val="none"/>
        </w:rPr>
        <w:t>各监测点的情况见表4-2-3，监测布点图见附图4。</w:t>
      </w:r>
    </w:p>
    <w:p w14:paraId="42F636AE">
      <w:pPr>
        <w:pStyle w:val="67"/>
        <w:ind w:firstLine="480"/>
        <w:rPr>
          <w:rFonts w:hint="default" w:ascii="Times New Roman" w:hAnsi="Times New Roman" w:eastAsia="宋体" w:cs="Times New Roman"/>
          <w:color w:val="auto"/>
          <w:highlight w:val="none"/>
        </w:rPr>
      </w:pPr>
    </w:p>
    <w:p w14:paraId="01B47B15">
      <w:pPr>
        <w:pStyle w:val="67"/>
        <w:ind w:firstLine="480"/>
        <w:rPr>
          <w:rFonts w:hint="default" w:ascii="Times New Roman" w:hAnsi="Times New Roman" w:eastAsia="宋体" w:cs="Times New Roman"/>
          <w:color w:val="auto"/>
          <w:highlight w:val="none"/>
        </w:rPr>
      </w:pPr>
    </w:p>
    <w:p w14:paraId="6493B541">
      <w:pPr>
        <w:pStyle w:val="67"/>
        <w:ind w:firstLine="480"/>
        <w:rPr>
          <w:rFonts w:hint="default" w:ascii="Times New Roman" w:hAnsi="Times New Roman" w:eastAsia="宋体" w:cs="Times New Roman"/>
          <w:color w:val="auto"/>
          <w:highlight w:val="none"/>
        </w:rPr>
      </w:pPr>
    </w:p>
    <w:p w14:paraId="4C4B48D1">
      <w:pPr>
        <w:pStyle w:val="67"/>
        <w:ind w:firstLine="480"/>
        <w:rPr>
          <w:rFonts w:hint="default" w:ascii="Times New Roman" w:hAnsi="Times New Roman" w:eastAsia="宋体" w:cs="Times New Roman"/>
          <w:color w:val="auto"/>
          <w:highlight w:val="none"/>
        </w:rPr>
      </w:pPr>
    </w:p>
    <w:p w14:paraId="512B6A5F">
      <w:pPr>
        <w:pStyle w:val="67"/>
        <w:ind w:firstLine="480"/>
        <w:rPr>
          <w:rFonts w:hint="default" w:ascii="Times New Roman" w:hAnsi="Times New Roman" w:eastAsia="宋体" w:cs="Times New Roman"/>
          <w:color w:val="auto"/>
          <w:highlight w:val="none"/>
        </w:rPr>
      </w:pPr>
      <w:r>
        <w:rPr>
          <w:color w:val="auto"/>
          <w:highlight w:val="none"/>
        </w:rPr>
        <w:drawing>
          <wp:anchor distT="0" distB="0" distL="114300" distR="114300" simplePos="0" relativeHeight="251736064" behindDoc="0" locked="0" layoutInCell="1" allowOverlap="1">
            <wp:simplePos x="0" y="0"/>
            <wp:positionH relativeFrom="column">
              <wp:posOffset>217170</wp:posOffset>
            </wp:positionH>
            <wp:positionV relativeFrom="paragraph">
              <wp:posOffset>-70485</wp:posOffset>
            </wp:positionV>
            <wp:extent cx="5438775" cy="3622040"/>
            <wp:effectExtent l="0" t="0" r="9525" b="16510"/>
            <wp:wrapNone/>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46"/>
                    <a:stretch>
                      <a:fillRect/>
                    </a:stretch>
                  </pic:blipFill>
                  <pic:spPr>
                    <a:xfrm>
                      <a:off x="0" y="0"/>
                      <a:ext cx="5438775" cy="3622040"/>
                    </a:xfrm>
                    <a:prstGeom prst="rect">
                      <a:avLst/>
                    </a:prstGeom>
                    <a:noFill/>
                    <a:ln>
                      <a:noFill/>
                    </a:ln>
                  </pic:spPr>
                </pic:pic>
              </a:graphicData>
            </a:graphic>
          </wp:anchor>
        </w:drawing>
      </w:r>
    </w:p>
    <w:p w14:paraId="1AC87C1E">
      <w:pPr>
        <w:pStyle w:val="67"/>
        <w:ind w:firstLine="480"/>
        <w:rPr>
          <w:rFonts w:hint="default" w:ascii="Times New Roman" w:hAnsi="Times New Roman" w:eastAsia="宋体" w:cs="Times New Roman"/>
          <w:color w:val="auto"/>
          <w:highlight w:val="none"/>
        </w:rPr>
      </w:pPr>
    </w:p>
    <w:p w14:paraId="09E2D68E">
      <w:pPr>
        <w:pStyle w:val="67"/>
        <w:ind w:firstLine="480"/>
        <w:rPr>
          <w:rFonts w:hint="default" w:ascii="Times New Roman" w:hAnsi="Times New Roman" w:eastAsia="宋体" w:cs="Times New Roman"/>
          <w:color w:val="auto"/>
          <w:highlight w:val="none"/>
        </w:rPr>
      </w:pPr>
    </w:p>
    <w:p w14:paraId="3C7C878A">
      <w:pPr>
        <w:pStyle w:val="67"/>
        <w:ind w:firstLine="480"/>
        <w:rPr>
          <w:rFonts w:hint="default" w:ascii="Times New Roman" w:hAnsi="Times New Roman" w:eastAsia="宋体" w:cs="Times New Roman"/>
          <w:color w:val="auto"/>
          <w:highlight w:val="none"/>
        </w:rPr>
      </w:pPr>
    </w:p>
    <w:p w14:paraId="3E15E5EF">
      <w:pPr>
        <w:pStyle w:val="67"/>
        <w:ind w:firstLine="480"/>
        <w:rPr>
          <w:rFonts w:hint="default" w:ascii="Times New Roman" w:hAnsi="Times New Roman" w:eastAsia="宋体" w:cs="Times New Roman"/>
          <w:color w:val="auto"/>
          <w:highlight w:val="none"/>
        </w:rPr>
      </w:pPr>
    </w:p>
    <w:p w14:paraId="21AD127D">
      <w:pPr>
        <w:pStyle w:val="67"/>
        <w:ind w:firstLine="480"/>
        <w:rPr>
          <w:rFonts w:hint="default" w:ascii="Times New Roman" w:hAnsi="Times New Roman" w:eastAsia="宋体" w:cs="Times New Roman"/>
          <w:color w:val="auto"/>
          <w:highlight w:val="none"/>
        </w:rPr>
      </w:pPr>
    </w:p>
    <w:p w14:paraId="096C5FCA">
      <w:pPr>
        <w:pStyle w:val="67"/>
        <w:ind w:firstLine="480"/>
        <w:rPr>
          <w:rFonts w:hint="default" w:ascii="Times New Roman" w:hAnsi="Times New Roman" w:eastAsia="宋体" w:cs="Times New Roman"/>
          <w:color w:val="auto"/>
          <w:highlight w:val="none"/>
        </w:rPr>
      </w:pPr>
    </w:p>
    <w:p w14:paraId="22A2EF6D">
      <w:pPr>
        <w:pStyle w:val="67"/>
        <w:ind w:firstLine="480"/>
        <w:rPr>
          <w:rFonts w:hint="default" w:ascii="Times New Roman" w:hAnsi="Times New Roman" w:eastAsia="宋体" w:cs="Times New Roman"/>
          <w:color w:val="auto"/>
          <w:highlight w:val="none"/>
        </w:rPr>
      </w:pPr>
    </w:p>
    <w:p w14:paraId="0DD24140">
      <w:pPr>
        <w:pStyle w:val="67"/>
        <w:ind w:firstLine="480"/>
        <w:rPr>
          <w:rFonts w:hint="default" w:ascii="Times New Roman" w:hAnsi="Times New Roman" w:eastAsia="宋体" w:cs="Times New Roman"/>
          <w:color w:val="auto"/>
          <w:highlight w:val="none"/>
        </w:rPr>
      </w:pPr>
    </w:p>
    <w:p w14:paraId="3894E06F">
      <w:pPr>
        <w:pStyle w:val="67"/>
        <w:ind w:firstLine="480"/>
        <w:rPr>
          <w:rFonts w:hint="default" w:ascii="Times New Roman" w:hAnsi="Times New Roman" w:eastAsia="宋体" w:cs="Times New Roman"/>
          <w:color w:val="auto"/>
          <w:highlight w:val="none"/>
        </w:rPr>
      </w:pPr>
    </w:p>
    <w:p w14:paraId="6B130037">
      <w:pPr>
        <w:pStyle w:val="67"/>
        <w:ind w:firstLine="480"/>
        <w:rPr>
          <w:rFonts w:hint="default" w:ascii="Times New Roman" w:hAnsi="Times New Roman" w:eastAsia="宋体" w:cs="Times New Roman"/>
          <w:color w:val="auto"/>
          <w:highlight w:val="none"/>
        </w:rPr>
      </w:pPr>
    </w:p>
    <w:p w14:paraId="16616365">
      <w:pPr>
        <w:pStyle w:val="21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图4</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2-1 环境空气、土壤、噪声监测点位图</w:t>
      </w:r>
    </w:p>
    <w:p w14:paraId="58E64E5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表4-2-3环境空气监测布点情况</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6"/>
        <w:gridCol w:w="1554"/>
        <w:gridCol w:w="2572"/>
        <w:gridCol w:w="1336"/>
        <w:gridCol w:w="1464"/>
      </w:tblGrid>
      <w:tr w14:paraId="1BACFB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vMerge w:val="restart"/>
            <w:vAlign w:val="center"/>
          </w:tcPr>
          <w:p w14:paraId="6D2867CE">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w:t>
            </w:r>
          </w:p>
          <w:p w14:paraId="6AD71E2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861" w:type="pct"/>
            <w:vMerge w:val="restart"/>
            <w:vAlign w:val="center"/>
          </w:tcPr>
          <w:p w14:paraId="218BBE8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1425" w:type="pct"/>
            <w:vMerge w:val="restart"/>
            <w:vAlign w:val="center"/>
          </w:tcPr>
          <w:p w14:paraId="456A79B2">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监测时段</w:t>
            </w:r>
          </w:p>
        </w:tc>
        <w:tc>
          <w:tcPr>
            <w:tcW w:w="740" w:type="pct"/>
            <w:vMerge w:val="restart"/>
            <w:vAlign w:val="center"/>
          </w:tcPr>
          <w:p w14:paraId="0499D5A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相对厂址方位</w:t>
            </w:r>
          </w:p>
        </w:tc>
        <w:tc>
          <w:tcPr>
            <w:tcW w:w="811" w:type="pct"/>
            <w:vMerge w:val="restart"/>
            <w:vAlign w:val="center"/>
          </w:tcPr>
          <w:p w14:paraId="454B892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相对厂界距离</w:t>
            </w:r>
          </w:p>
        </w:tc>
      </w:tr>
      <w:tr w14:paraId="74B19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vMerge w:val="continue"/>
            <w:vAlign w:val="center"/>
          </w:tcPr>
          <w:p w14:paraId="7D1596B5">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61" w:type="pct"/>
            <w:vMerge w:val="continue"/>
            <w:vAlign w:val="center"/>
          </w:tcPr>
          <w:p w14:paraId="47C30939">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425" w:type="pct"/>
            <w:vMerge w:val="continue"/>
            <w:vAlign w:val="center"/>
          </w:tcPr>
          <w:p w14:paraId="103233BF">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740" w:type="pct"/>
            <w:vMerge w:val="continue"/>
            <w:vAlign w:val="center"/>
          </w:tcPr>
          <w:p w14:paraId="463E9264">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11" w:type="pct"/>
            <w:vMerge w:val="continue"/>
            <w:vAlign w:val="center"/>
          </w:tcPr>
          <w:p w14:paraId="10C9FCC2">
            <w:pPr>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6B914A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161" w:type="pct"/>
            <w:vAlign w:val="center"/>
          </w:tcPr>
          <w:p w14:paraId="1A1268A0">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1#厂址</w:t>
            </w:r>
          </w:p>
        </w:tc>
        <w:tc>
          <w:tcPr>
            <w:tcW w:w="861" w:type="pct"/>
            <w:vMerge w:val="restart"/>
            <w:vAlign w:val="center"/>
          </w:tcPr>
          <w:p w14:paraId="49717023">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vertAlign w:val="subscript"/>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p w14:paraId="3189ECD8">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p w14:paraId="05EF4261">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p w14:paraId="62701A0F">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425" w:type="pct"/>
            <w:vMerge w:val="restart"/>
            <w:vAlign w:val="center"/>
          </w:tcPr>
          <w:p w14:paraId="2EA1AFC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日</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日</w:t>
            </w:r>
          </w:p>
        </w:tc>
        <w:tc>
          <w:tcPr>
            <w:tcW w:w="740" w:type="pct"/>
            <w:vAlign w:val="center"/>
          </w:tcPr>
          <w:p w14:paraId="785DBA7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11" w:type="pct"/>
            <w:vAlign w:val="center"/>
          </w:tcPr>
          <w:p w14:paraId="2C43A0D0">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FBC4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1" w:type="pct"/>
            <w:vAlign w:val="center"/>
          </w:tcPr>
          <w:p w14:paraId="16C72BC1">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2#厂址下风向</w:t>
            </w:r>
          </w:p>
        </w:tc>
        <w:tc>
          <w:tcPr>
            <w:tcW w:w="861" w:type="pct"/>
            <w:vMerge w:val="continue"/>
            <w:vAlign w:val="center"/>
          </w:tcPr>
          <w:p w14:paraId="44BD8D90">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425" w:type="pct"/>
            <w:vMerge w:val="continue"/>
            <w:vAlign w:val="center"/>
          </w:tcPr>
          <w:p w14:paraId="70E55DE1">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740" w:type="pct"/>
            <w:vAlign w:val="center"/>
          </w:tcPr>
          <w:p w14:paraId="6D88203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WNN</w:t>
            </w:r>
          </w:p>
        </w:tc>
        <w:tc>
          <w:tcPr>
            <w:tcW w:w="811" w:type="pct"/>
            <w:vAlign w:val="center"/>
          </w:tcPr>
          <w:p w14:paraId="5393EEC4">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1.0</w:t>
            </w:r>
            <w:r>
              <w:rPr>
                <w:rFonts w:hint="default" w:ascii="Times New Roman" w:hAnsi="Times New Roman" w:eastAsia="宋体" w:cs="Times New Roman"/>
                <w:color w:val="auto"/>
                <w:highlight w:val="none"/>
              </w:rPr>
              <w:t>km</w:t>
            </w:r>
          </w:p>
        </w:tc>
      </w:tr>
    </w:tbl>
    <w:p w14:paraId="164E2A4F">
      <w:pPr>
        <w:pStyle w:val="67"/>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（3）监测分析方法及</w:t>
      </w:r>
      <w:r>
        <w:rPr>
          <w:rFonts w:hint="eastAsia" w:eastAsia="宋体" w:cs="Times New Roman"/>
          <w:color w:val="auto"/>
          <w:highlight w:val="none"/>
          <w:lang w:val="en-US" w:eastAsia="zh-CN"/>
        </w:rPr>
        <w:t>仪器</w:t>
      </w:r>
    </w:p>
    <w:p w14:paraId="4A71BF9C">
      <w:pPr>
        <w:pStyle w:val="210"/>
        <w:rPr>
          <w:rFonts w:hint="eastAsia" w:cs="Times New Roman"/>
          <w:color w:val="auto"/>
          <w:highlight w:val="none"/>
          <w:lang w:val="en-US" w:eastAsia="zh-CN"/>
        </w:rPr>
      </w:pPr>
      <w:bookmarkStart w:id="331" w:name="_Hlk7364196"/>
      <w:r>
        <w:rPr>
          <w:rFonts w:hint="default" w:ascii="Times New Roman" w:hAnsi="Times New Roman" w:cs="Times New Roman"/>
          <w:color w:val="auto"/>
          <w:highlight w:val="none"/>
        </w:rPr>
        <w:t>表4-2-4监测分析方法</w:t>
      </w:r>
      <w:r>
        <w:rPr>
          <w:rFonts w:hint="eastAsia" w:cs="Times New Roman"/>
          <w:color w:val="auto"/>
          <w:highlight w:val="none"/>
          <w:lang w:val="en-US" w:eastAsia="zh-CN"/>
        </w:rPr>
        <w:t>及检测仪器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219"/>
        <w:gridCol w:w="2298"/>
        <w:gridCol w:w="1731"/>
        <w:gridCol w:w="1524"/>
        <w:gridCol w:w="1550"/>
      </w:tblGrid>
      <w:tr w14:paraId="366C5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tcBorders>
              <w:tl2br w:val="nil"/>
              <w:tr2bl w:val="nil"/>
            </w:tcBorders>
            <w:shd w:val="clear" w:color="auto" w:fill="auto"/>
            <w:noWrap w:val="0"/>
            <w:vAlign w:val="center"/>
          </w:tcPr>
          <w:p w14:paraId="6F9D386B">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类别</w:t>
            </w:r>
          </w:p>
        </w:tc>
        <w:tc>
          <w:tcPr>
            <w:tcW w:w="675" w:type="pct"/>
            <w:tcBorders>
              <w:tl2br w:val="nil"/>
              <w:tr2bl w:val="nil"/>
            </w:tcBorders>
            <w:shd w:val="clear" w:color="auto" w:fill="auto"/>
            <w:noWrap w:val="0"/>
            <w:vAlign w:val="center"/>
          </w:tcPr>
          <w:p w14:paraId="307764D3">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检测项目</w:t>
            </w:r>
          </w:p>
        </w:tc>
        <w:tc>
          <w:tcPr>
            <w:tcW w:w="1273" w:type="pct"/>
            <w:tcBorders>
              <w:tl2br w:val="nil"/>
              <w:tr2bl w:val="nil"/>
            </w:tcBorders>
            <w:shd w:val="clear" w:color="auto" w:fill="auto"/>
            <w:noWrap w:val="0"/>
            <w:vAlign w:val="center"/>
          </w:tcPr>
          <w:p w14:paraId="083B56A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检测依据</w:t>
            </w:r>
          </w:p>
        </w:tc>
        <w:tc>
          <w:tcPr>
            <w:tcW w:w="959" w:type="pct"/>
            <w:tcBorders>
              <w:tl2br w:val="nil"/>
              <w:tr2bl w:val="nil"/>
            </w:tcBorders>
            <w:shd w:val="clear" w:color="auto" w:fill="auto"/>
            <w:noWrap w:val="0"/>
            <w:vAlign w:val="center"/>
          </w:tcPr>
          <w:p w14:paraId="0ABB216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仪器名称</w:t>
            </w:r>
          </w:p>
        </w:tc>
        <w:tc>
          <w:tcPr>
            <w:tcW w:w="844" w:type="pct"/>
            <w:tcBorders>
              <w:tl2br w:val="nil"/>
              <w:tr2bl w:val="nil"/>
            </w:tcBorders>
            <w:shd w:val="clear" w:color="auto" w:fill="auto"/>
            <w:noWrap w:val="0"/>
            <w:vAlign w:val="center"/>
          </w:tcPr>
          <w:p w14:paraId="583F4DC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仪器型号</w:t>
            </w:r>
          </w:p>
        </w:tc>
        <w:tc>
          <w:tcPr>
            <w:tcW w:w="858" w:type="pct"/>
            <w:tcBorders>
              <w:tl2br w:val="nil"/>
              <w:tr2bl w:val="nil"/>
            </w:tcBorders>
            <w:shd w:val="clear" w:color="auto" w:fill="auto"/>
            <w:noWrap w:val="0"/>
            <w:vAlign w:val="center"/>
          </w:tcPr>
          <w:p w14:paraId="2ED06338">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编号</w:t>
            </w:r>
          </w:p>
        </w:tc>
      </w:tr>
      <w:tr w14:paraId="26F2B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restart"/>
            <w:tcBorders>
              <w:tl2br w:val="nil"/>
              <w:tr2bl w:val="nil"/>
            </w:tcBorders>
            <w:noWrap w:val="0"/>
            <w:vAlign w:val="center"/>
          </w:tcPr>
          <w:p w14:paraId="2DA0A77F">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环境空气</w:t>
            </w:r>
          </w:p>
        </w:tc>
        <w:tc>
          <w:tcPr>
            <w:tcW w:w="675" w:type="pct"/>
            <w:vMerge w:val="restart"/>
            <w:tcBorders>
              <w:tl2br w:val="nil"/>
              <w:tr2bl w:val="nil"/>
            </w:tcBorders>
            <w:noWrap w:val="0"/>
            <w:vAlign w:val="center"/>
          </w:tcPr>
          <w:p w14:paraId="54368B6B">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总悬浮颗粒物</w:t>
            </w:r>
          </w:p>
        </w:tc>
        <w:tc>
          <w:tcPr>
            <w:tcW w:w="1273" w:type="pct"/>
            <w:vMerge w:val="restart"/>
            <w:tcBorders>
              <w:tl2br w:val="nil"/>
              <w:tr2bl w:val="nil"/>
            </w:tcBorders>
            <w:noWrap w:val="0"/>
            <w:vAlign w:val="center"/>
          </w:tcPr>
          <w:p w14:paraId="1913498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环境空气 总悬浮颗粒物的测定 重量法HJ 1263-2022</w:t>
            </w:r>
          </w:p>
        </w:tc>
        <w:tc>
          <w:tcPr>
            <w:tcW w:w="959" w:type="pct"/>
            <w:tcBorders>
              <w:tl2br w:val="nil"/>
              <w:tr2bl w:val="nil"/>
            </w:tcBorders>
            <w:noWrap w:val="0"/>
            <w:vAlign w:val="center"/>
          </w:tcPr>
          <w:p w14:paraId="179BDA2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空气/智能TSP综合采样器</w:t>
            </w:r>
          </w:p>
        </w:tc>
        <w:tc>
          <w:tcPr>
            <w:tcW w:w="844" w:type="pct"/>
            <w:tcBorders>
              <w:tl2br w:val="nil"/>
              <w:tr2bl w:val="nil"/>
            </w:tcBorders>
            <w:noWrap w:val="0"/>
            <w:vAlign w:val="center"/>
          </w:tcPr>
          <w:p w14:paraId="17A1319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崂应2050型</w:t>
            </w:r>
          </w:p>
        </w:tc>
        <w:tc>
          <w:tcPr>
            <w:tcW w:w="858" w:type="pct"/>
            <w:tcBorders>
              <w:tl2br w:val="nil"/>
              <w:tr2bl w:val="nil"/>
            </w:tcBorders>
            <w:noWrap w:val="0"/>
            <w:vAlign w:val="center"/>
          </w:tcPr>
          <w:p w14:paraId="26328E09">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HFYQ-2050   HFYQ-2051</w:t>
            </w:r>
          </w:p>
        </w:tc>
      </w:tr>
      <w:tr w14:paraId="7A648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165F16A2">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76CF89D9">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12E1155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2C82DD5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fr-FR" w:eastAsia="zh-CN"/>
              </w:rPr>
              <w:t>真空干燥箱</w:t>
            </w:r>
          </w:p>
        </w:tc>
        <w:tc>
          <w:tcPr>
            <w:tcW w:w="844" w:type="pct"/>
            <w:tcBorders>
              <w:tl2br w:val="nil"/>
              <w:tr2bl w:val="nil"/>
            </w:tcBorders>
            <w:noWrap w:val="0"/>
            <w:vAlign w:val="center"/>
          </w:tcPr>
          <w:p w14:paraId="4BB49BD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DZ-2BCⅣ</w:t>
            </w:r>
          </w:p>
        </w:tc>
        <w:tc>
          <w:tcPr>
            <w:tcW w:w="858" w:type="pct"/>
            <w:tcBorders>
              <w:tl2br w:val="nil"/>
              <w:tr2bl w:val="nil"/>
            </w:tcBorders>
            <w:noWrap w:val="0"/>
            <w:vAlign w:val="center"/>
          </w:tcPr>
          <w:p w14:paraId="360F89F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HFYQ-1015</w:t>
            </w:r>
          </w:p>
        </w:tc>
      </w:tr>
      <w:tr w14:paraId="00D79B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07C2D59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65505081">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130868D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046D486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恒温恒湿称重系统</w:t>
            </w:r>
          </w:p>
        </w:tc>
        <w:tc>
          <w:tcPr>
            <w:tcW w:w="844" w:type="pct"/>
            <w:tcBorders>
              <w:tl2br w:val="nil"/>
              <w:tr2bl w:val="nil"/>
            </w:tcBorders>
            <w:noWrap w:val="0"/>
            <w:vAlign w:val="center"/>
          </w:tcPr>
          <w:p w14:paraId="505806E7">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LB-350N</w:t>
            </w:r>
          </w:p>
        </w:tc>
        <w:tc>
          <w:tcPr>
            <w:tcW w:w="858" w:type="pct"/>
            <w:tcBorders>
              <w:tl2br w:val="nil"/>
              <w:tr2bl w:val="nil"/>
            </w:tcBorders>
            <w:noWrap w:val="0"/>
            <w:vAlign w:val="center"/>
          </w:tcPr>
          <w:p w14:paraId="66194D1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HFYQ-1040</w:t>
            </w:r>
          </w:p>
        </w:tc>
      </w:tr>
      <w:tr w14:paraId="77304F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138509F2">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52CC3FB7">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106C595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3D8518A2">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分析天平</w:t>
            </w:r>
          </w:p>
        </w:tc>
        <w:tc>
          <w:tcPr>
            <w:tcW w:w="844" w:type="pct"/>
            <w:tcBorders>
              <w:tl2br w:val="nil"/>
              <w:tr2bl w:val="nil"/>
            </w:tcBorders>
            <w:noWrap w:val="0"/>
            <w:vAlign w:val="center"/>
          </w:tcPr>
          <w:p w14:paraId="39163048">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AUW220D</w:t>
            </w:r>
          </w:p>
        </w:tc>
        <w:tc>
          <w:tcPr>
            <w:tcW w:w="858" w:type="pct"/>
            <w:tcBorders>
              <w:tl2br w:val="nil"/>
              <w:tr2bl w:val="nil"/>
            </w:tcBorders>
            <w:noWrap w:val="0"/>
            <w:vAlign w:val="center"/>
          </w:tcPr>
          <w:p w14:paraId="773B0B57">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HFYQ-1041</w:t>
            </w:r>
          </w:p>
        </w:tc>
      </w:tr>
      <w:tr w14:paraId="1A243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4626966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restart"/>
            <w:tcBorders>
              <w:tl2br w:val="nil"/>
              <w:tr2bl w:val="nil"/>
            </w:tcBorders>
            <w:noWrap w:val="0"/>
            <w:vAlign w:val="center"/>
          </w:tcPr>
          <w:p w14:paraId="6D561420">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氨</w:t>
            </w:r>
          </w:p>
        </w:tc>
        <w:tc>
          <w:tcPr>
            <w:tcW w:w="1273" w:type="pct"/>
            <w:vMerge w:val="restart"/>
            <w:tcBorders>
              <w:tl2br w:val="nil"/>
              <w:tr2bl w:val="nil"/>
            </w:tcBorders>
            <w:noWrap w:val="0"/>
            <w:vAlign w:val="center"/>
          </w:tcPr>
          <w:p w14:paraId="1D22AD2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环境空气和废气 氨的测定 纳氏试剂分光光度法HJ 533-2009</w:t>
            </w:r>
          </w:p>
        </w:tc>
        <w:tc>
          <w:tcPr>
            <w:tcW w:w="959" w:type="pct"/>
            <w:tcBorders>
              <w:tl2br w:val="nil"/>
              <w:tr2bl w:val="nil"/>
            </w:tcBorders>
            <w:noWrap w:val="0"/>
            <w:vAlign w:val="center"/>
          </w:tcPr>
          <w:p w14:paraId="5FE64957">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空气/智能TSP综合采样器</w:t>
            </w:r>
          </w:p>
        </w:tc>
        <w:tc>
          <w:tcPr>
            <w:tcW w:w="844" w:type="pct"/>
            <w:tcBorders>
              <w:tl2br w:val="nil"/>
              <w:tr2bl w:val="nil"/>
            </w:tcBorders>
            <w:noWrap w:val="0"/>
            <w:vAlign w:val="center"/>
          </w:tcPr>
          <w:p w14:paraId="516A4F61">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崂应2050型</w:t>
            </w:r>
          </w:p>
        </w:tc>
        <w:tc>
          <w:tcPr>
            <w:tcW w:w="858" w:type="pct"/>
            <w:tcBorders>
              <w:tl2br w:val="nil"/>
              <w:tr2bl w:val="nil"/>
            </w:tcBorders>
            <w:noWrap w:val="0"/>
            <w:vAlign w:val="center"/>
          </w:tcPr>
          <w:p w14:paraId="5A647CE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HFYQ-2050   HFYQ-2051</w:t>
            </w:r>
          </w:p>
        </w:tc>
      </w:tr>
      <w:tr w14:paraId="4655D4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7647403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447B1038">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4C27449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244C947E">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紫外可见分光光度计</w:t>
            </w:r>
          </w:p>
        </w:tc>
        <w:tc>
          <w:tcPr>
            <w:tcW w:w="844" w:type="pct"/>
            <w:tcBorders>
              <w:tl2br w:val="nil"/>
              <w:tr2bl w:val="nil"/>
            </w:tcBorders>
            <w:noWrap w:val="0"/>
            <w:vAlign w:val="center"/>
          </w:tcPr>
          <w:p w14:paraId="6A1141C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T6新世纪</w:t>
            </w:r>
          </w:p>
        </w:tc>
        <w:tc>
          <w:tcPr>
            <w:tcW w:w="858" w:type="pct"/>
            <w:tcBorders>
              <w:tl2br w:val="nil"/>
              <w:tr2bl w:val="nil"/>
            </w:tcBorders>
            <w:noWrap w:val="0"/>
            <w:vAlign w:val="center"/>
          </w:tcPr>
          <w:p w14:paraId="66A62051">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HFYQ-1049</w:t>
            </w:r>
          </w:p>
        </w:tc>
      </w:tr>
      <w:tr w14:paraId="6E3C5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40AD5DC1">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restart"/>
            <w:tcBorders>
              <w:tl2br w:val="nil"/>
              <w:tr2bl w:val="nil"/>
            </w:tcBorders>
            <w:noWrap w:val="0"/>
            <w:vAlign w:val="center"/>
          </w:tcPr>
          <w:p w14:paraId="7B8060CA">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硫化氢</w:t>
            </w:r>
          </w:p>
        </w:tc>
        <w:tc>
          <w:tcPr>
            <w:tcW w:w="1273" w:type="pct"/>
            <w:vMerge w:val="restart"/>
            <w:tcBorders>
              <w:tl2br w:val="nil"/>
              <w:tr2bl w:val="nil"/>
            </w:tcBorders>
            <w:noWrap w:val="0"/>
            <w:vAlign w:val="center"/>
          </w:tcPr>
          <w:p w14:paraId="7DE91292">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空气和废气监测分析方法（第四版）国家环境保护总局（2003年）环境空气 亚甲基蓝分光光度法、污染源废气 亚甲基蓝分光光度法</w:t>
            </w:r>
          </w:p>
        </w:tc>
        <w:tc>
          <w:tcPr>
            <w:tcW w:w="959" w:type="pct"/>
            <w:tcBorders>
              <w:tl2br w:val="nil"/>
              <w:tr2bl w:val="nil"/>
            </w:tcBorders>
            <w:noWrap w:val="0"/>
            <w:vAlign w:val="center"/>
          </w:tcPr>
          <w:p w14:paraId="1F5A4526">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空气/智能TSP综合采样器</w:t>
            </w:r>
          </w:p>
        </w:tc>
        <w:tc>
          <w:tcPr>
            <w:tcW w:w="844" w:type="pct"/>
            <w:tcBorders>
              <w:tl2br w:val="nil"/>
              <w:tr2bl w:val="nil"/>
            </w:tcBorders>
            <w:noWrap w:val="0"/>
            <w:vAlign w:val="center"/>
          </w:tcPr>
          <w:p w14:paraId="2AC4187C">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崂应2050型</w:t>
            </w:r>
          </w:p>
        </w:tc>
        <w:tc>
          <w:tcPr>
            <w:tcW w:w="858" w:type="pct"/>
            <w:tcBorders>
              <w:tl2br w:val="nil"/>
              <w:tr2bl w:val="nil"/>
            </w:tcBorders>
            <w:noWrap w:val="0"/>
            <w:vAlign w:val="center"/>
          </w:tcPr>
          <w:p w14:paraId="14822897">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HFYQ-2050   HFYQ-2051</w:t>
            </w:r>
          </w:p>
        </w:tc>
      </w:tr>
      <w:tr w14:paraId="131EA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7837693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6A1D2CC8">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5116085C">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437F43FB">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紫外可见分光光度计</w:t>
            </w:r>
          </w:p>
        </w:tc>
        <w:tc>
          <w:tcPr>
            <w:tcW w:w="844" w:type="pct"/>
            <w:tcBorders>
              <w:tl2br w:val="nil"/>
              <w:tr2bl w:val="nil"/>
            </w:tcBorders>
            <w:noWrap w:val="0"/>
            <w:vAlign w:val="center"/>
          </w:tcPr>
          <w:p w14:paraId="37A597CB">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T6新世纪</w:t>
            </w:r>
          </w:p>
        </w:tc>
        <w:tc>
          <w:tcPr>
            <w:tcW w:w="858" w:type="pct"/>
            <w:tcBorders>
              <w:tl2br w:val="nil"/>
              <w:tr2bl w:val="nil"/>
            </w:tcBorders>
            <w:noWrap w:val="0"/>
            <w:vAlign w:val="center"/>
          </w:tcPr>
          <w:p w14:paraId="7920F324">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HFYQ-1049</w:t>
            </w:r>
          </w:p>
        </w:tc>
      </w:tr>
      <w:tr w14:paraId="10DAB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0BBB82A0">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restart"/>
            <w:tcBorders>
              <w:tl2br w:val="nil"/>
              <w:tr2bl w:val="nil"/>
            </w:tcBorders>
            <w:noWrap w:val="0"/>
            <w:vAlign w:val="center"/>
          </w:tcPr>
          <w:p w14:paraId="5D7CBA37">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臭气浓度</w:t>
            </w:r>
          </w:p>
        </w:tc>
        <w:tc>
          <w:tcPr>
            <w:tcW w:w="1273" w:type="pct"/>
            <w:vMerge w:val="restart"/>
            <w:tcBorders>
              <w:tl2br w:val="nil"/>
              <w:tr2bl w:val="nil"/>
            </w:tcBorders>
            <w:noWrap w:val="0"/>
            <w:vAlign w:val="center"/>
          </w:tcPr>
          <w:p w14:paraId="7B87628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环境空气和废气 臭气的测定 三点比较式臭袋法HJ 1262-2022</w:t>
            </w:r>
          </w:p>
        </w:tc>
        <w:tc>
          <w:tcPr>
            <w:tcW w:w="959" w:type="pct"/>
            <w:tcBorders>
              <w:tl2br w:val="nil"/>
              <w:tr2bl w:val="nil"/>
            </w:tcBorders>
            <w:noWrap w:val="0"/>
            <w:vAlign w:val="center"/>
          </w:tcPr>
          <w:p w14:paraId="5395C69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臭气采样瓶</w:t>
            </w:r>
          </w:p>
        </w:tc>
        <w:tc>
          <w:tcPr>
            <w:tcW w:w="844" w:type="pct"/>
            <w:tcBorders>
              <w:tl2br w:val="nil"/>
              <w:tr2bl w:val="nil"/>
            </w:tcBorders>
            <w:noWrap w:val="0"/>
            <w:vAlign w:val="center"/>
          </w:tcPr>
          <w:p w14:paraId="260955FC">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10L</w:t>
            </w:r>
          </w:p>
        </w:tc>
        <w:tc>
          <w:tcPr>
            <w:tcW w:w="858" w:type="pct"/>
            <w:tcBorders>
              <w:tl2br w:val="nil"/>
              <w:tr2bl w:val="nil"/>
            </w:tcBorders>
            <w:noWrap w:val="0"/>
            <w:vAlign w:val="center"/>
          </w:tcPr>
          <w:p w14:paraId="602DA32D">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r>
      <w:tr w14:paraId="5A907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88" w:type="pct"/>
            <w:vMerge w:val="continue"/>
            <w:tcBorders>
              <w:tl2br w:val="nil"/>
              <w:tr2bl w:val="nil"/>
            </w:tcBorders>
            <w:noWrap w:val="0"/>
            <w:vAlign w:val="center"/>
          </w:tcPr>
          <w:p w14:paraId="2F5B12F5">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675" w:type="pct"/>
            <w:vMerge w:val="continue"/>
            <w:tcBorders>
              <w:tl2br w:val="nil"/>
              <w:tr2bl w:val="nil"/>
            </w:tcBorders>
            <w:noWrap w:val="0"/>
            <w:vAlign w:val="center"/>
          </w:tcPr>
          <w:p w14:paraId="5DED5CFA">
            <w:pPr>
              <w:pStyle w:val="20"/>
              <w:adjustRightInd w:val="0"/>
              <w:snapToGrid w:val="0"/>
              <w:spacing w:line="240" w:lineRule="auto"/>
              <w:ind w:firstLine="0"/>
              <w:jc w:val="center"/>
              <w:rPr>
                <w:rFonts w:hint="eastAsia" w:ascii="Times New Roman" w:hAnsi="Times New Roman" w:eastAsia="宋体" w:cs="Times New Roman"/>
                <w:color w:val="auto"/>
                <w:sz w:val="21"/>
                <w:szCs w:val="21"/>
                <w:highlight w:val="none"/>
                <w:lang w:val="en-US" w:eastAsia="zh-CN"/>
              </w:rPr>
            </w:pPr>
          </w:p>
        </w:tc>
        <w:tc>
          <w:tcPr>
            <w:tcW w:w="1273" w:type="pct"/>
            <w:vMerge w:val="continue"/>
            <w:tcBorders>
              <w:tl2br w:val="nil"/>
              <w:tr2bl w:val="nil"/>
            </w:tcBorders>
            <w:noWrap w:val="0"/>
            <w:vAlign w:val="center"/>
          </w:tcPr>
          <w:p w14:paraId="1B7EF5AC">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rPr>
            </w:pPr>
          </w:p>
        </w:tc>
        <w:tc>
          <w:tcPr>
            <w:tcW w:w="959" w:type="pct"/>
            <w:tcBorders>
              <w:tl2br w:val="nil"/>
              <w:tr2bl w:val="nil"/>
            </w:tcBorders>
            <w:noWrap w:val="0"/>
            <w:vAlign w:val="center"/>
          </w:tcPr>
          <w:p w14:paraId="6935B95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循环水式真空泵</w:t>
            </w:r>
          </w:p>
        </w:tc>
        <w:tc>
          <w:tcPr>
            <w:tcW w:w="844" w:type="pct"/>
            <w:tcBorders>
              <w:tl2br w:val="nil"/>
              <w:tr2bl w:val="nil"/>
            </w:tcBorders>
            <w:noWrap w:val="0"/>
            <w:vAlign w:val="center"/>
          </w:tcPr>
          <w:p w14:paraId="5C451D98">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SHZ-D(Ⅲ)</w:t>
            </w:r>
          </w:p>
        </w:tc>
        <w:tc>
          <w:tcPr>
            <w:tcW w:w="858" w:type="pct"/>
            <w:tcBorders>
              <w:tl2br w:val="nil"/>
              <w:tr2bl w:val="nil"/>
            </w:tcBorders>
            <w:noWrap w:val="0"/>
            <w:vAlign w:val="center"/>
          </w:tcPr>
          <w:p w14:paraId="68513CDA">
            <w:pPr>
              <w:pStyle w:val="20"/>
              <w:adjustRightInd w:val="0"/>
              <w:snapToGrid w:val="0"/>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HFYQ-1023</w:t>
            </w:r>
          </w:p>
        </w:tc>
      </w:tr>
    </w:tbl>
    <w:p w14:paraId="55C08482">
      <w:pPr>
        <w:pStyle w:val="67"/>
        <w:numPr>
          <w:ilvl w:val="0"/>
          <w:numId w:val="7"/>
        </w:numPr>
        <w:ind w:firstLine="480"/>
        <w:rPr>
          <w:rFonts w:hint="eastAsia" w:eastAsia="宋体" w:cs="Times New Roman"/>
          <w:color w:val="auto"/>
          <w:highlight w:val="none"/>
          <w:lang w:val="en-US" w:eastAsia="zh-CN"/>
        </w:rPr>
      </w:pPr>
      <w:r>
        <w:rPr>
          <w:rFonts w:hint="eastAsia" w:eastAsia="宋体" w:cs="Times New Roman"/>
          <w:color w:val="auto"/>
          <w:highlight w:val="none"/>
          <w:lang w:val="en-US" w:eastAsia="zh-CN"/>
        </w:rPr>
        <w:t>气象条件</w:t>
      </w:r>
    </w:p>
    <w:p w14:paraId="0D2559B8">
      <w:pPr>
        <w:spacing w:line="500" w:lineRule="exact"/>
        <w:ind w:firstLine="0" w:firstLineChars="0"/>
        <w:jc w:val="center"/>
        <w:rPr>
          <w:rFonts w:hint="default" w:ascii="Times New Roman" w:hAnsi="Times New Roman" w:eastAsia="黑体" w:cs="Times New Roman"/>
          <w:snapToGrid w:val="0"/>
          <w:color w:val="auto"/>
          <w:highlight w:val="none"/>
          <w:lang w:val="en-US" w:eastAsia="zh-CN"/>
        </w:rPr>
      </w:pPr>
      <w:r>
        <w:rPr>
          <w:rFonts w:hint="eastAsia" w:ascii="Times New Roman" w:hAnsi="Times New Roman" w:eastAsia="黑体" w:cs="Times New Roman"/>
          <w:snapToGrid w:val="0"/>
          <w:color w:val="auto"/>
          <w:highlight w:val="none"/>
          <w:lang w:val="en-US" w:eastAsia="zh-CN"/>
        </w:rPr>
        <w:t>表4-2-5气象条件表</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44"/>
        <w:gridCol w:w="1294"/>
        <w:gridCol w:w="1294"/>
        <w:gridCol w:w="1294"/>
        <w:gridCol w:w="1294"/>
        <w:gridCol w:w="1294"/>
        <w:gridCol w:w="1310"/>
      </w:tblGrid>
      <w:tr w14:paraId="0EF6E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9" w:type="pct"/>
            <w:vMerge w:val="restart"/>
            <w:tcBorders>
              <w:tl2br w:val="nil"/>
              <w:tr2bl w:val="nil"/>
            </w:tcBorders>
            <w:noWrap w:val="0"/>
            <w:vAlign w:val="center"/>
          </w:tcPr>
          <w:p w14:paraId="7F66CFCC">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32" w:name="_Toc24178"/>
            <w:bookmarkStart w:id="333" w:name="_Toc19295"/>
            <w:bookmarkStart w:id="334" w:name="_Toc8032"/>
            <w:bookmarkStart w:id="335" w:name="_Toc21066"/>
            <w:r>
              <w:rPr>
                <w:rFonts w:hint="default" w:ascii="Times New Roman" w:hAnsi="Times New Roman" w:eastAsia="宋体" w:cs="Times New Roman"/>
                <w:color w:val="auto"/>
                <w:kern w:val="2"/>
                <w:sz w:val="21"/>
                <w:szCs w:val="21"/>
                <w:highlight w:val="none"/>
                <w:lang w:val="en-US" w:eastAsia="zh-CN" w:bidi="ar-SA"/>
              </w:rPr>
              <w:t>采样日期</w:t>
            </w:r>
            <w:bookmarkEnd w:id="332"/>
            <w:bookmarkEnd w:id="333"/>
            <w:bookmarkEnd w:id="334"/>
            <w:bookmarkEnd w:id="335"/>
          </w:p>
        </w:tc>
        <w:tc>
          <w:tcPr>
            <w:tcW w:w="4310" w:type="pct"/>
            <w:gridSpan w:val="6"/>
            <w:tcBorders>
              <w:tl2br w:val="nil"/>
              <w:tr2bl w:val="nil"/>
            </w:tcBorders>
            <w:noWrap w:val="0"/>
            <w:vAlign w:val="center"/>
          </w:tcPr>
          <w:p w14:paraId="12945698">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36" w:name="_Toc29912"/>
            <w:bookmarkStart w:id="337" w:name="_Toc362"/>
            <w:bookmarkStart w:id="338" w:name="_Toc8705"/>
            <w:bookmarkStart w:id="339" w:name="_Toc17171"/>
            <w:r>
              <w:rPr>
                <w:rFonts w:hint="default" w:ascii="Times New Roman" w:hAnsi="Times New Roman" w:eastAsia="宋体" w:cs="Times New Roman"/>
                <w:color w:val="auto"/>
                <w:kern w:val="2"/>
                <w:sz w:val="21"/>
                <w:szCs w:val="21"/>
                <w:highlight w:val="none"/>
                <w:lang w:val="en-US" w:eastAsia="zh-CN" w:bidi="ar-SA"/>
              </w:rPr>
              <w:t>统计结果</w:t>
            </w:r>
            <w:bookmarkEnd w:id="336"/>
            <w:bookmarkEnd w:id="337"/>
            <w:bookmarkEnd w:id="338"/>
            <w:bookmarkEnd w:id="339"/>
          </w:p>
        </w:tc>
      </w:tr>
      <w:tr w14:paraId="004EB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tblHeader/>
          <w:jc w:val="center"/>
        </w:trPr>
        <w:tc>
          <w:tcPr>
            <w:tcW w:w="689" w:type="pct"/>
            <w:vMerge w:val="continue"/>
            <w:tcBorders>
              <w:tl2br w:val="nil"/>
              <w:tr2bl w:val="nil"/>
            </w:tcBorders>
            <w:noWrap w:val="0"/>
            <w:vAlign w:val="center"/>
          </w:tcPr>
          <w:p w14:paraId="10972D08">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p>
        </w:tc>
        <w:tc>
          <w:tcPr>
            <w:tcW w:w="717" w:type="pct"/>
            <w:tcBorders>
              <w:tl2br w:val="nil"/>
              <w:tr2bl w:val="nil"/>
            </w:tcBorders>
            <w:noWrap w:val="0"/>
            <w:vAlign w:val="center"/>
          </w:tcPr>
          <w:p w14:paraId="5757E951">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40" w:name="_Toc3594"/>
            <w:bookmarkStart w:id="341" w:name="_Toc25758"/>
            <w:bookmarkStart w:id="342" w:name="_Toc11150"/>
            <w:bookmarkStart w:id="343" w:name="_Toc4058"/>
            <w:r>
              <w:rPr>
                <w:rFonts w:hint="default" w:ascii="Times New Roman" w:hAnsi="Times New Roman" w:eastAsia="宋体" w:cs="Times New Roman"/>
                <w:color w:val="auto"/>
                <w:kern w:val="2"/>
                <w:sz w:val="21"/>
                <w:szCs w:val="21"/>
                <w:highlight w:val="none"/>
                <w:lang w:val="en-US" w:eastAsia="zh-CN" w:bidi="ar-SA"/>
              </w:rPr>
              <w:t>天气</w:t>
            </w:r>
            <w:bookmarkEnd w:id="340"/>
            <w:bookmarkEnd w:id="341"/>
            <w:bookmarkEnd w:id="342"/>
            <w:bookmarkEnd w:id="343"/>
          </w:p>
        </w:tc>
        <w:tc>
          <w:tcPr>
            <w:tcW w:w="717" w:type="pct"/>
            <w:tcBorders>
              <w:tl2br w:val="nil"/>
              <w:tr2bl w:val="nil"/>
            </w:tcBorders>
            <w:noWrap w:val="0"/>
            <w:vAlign w:val="center"/>
          </w:tcPr>
          <w:p w14:paraId="47AFBE30">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44" w:name="_Toc24377"/>
            <w:bookmarkStart w:id="345" w:name="_Toc21444"/>
            <w:bookmarkStart w:id="346" w:name="_Toc22207"/>
            <w:bookmarkStart w:id="347" w:name="_Toc26888"/>
            <w:r>
              <w:rPr>
                <w:rFonts w:hint="default" w:ascii="Times New Roman" w:hAnsi="Times New Roman" w:eastAsia="宋体" w:cs="Times New Roman"/>
                <w:color w:val="auto"/>
                <w:kern w:val="2"/>
                <w:sz w:val="21"/>
                <w:szCs w:val="21"/>
                <w:highlight w:val="none"/>
                <w:lang w:val="en-US" w:eastAsia="zh-CN" w:bidi="ar-SA"/>
              </w:rPr>
              <w:t>风向</w:t>
            </w:r>
            <w:bookmarkEnd w:id="344"/>
            <w:bookmarkEnd w:id="345"/>
            <w:bookmarkEnd w:id="346"/>
            <w:bookmarkEnd w:id="347"/>
          </w:p>
        </w:tc>
        <w:tc>
          <w:tcPr>
            <w:tcW w:w="717" w:type="pct"/>
            <w:tcBorders>
              <w:tl2br w:val="nil"/>
              <w:tr2bl w:val="nil"/>
            </w:tcBorders>
            <w:noWrap w:val="0"/>
            <w:vAlign w:val="center"/>
          </w:tcPr>
          <w:p w14:paraId="2A9F643D">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48" w:name="_Toc12888"/>
            <w:bookmarkStart w:id="349" w:name="_Toc27138"/>
            <w:bookmarkStart w:id="350" w:name="_Toc14041"/>
            <w:bookmarkStart w:id="351" w:name="_Toc16269"/>
            <w:r>
              <w:rPr>
                <w:rFonts w:hint="default" w:ascii="Times New Roman" w:hAnsi="Times New Roman" w:eastAsia="宋体" w:cs="Times New Roman"/>
                <w:color w:val="auto"/>
                <w:kern w:val="2"/>
                <w:sz w:val="21"/>
                <w:szCs w:val="21"/>
                <w:highlight w:val="none"/>
                <w:lang w:val="en-US" w:eastAsia="zh-CN" w:bidi="ar-SA"/>
              </w:rPr>
              <w:t>风速（m/s）</w:t>
            </w:r>
            <w:bookmarkEnd w:id="348"/>
            <w:bookmarkEnd w:id="349"/>
            <w:bookmarkEnd w:id="350"/>
            <w:bookmarkEnd w:id="351"/>
          </w:p>
        </w:tc>
        <w:tc>
          <w:tcPr>
            <w:tcW w:w="717" w:type="pct"/>
            <w:tcBorders>
              <w:tl2br w:val="nil"/>
              <w:tr2bl w:val="nil"/>
            </w:tcBorders>
            <w:noWrap w:val="0"/>
            <w:vAlign w:val="center"/>
          </w:tcPr>
          <w:p w14:paraId="7C0D6951">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52" w:name="_Toc19674"/>
            <w:bookmarkStart w:id="353" w:name="_Toc26995"/>
            <w:bookmarkStart w:id="354" w:name="_Toc25690"/>
            <w:bookmarkStart w:id="355" w:name="_Toc24471"/>
            <w:r>
              <w:rPr>
                <w:rFonts w:hint="default" w:ascii="Times New Roman" w:hAnsi="Times New Roman" w:eastAsia="宋体" w:cs="Times New Roman"/>
                <w:color w:val="auto"/>
                <w:kern w:val="2"/>
                <w:sz w:val="21"/>
                <w:szCs w:val="21"/>
                <w:highlight w:val="none"/>
                <w:lang w:val="en-US" w:eastAsia="zh-CN" w:bidi="ar-SA"/>
              </w:rPr>
              <w:t>最高气温(℃)</w:t>
            </w:r>
            <w:bookmarkEnd w:id="352"/>
            <w:bookmarkEnd w:id="353"/>
            <w:bookmarkEnd w:id="354"/>
            <w:bookmarkEnd w:id="355"/>
          </w:p>
        </w:tc>
        <w:tc>
          <w:tcPr>
            <w:tcW w:w="717" w:type="pct"/>
            <w:tcBorders>
              <w:tl2br w:val="nil"/>
              <w:tr2bl w:val="nil"/>
            </w:tcBorders>
            <w:noWrap w:val="0"/>
            <w:vAlign w:val="center"/>
          </w:tcPr>
          <w:p w14:paraId="4F517BB0">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56" w:name="_Toc5611"/>
            <w:bookmarkStart w:id="357" w:name="_Toc5357"/>
            <w:bookmarkStart w:id="358" w:name="_Toc8258"/>
            <w:bookmarkStart w:id="359" w:name="_Toc25878"/>
            <w:r>
              <w:rPr>
                <w:rFonts w:hint="default" w:ascii="Times New Roman" w:hAnsi="Times New Roman" w:eastAsia="宋体" w:cs="Times New Roman"/>
                <w:color w:val="auto"/>
                <w:kern w:val="2"/>
                <w:sz w:val="21"/>
                <w:szCs w:val="21"/>
                <w:highlight w:val="none"/>
                <w:lang w:val="en-US" w:eastAsia="zh-CN" w:bidi="ar-SA"/>
              </w:rPr>
              <w:t>最低气温(℃)</w:t>
            </w:r>
            <w:bookmarkEnd w:id="356"/>
            <w:bookmarkEnd w:id="357"/>
            <w:bookmarkEnd w:id="358"/>
            <w:bookmarkEnd w:id="359"/>
          </w:p>
        </w:tc>
        <w:tc>
          <w:tcPr>
            <w:tcW w:w="721" w:type="pct"/>
            <w:tcBorders>
              <w:tl2br w:val="nil"/>
              <w:tr2bl w:val="nil"/>
            </w:tcBorders>
            <w:noWrap w:val="0"/>
            <w:vAlign w:val="center"/>
          </w:tcPr>
          <w:p w14:paraId="3ED3B56E">
            <w:pPr>
              <w:keepNext w:val="0"/>
              <w:keepLines w:val="0"/>
              <w:pageBreakBefore w:val="0"/>
              <w:kinsoku/>
              <w:wordWrap/>
              <w:overflowPunct/>
              <w:topLinePunct w:val="0"/>
              <w:autoSpaceDE/>
              <w:autoSpaceDN/>
              <w:bidi w:val="0"/>
              <w:adjustRightInd/>
              <w:snapToGrid/>
              <w:spacing w:line="240" w:lineRule="auto"/>
              <w:ind w:firstLine="0" w:firstLineChars="0"/>
              <w:jc w:val="center"/>
              <w:outlineLvl w:val="0"/>
              <w:rPr>
                <w:rFonts w:hint="default" w:ascii="Times New Roman" w:hAnsi="Times New Roman" w:eastAsia="宋体" w:cs="Times New Roman"/>
                <w:color w:val="auto"/>
                <w:kern w:val="2"/>
                <w:sz w:val="21"/>
                <w:szCs w:val="21"/>
                <w:highlight w:val="none"/>
                <w:lang w:val="en-US" w:eastAsia="zh-CN" w:bidi="ar-SA"/>
              </w:rPr>
            </w:pPr>
            <w:bookmarkStart w:id="360" w:name="_Toc15658"/>
            <w:bookmarkStart w:id="361" w:name="_Toc14991"/>
            <w:bookmarkStart w:id="362" w:name="_Toc13398"/>
            <w:bookmarkStart w:id="363" w:name="_Toc16043"/>
            <w:r>
              <w:rPr>
                <w:rFonts w:hint="default" w:ascii="Times New Roman" w:hAnsi="Times New Roman" w:eastAsia="宋体" w:cs="Times New Roman"/>
                <w:color w:val="auto"/>
                <w:kern w:val="2"/>
                <w:sz w:val="21"/>
                <w:szCs w:val="21"/>
                <w:highlight w:val="none"/>
                <w:lang w:val="en-US" w:eastAsia="zh-CN" w:bidi="ar-SA"/>
              </w:rPr>
              <w:t>气压(hPa)</w:t>
            </w:r>
            <w:bookmarkEnd w:id="360"/>
            <w:bookmarkEnd w:id="361"/>
            <w:bookmarkEnd w:id="362"/>
            <w:bookmarkEnd w:id="363"/>
          </w:p>
        </w:tc>
      </w:tr>
      <w:tr w14:paraId="7C1A4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689" w:type="pct"/>
            <w:tcBorders>
              <w:tl2br w:val="nil"/>
              <w:tr2bl w:val="nil"/>
            </w:tcBorders>
            <w:noWrap w:val="0"/>
            <w:vAlign w:val="center"/>
          </w:tcPr>
          <w:p w14:paraId="7F47389A">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2026.04.08</w:t>
            </w:r>
          </w:p>
        </w:tc>
        <w:tc>
          <w:tcPr>
            <w:tcW w:w="717" w:type="pct"/>
            <w:tcBorders>
              <w:tl2br w:val="nil"/>
              <w:tr2bl w:val="nil"/>
            </w:tcBorders>
            <w:noWrap w:val="0"/>
            <w:vAlign w:val="center"/>
          </w:tcPr>
          <w:p w14:paraId="080A8A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晴</w:t>
            </w:r>
          </w:p>
        </w:tc>
        <w:tc>
          <w:tcPr>
            <w:tcW w:w="717" w:type="pct"/>
            <w:tcBorders>
              <w:tl2br w:val="nil"/>
              <w:tr2bl w:val="nil"/>
            </w:tcBorders>
            <w:noWrap w:val="0"/>
            <w:vAlign w:val="center"/>
          </w:tcPr>
          <w:p w14:paraId="452BCA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西北风</w:t>
            </w:r>
          </w:p>
        </w:tc>
        <w:tc>
          <w:tcPr>
            <w:tcW w:w="717" w:type="pct"/>
            <w:tcBorders>
              <w:tl2br w:val="nil"/>
              <w:tr2bl w:val="nil"/>
            </w:tcBorders>
            <w:noWrap w:val="0"/>
            <w:vAlign w:val="center"/>
          </w:tcPr>
          <w:p w14:paraId="2E5170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w:t>
            </w:r>
          </w:p>
        </w:tc>
        <w:tc>
          <w:tcPr>
            <w:tcW w:w="717" w:type="pct"/>
            <w:tcBorders>
              <w:tl2br w:val="nil"/>
              <w:tr2bl w:val="nil"/>
            </w:tcBorders>
            <w:noWrap w:val="0"/>
            <w:vAlign w:val="center"/>
          </w:tcPr>
          <w:p w14:paraId="43EB0E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717" w:type="pct"/>
            <w:tcBorders>
              <w:tl2br w:val="nil"/>
              <w:tr2bl w:val="nil"/>
            </w:tcBorders>
            <w:noWrap w:val="0"/>
            <w:vAlign w:val="center"/>
          </w:tcPr>
          <w:p w14:paraId="5AE78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w:t>
            </w:r>
          </w:p>
        </w:tc>
        <w:tc>
          <w:tcPr>
            <w:tcW w:w="721" w:type="pct"/>
            <w:tcBorders>
              <w:tl2br w:val="nil"/>
              <w:tr2bl w:val="nil"/>
            </w:tcBorders>
            <w:noWrap w:val="0"/>
            <w:vAlign w:val="center"/>
          </w:tcPr>
          <w:p w14:paraId="3CB6E0EF">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995.1 </w:t>
            </w:r>
          </w:p>
        </w:tc>
      </w:tr>
      <w:tr w14:paraId="43A76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6A8CC580">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2026.04.09</w:t>
            </w:r>
          </w:p>
        </w:tc>
        <w:tc>
          <w:tcPr>
            <w:tcW w:w="717" w:type="pct"/>
            <w:tcBorders>
              <w:tl2br w:val="nil"/>
              <w:tr2bl w:val="nil"/>
            </w:tcBorders>
            <w:noWrap w:val="0"/>
            <w:vAlign w:val="center"/>
          </w:tcPr>
          <w:p w14:paraId="3509BC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多云</w:t>
            </w:r>
          </w:p>
        </w:tc>
        <w:tc>
          <w:tcPr>
            <w:tcW w:w="717" w:type="pct"/>
            <w:tcBorders>
              <w:tl2br w:val="nil"/>
              <w:tr2bl w:val="nil"/>
            </w:tcBorders>
            <w:noWrap w:val="0"/>
            <w:vAlign w:val="center"/>
          </w:tcPr>
          <w:p w14:paraId="69FF9F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西北风</w:t>
            </w:r>
          </w:p>
        </w:tc>
        <w:tc>
          <w:tcPr>
            <w:tcW w:w="717" w:type="pct"/>
            <w:tcBorders>
              <w:tl2br w:val="nil"/>
              <w:tr2bl w:val="nil"/>
            </w:tcBorders>
            <w:noWrap w:val="0"/>
            <w:vAlign w:val="center"/>
          </w:tcPr>
          <w:p w14:paraId="48075A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2.8</w:t>
            </w:r>
          </w:p>
        </w:tc>
        <w:tc>
          <w:tcPr>
            <w:tcW w:w="717" w:type="pct"/>
            <w:tcBorders>
              <w:tl2br w:val="nil"/>
              <w:tr2bl w:val="nil"/>
            </w:tcBorders>
            <w:noWrap w:val="0"/>
            <w:vAlign w:val="center"/>
          </w:tcPr>
          <w:p w14:paraId="26C9F0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w:t>
            </w:r>
          </w:p>
        </w:tc>
        <w:tc>
          <w:tcPr>
            <w:tcW w:w="717" w:type="pct"/>
            <w:tcBorders>
              <w:tl2br w:val="nil"/>
              <w:tr2bl w:val="nil"/>
            </w:tcBorders>
            <w:noWrap w:val="0"/>
            <w:vAlign w:val="center"/>
          </w:tcPr>
          <w:p w14:paraId="13659B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721" w:type="pct"/>
            <w:tcBorders>
              <w:tl2br w:val="nil"/>
              <w:tr2bl w:val="nil"/>
            </w:tcBorders>
            <w:noWrap w:val="0"/>
            <w:vAlign w:val="center"/>
          </w:tcPr>
          <w:p w14:paraId="6198067C">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994.9 </w:t>
            </w:r>
          </w:p>
        </w:tc>
      </w:tr>
      <w:tr w14:paraId="75DDD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603C084D">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2026.04.10</w:t>
            </w:r>
          </w:p>
        </w:tc>
        <w:tc>
          <w:tcPr>
            <w:tcW w:w="717" w:type="pct"/>
            <w:tcBorders>
              <w:tl2br w:val="nil"/>
              <w:tr2bl w:val="nil"/>
            </w:tcBorders>
            <w:noWrap w:val="0"/>
            <w:vAlign w:val="center"/>
          </w:tcPr>
          <w:p w14:paraId="0FBD099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多云</w:t>
            </w:r>
          </w:p>
        </w:tc>
        <w:tc>
          <w:tcPr>
            <w:tcW w:w="717" w:type="pct"/>
            <w:tcBorders>
              <w:tl2br w:val="nil"/>
              <w:tr2bl w:val="nil"/>
            </w:tcBorders>
            <w:noWrap w:val="0"/>
            <w:vAlign w:val="center"/>
          </w:tcPr>
          <w:p w14:paraId="49F312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南风</w:t>
            </w:r>
          </w:p>
        </w:tc>
        <w:tc>
          <w:tcPr>
            <w:tcW w:w="717" w:type="pct"/>
            <w:tcBorders>
              <w:tl2br w:val="nil"/>
              <w:tr2bl w:val="nil"/>
            </w:tcBorders>
            <w:noWrap w:val="0"/>
            <w:vAlign w:val="center"/>
          </w:tcPr>
          <w:p w14:paraId="318354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3.2</w:t>
            </w:r>
          </w:p>
        </w:tc>
        <w:tc>
          <w:tcPr>
            <w:tcW w:w="717" w:type="pct"/>
            <w:tcBorders>
              <w:tl2br w:val="nil"/>
              <w:tr2bl w:val="nil"/>
            </w:tcBorders>
            <w:noWrap w:val="0"/>
            <w:vAlign w:val="center"/>
          </w:tcPr>
          <w:p w14:paraId="2D826A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w:t>
            </w:r>
          </w:p>
        </w:tc>
        <w:tc>
          <w:tcPr>
            <w:tcW w:w="717" w:type="pct"/>
            <w:tcBorders>
              <w:tl2br w:val="nil"/>
              <w:tr2bl w:val="nil"/>
            </w:tcBorders>
            <w:noWrap w:val="0"/>
            <w:vAlign w:val="center"/>
          </w:tcPr>
          <w:p w14:paraId="194878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721" w:type="pct"/>
            <w:tcBorders>
              <w:tl2br w:val="nil"/>
              <w:tr2bl w:val="nil"/>
            </w:tcBorders>
            <w:noWrap w:val="0"/>
            <w:vAlign w:val="center"/>
          </w:tcPr>
          <w:p w14:paraId="14A054B4">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995.0 </w:t>
            </w:r>
          </w:p>
        </w:tc>
      </w:tr>
      <w:tr w14:paraId="555C1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43BAA510">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2026.04.11</w:t>
            </w:r>
          </w:p>
        </w:tc>
        <w:tc>
          <w:tcPr>
            <w:tcW w:w="717" w:type="pct"/>
            <w:tcBorders>
              <w:tl2br w:val="nil"/>
              <w:tr2bl w:val="nil"/>
            </w:tcBorders>
            <w:noWrap w:val="0"/>
            <w:vAlign w:val="center"/>
          </w:tcPr>
          <w:p w14:paraId="2D88F1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多云</w:t>
            </w:r>
          </w:p>
        </w:tc>
        <w:tc>
          <w:tcPr>
            <w:tcW w:w="717" w:type="pct"/>
            <w:tcBorders>
              <w:tl2br w:val="nil"/>
              <w:tr2bl w:val="nil"/>
            </w:tcBorders>
            <w:noWrap w:val="0"/>
            <w:vAlign w:val="center"/>
          </w:tcPr>
          <w:p w14:paraId="68D93B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西北风</w:t>
            </w:r>
          </w:p>
        </w:tc>
        <w:tc>
          <w:tcPr>
            <w:tcW w:w="717" w:type="pct"/>
            <w:tcBorders>
              <w:tl2br w:val="nil"/>
              <w:tr2bl w:val="nil"/>
            </w:tcBorders>
            <w:noWrap w:val="0"/>
            <w:vAlign w:val="center"/>
          </w:tcPr>
          <w:p w14:paraId="38648A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2.7</w:t>
            </w:r>
          </w:p>
        </w:tc>
        <w:tc>
          <w:tcPr>
            <w:tcW w:w="717" w:type="pct"/>
            <w:tcBorders>
              <w:tl2br w:val="nil"/>
              <w:tr2bl w:val="nil"/>
            </w:tcBorders>
            <w:noWrap w:val="0"/>
            <w:vAlign w:val="center"/>
          </w:tcPr>
          <w:p w14:paraId="70F079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p>
        </w:tc>
        <w:tc>
          <w:tcPr>
            <w:tcW w:w="717" w:type="pct"/>
            <w:tcBorders>
              <w:tl2br w:val="nil"/>
              <w:tr2bl w:val="nil"/>
            </w:tcBorders>
            <w:noWrap w:val="0"/>
            <w:vAlign w:val="center"/>
          </w:tcPr>
          <w:p w14:paraId="582EFE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w:t>
            </w:r>
          </w:p>
        </w:tc>
        <w:tc>
          <w:tcPr>
            <w:tcW w:w="721" w:type="pct"/>
            <w:tcBorders>
              <w:tl2br w:val="nil"/>
              <w:tr2bl w:val="nil"/>
            </w:tcBorders>
            <w:noWrap w:val="0"/>
            <w:vAlign w:val="center"/>
          </w:tcPr>
          <w:p w14:paraId="5B1D19C8">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995.0 </w:t>
            </w:r>
          </w:p>
        </w:tc>
      </w:tr>
      <w:tr w14:paraId="6E888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512F066B">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2026.04.12</w:t>
            </w:r>
          </w:p>
        </w:tc>
        <w:tc>
          <w:tcPr>
            <w:tcW w:w="717" w:type="pct"/>
            <w:tcBorders>
              <w:tl2br w:val="nil"/>
              <w:tr2bl w:val="nil"/>
            </w:tcBorders>
            <w:noWrap w:val="0"/>
            <w:vAlign w:val="center"/>
          </w:tcPr>
          <w:p w14:paraId="0BE27A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多云</w:t>
            </w:r>
          </w:p>
        </w:tc>
        <w:tc>
          <w:tcPr>
            <w:tcW w:w="717" w:type="pct"/>
            <w:tcBorders>
              <w:tl2br w:val="nil"/>
              <w:tr2bl w:val="nil"/>
            </w:tcBorders>
            <w:noWrap w:val="0"/>
            <w:vAlign w:val="center"/>
          </w:tcPr>
          <w:p w14:paraId="552B33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北风</w:t>
            </w:r>
          </w:p>
        </w:tc>
        <w:tc>
          <w:tcPr>
            <w:tcW w:w="717" w:type="pct"/>
            <w:tcBorders>
              <w:tl2br w:val="nil"/>
              <w:tr2bl w:val="nil"/>
            </w:tcBorders>
            <w:noWrap w:val="0"/>
            <w:vAlign w:val="center"/>
          </w:tcPr>
          <w:p w14:paraId="5B847A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1.8</w:t>
            </w:r>
          </w:p>
        </w:tc>
        <w:tc>
          <w:tcPr>
            <w:tcW w:w="717" w:type="pct"/>
            <w:tcBorders>
              <w:tl2br w:val="nil"/>
              <w:tr2bl w:val="nil"/>
            </w:tcBorders>
            <w:noWrap w:val="0"/>
            <w:vAlign w:val="center"/>
          </w:tcPr>
          <w:p w14:paraId="743FD6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w:t>
            </w:r>
          </w:p>
        </w:tc>
        <w:tc>
          <w:tcPr>
            <w:tcW w:w="717" w:type="pct"/>
            <w:tcBorders>
              <w:tl2br w:val="nil"/>
              <w:tr2bl w:val="nil"/>
            </w:tcBorders>
            <w:noWrap w:val="0"/>
            <w:vAlign w:val="center"/>
          </w:tcPr>
          <w:p w14:paraId="7DCC3B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721" w:type="pct"/>
            <w:tcBorders>
              <w:tl2br w:val="nil"/>
              <w:tr2bl w:val="nil"/>
            </w:tcBorders>
            <w:noWrap w:val="0"/>
            <w:vAlign w:val="center"/>
          </w:tcPr>
          <w:p w14:paraId="380D6B79">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995.0 </w:t>
            </w:r>
          </w:p>
        </w:tc>
      </w:tr>
      <w:tr w14:paraId="4F7FC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7F02A9A2">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2026.04.13</w:t>
            </w:r>
          </w:p>
        </w:tc>
        <w:tc>
          <w:tcPr>
            <w:tcW w:w="717" w:type="pct"/>
            <w:tcBorders>
              <w:tl2br w:val="nil"/>
              <w:tr2bl w:val="nil"/>
            </w:tcBorders>
            <w:noWrap w:val="0"/>
            <w:vAlign w:val="center"/>
          </w:tcPr>
          <w:p w14:paraId="76BE65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多云</w:t>
            </w:r>
          </w:p>
        </w:tc>
        <w:tc>
          <w:tcPr>
            <w:tcW w:w="717" w:type="pct"/>
            <w:tcBorders>
              <w:tl2br w:val="nil"/>
              <w:tr2bl w:val="nil"/>
            </w:tcBorders>
            <w:noWrap w:val="0"/>
            <w:vAlign w:val="center"/>
          </w:tcPr>
          <w:p w14:paraId="2F140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西北风</w:t>
            </w:r>
          </w:p>
        </w:tc>
        <w:tc>
          <w:tcPr>
            <w:tcW w:w="717" w:type="pct"/>
            <w:tcBorders>
              <w:tl2br w:val="nil"/>
              <w:tr2bl w:val="nil"/>
            </w:tcBorders>
            <w:noWrap w:val="0"/>
            <w:vAlign w:val="center"/>
          </w:tcPr>
          <w:p w14:paraId="2E691D2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717" w:type="pct"/>
            <w:tcBorders>
              <w:tl2br w:val="nil"/>
              <w:tr2bl w:val="nil"/>
            </w:tcBorders>
            <w:noWrap w:val="0"/>
            <w:vAlign w:val="center"/>
          </w:tcPr>
          <w:p w14:paraId="4E879F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w:t>
            </w:r>
          </w:p>
        </w:tc>
        <w:tc>
          <w:tcPr>
            <w:tcW w:w="717" w:type="pct"/>
            <w:tcBorders>
              <w:tl2br w:val="nil"/>
              <w:tr2bl w:val="nil"/>
            </w:tcBorders>
            <w:noWrap w:val="0"/>
            <w:vAlign w:val="center"/>
          </w:tcPr>
          <w:p w14:paraId="3451C6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721" w:type="pct"/>
            <w:tcBorders>
              <w:tl2br w:val="nil"/>
              <w:tr2bl w:val="nil"/>
            </w:tcBorders>
            <w:noWrap w:val="0"/>
            <w:vAlign w:val="center"/>
          </w:tcPr>
          <w:p w14:paraId="4D312737">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994.7 </w:t>
            </w:r>
          </w:p>
        </w:tc>
      </w:tr>
      <w:tr w14:paraId="689DF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5" w:hRule="atLeast"/>
          <w:jc w:val="center"/>
        </w:trPr>
        <w:tc>
          <w:tcPr>
            <w:tcW w:w="689" w:type="pct"/>
            <w:tcBorders>
              <w:tl2br w:val="nil"/>
              <w:tr2bl w:val="nil"/>
            </w:tcBorders>
            <w:noWrap w:val="0"/>
            <w:vAlign w:val="center"/>
          </w:tcPr>
          <w:p w14:paraId="03026A1A">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2026.04.14</w:t>
            </w:r>
          </w:p>
        </w:tc>
        <w:tc>
          <w:tcPr>
            <w:tcW w:w="717" w:type="pct"/>
            <w:tcBorders>
              <w:tl2br w:val="nil"/>
              <w:tr2bl w:val="nil"/>
            </w:tcBorders>
            <w:noWrap w:val="0"/>
            <w:vAlign w:val="center"/>
          </w:tcPr>
          <w:p w14:paraId="5A54D3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晴</w:t>
            </w:r>
          </w:p>
        </w:tc>
        <w:tc>
          <w:tcPr>
            <w:tcW w:w="717" w:type="pct"/>
            <w:tcBorders>
              <w:tl2br w:val="nil"/>
              <w:tr2bl w:val="nil"/>
            </w:tcBorders>
            <w:noWrap w:val="0"/>
            <w:vAlign w:val="center"/>
          </w:tcPr>
          <w:p w14:paraId="00FE05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西北风</w:t>
            </w:r>
          </w:p>
        </w:tc>
        <w:tc>
          <w:tcPr>
            <w:tcW w:w="717" w:type="pct"/>
            <w:tcBorders>
              <w:tl2br w:val="nil"/>
              <w:tr2bl w:val="nil"/>
            </w:tcBorders>
            <w:noWrap w:val="0"/>
            <w:vAlign w:val="center"/>
          </w:tcPr>
          <w:p w14:paraId="7264D7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1.6</w:t>
            </w:r>
          </w:p>
        </w:tc>
        <w:tc>
          <w:tcPr>
            <w:tcW w:w="717" w:type="pct"/>
            <w:tcBorders>
              <w:tl2br w:val="nil"/>
              <w:tr2bl w:val="nil"/>
            </w:tcBorders>
            <w:noWrap w:val="0"/>
            <w:vAlign w:val="center"/>
          </w:tcPr>
          <w:p w14:paraId="003DA8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w:t>
            </w:r>
          </w:p>
        </w:tc>
        <w:tc>
          <w:tcPr>
            <w:tcW w:w="717" w:type="pct"/>
            <w:tcBorders>
              <w:tl2br w:val="nil"/>
              <w:tr2bl w:val="nil"/>
            </w:tcBorders>
            <w:noWrap w:val="0"/>
            <w:vAlign w:val="center"/>
          </w:tcPr>
          <w:p w14:paraId="23C1EC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721" w:type="pct"/>
            <w:tcBorders>
              <w:tl2br w:val="nil"/>
              <w:tr2bl w:val="nil"/>
            </w:tcBorders>
            <w:noWrap w:val="0"/>
            <w:vAlign w:val="center"/>
          </w:tcPr>
          <w:p w14:paraId="4297360F">
            <w:pPr>
              <w:keepNext w:val="0"/>
              <w:keepLines w:val="0"/>
              <w:widowControl/>
              <w:suppressLineNumbers w:val="0"/>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995.3 </w:t>
            </w:r>
          </w:p>
        </w:tc>
      </w:tr>
    </w:tbl>
    <w:p w14:paraId="428563E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）监测结果及分析</w:t>
      </w:r>
    </w:p>
    <w:bookmarkEnd w:id="331"/>
    <w:p w14:paraId="09F0AD4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现状补充监测统计结果列于表4-2-6中，现状监测项目</w:t>
      </w:r>
      <w:r>
        <w:rPr>
          <w:rFonts w:hint="eastAsia" w:eastAsia="宋体" w:cs="Times New Roman"/>
          <w:color w:val="auto"/>
          <w:highlight w:val="none"/>
          <w:lang w:val="en-US" w:eastAsia="zh-CN"/>
        </w:rPr>
        <w:t>结果</w:t>
      </w:r>
      <w:r>
        <w:rPr>
          <w:rFonts w:hint="default" w:ascii="Times New Roman" w:hAnsi="Times New Roman" w:eastAsia="宋体" w:cs="Times New Roman"/>
          <w:color w:val="auto"/>
          <w:highlight w:val="none"/>
        </w:rPr>
        <w:t>如下：</w:t>
      </w:r>
    </w:p>
    <w:p w14:paraId="4E6ED594">
      <w:pPr>
        <w:spacing w:line="500" w:lineRule="exact"/>
        <w:ind w:firstLine="0" w:firstLineChars="0"/>
        <w:jc w:val="center"/>
        <w:rPr>
          <w:rFonts w:hint="default" w:ascii="Times New Roman" w:hAnsi="Times New Roman" w:eastAsia="黑体" w:cs="Times New Roman"/>
          <w:snapToGrid w:val="0"/>
          <w:color w:val="auto"/>
          <w:highlight w:val="none"/>
          <w:lang w:val="zh-CN"/>
        </w:rPr>
      </w:pPr>
      <w:r>
        <w:rPr>
          <w:rFonts w:hint="default" w:ascii="Times New Roman" w:hAnsi="Times New Roman" w:eastAsia="黑体" w:cs="Times New Roman"/>
          <w:snapToGrid w:val="0"/>
          <w:color w:val="auto"/>
          <w:highlight w:val="none"/>
          <w:lang w:val="zh-CN"/>
        </w:rPr>
        <w:t>表4-2-6环境空气监测结果（</w:t>
      </w:r>
      <w:r>
        <w:rPr>
          <w:rFonts w:hint="default" w:ascii="Times New Roman" w:hAnsi="Times New Roman" w:eastAsia="黑体" w:cs="Times New Roman"/>
          <w:snapToGrid w:val="0"/>
          <w:color w:val="auto"/>
          <w:highlight w:val="none"/>
          <w:lang w:val="en-US" w:eastAsia="zh-CN"/>
        </w:rPr>
        <w:t>氨、硫化氢、臭气浓度</w:t>
      </w:r>
      <w:r>
        <w:rPr>
          <w:rFonts w:hint="default" w:ascii="Times New Roman" w:hAnsi="Times New Roman" w:eastAsia="黑体" w:cs="Times New Roman"/>
          <w:snapToGrid w:val="0"/>
          <w:color w:val="auto"/>
          <w:highlight w:val="none"/>
          <w:lang w:val="zh-CN"/>
        </w:rPr>
        <w:t>）</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018"/>
        <w:gridCol w:w="852"/>
        <w:gridCol w:w="852"/>
        <w:gridCol w:w="853"/>
        <w:gridCol w:w="860"/>
        <w:gridCol w:w="853"/>
        <w:gridCol w:w="853"/>
        <w:gridCol w:w="860"/>
        <w:gridCol w:w="860"/>
      </w:tblGrid>
      <w:tr w14:paraId="2C1EA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39" w:type="pct"/>
            <w:vMerge w:val="restart"/>
            <w:tcBorders>
              <w:tl2br w:val="nil"/>
              <w:tr2bl w:val="nil"/>
            </w:tcBorders>
            <w:noWrap w:val="0"/>
            <w:vAlign w:val="center"/>
          </w:tcPr>
          <w:p w14:paraId="02D193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采样</w:t>
            </w:r>
          </w:p>
          <w:p w14:paraId="314126E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日期</w:t>
            </w:r>
          </w:p>
        </w:tc>
        <w:tc>
          <w:tcPr>
            <w:tcW w:w="587" w:type="pct"/>
            <w:vMerge w:val="restart"/>
            <w:tcBorders>
              <w:tl2br w:val="nil"/>
              <w:tr2bl w:val="nil"/>
            </w:tcBorders>
            <w:noWrap w:val="0"/>
            <w:vAlign w:val="center"/>
          </w:tcPr>
          <w:p w14:paraId="69089E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采样频次</w:t>
            </w:r>
          </w:p>
        </w:tc>
        <w:tc>
          <w:tcPr>
            <w:tcW w:w="1984" w:type="pct"/>
            <w:gridSpan w:val="4"/>
            <w:tcBorders>
              <w:tl2br w:val="nil"/>
              <w:tr2bl w:val="nil"/>
            </w:tcBorders>
            <w:noWrap w:val="0"/>
            <w:vAlign w:val="center"/>
          </w:tcPr>
          <w:p w14:paraId="6829C3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检测结果</w:t>
            </w:r>
          </w:p>
        </w:tc>
        <w:tc>
          <w:tcPr>
            <w:tcW w:w="1988" w:type="pct"/>
            <w:gridSpan w:val="4"/>
            <w:tcBorders>
              <w:tl2br w:val="nil"/>
              <w:tr2bl w:val="nil"/>
            </w:tcBorders>
            <w:noWrap w:val="0"/>
            <w:vAlign w:val="center"/>
          </w:tcPr>
          <w:p w14:paraId="2DF768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检测结果</w:t>
            </w:r>
          </w:p>
        </w:tc>
      </w:tr>
      <w:tr w14:paraId="158380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39" w:type="pct"/>
            <w:vMerge w:val="continue"/>
            <w:tcBorders>
              <w:tl2br w:val="nil"/>
              <w:tr2bl w:val="nil"/>
            </w:tcBorders>
            <w:noWrap w:val="0"/>
            <w:vAlign w:val="center"/>
          </w:tcPr>
          <w:p w14:paraId="536487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vMerge w:val="continue"/>
            <w:tcBorders>
              <w:tl2br w:val="nil"/>
              <w:tr2bl w:val="nil"/>
            </w:tcBorders>
            <w:noWrap w:val="0"/>
            <w:vAlign w:val="center"/>
          </w:tcPr>
          <w:p w14:paraId="570A6D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1984" w:type="pct"/>
            <w:gridSpan w:val="4"/>
            <w:tcBorders>
              <w:tl2br w:val="nil"/>
              <w:tr2bl w:val="nil"/>
            </w:tcBorders>
            <w:noWrap w:val="0"/>
            <w:vAlign w:val="center"/>
          </w:tcPr>
          <w:p w14:paraId="5F091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sym w:font="Webdings" w:char="003D"/>
            </w:r>
            <w:r>
              <w:rPr>
                <w:rFonts w:hint="default" w:ascii="Times New Roman" w:hAnsi="Times New Roman" w:eastAsia="宋体"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厂址</w:t>
            </w:r>
          </w:p>
        </w:tc>
        <w:tc>
          <w:tcPr>
            <w:tcW w:w="1988" w:type="pct"/>
            <w:gridSpan w:val="4"/>
            <w:tcBorders>
              <w:tl2br w:val="nil"/>
              <w:tr2bl w:val="nil"/>
            </w:tcBorders>
            <w:noWrap w:val="0"/>
            <w:vAlign w:val="center"/>
          </w:tcPr>
          <w:p w14:paraId="730B96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sym w:font="Webdings" w:char="003D"/>
            </w:r>
            <w:r>
              <w:rPr>
                <w:rFonts w:hint="default" w:ascii="Times New Roman" w:hAnsi="Times New Roman" w:eastAsia="宋体"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下风向</w:t>
            </w:r>
          </w:p>
        </w:tc>
      </w:tr>
      <w:tr w14:paraId="23656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439" w:type="pct"/>
            <w:vMerge w:val="continue"/>
            <w:tcBorders>
              <w:tl2br w:val="nil"/>
              <w:tr2bl w:val="nil"/>
            </w:tcBorders>
            <w:noWrap w:val="0"/>
            <w:vAlign w:val="center"/>
          </w:tcPr>
          <w:p w14:paraId="533C5E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vMerge w:val="continue"/>
            <w:tcBorders>
              <w:tl2br w:val="nil"/>
              <w:tr2bl w:val="nil"/>
            </w:tcBorders>
            <w:noWrap w:val="0"/>
            <w:vAlign w:val="center"/>
          </w:tcPr>
          <w:p w14:paraId="3358AE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495" w:type="pct"/>
            <w:tcBorders>
              <w:tl2br w:val="nil"/>
              <w:tr2bl w:val="nil"/>
            </w:tcBorders>
            <w:noWrap w:val="0"/>
            <w:vAlign w:val="center"/>
          </w:tcPr>
          <w:p w14:paraId="65A5CF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总悬浮颗粒物</w:t>
            </w:r>
          </w:p>
        </w:tc>
        <w:tc>
          <w:tcPr>
            <w:tcW w:w="495" w:type="pct"/>
            <w:tcBorders>
              <w:tl2br w:val="nil"/>
              <w:tr2bl w:val="nil"/>
            </w:tcBorders>
            <w:noWrap w:val="0"/>
            <w:vAlign w:val="center"/>
          </w:tcPr>
          <w:p w14:paraId="79F71E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氨</w:t>
            </w:r>
          </w:p>
        </w:tc>
        <w:tc>
          <w:tcPr>
            <w:tcW w:w="495" w:type="pct"/>
            <w:tcBorders>
              <w:tl2br w:val="nil"/>
              <w:tr2bl w:val="nil"/>
            </w:tcBorders>
            <w:noWrap w:val="0"/>
            <w:vAlign w:val="center"/>
          </w:tcPr>
          <w:p w14:paraId="705F5D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硫化氢</w:t>
            </w:r>
          </w:p>
        </w:tc>
        <w:tc>
          <w:tcPr>
            <w:tcW w:w="497" w:type="pct"/>
            <w:tcBorders>
              <w:tl2br w:val="nil"/>
              <w:tr2bl w:val="nil"/>
            </w:tcBorders>
            <w:noWrap w:val="0"/>
            <w:vAlign w:val="center"/>
          </w:tcPr>
          <w:p w14:paraId="42EDFC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臭气</w:t>
            </w:r>
          </w:p>
          <w:p w14:paraId="68A5F9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浓度</w:t>
            </w:r>
          </w:p>
        </w:tc>
        <w:tc>
          <w:tcPr>
            <w:tcW w:w="495" w:type="pct"/>
            <w:tcBorders>
              <w:tl2br w:val="nil"/>
              <w:tr2bl w:val="nil"/>
            </w:tcBorders>
            <w:noWrap w:val="0"/>
            <w:vAlign w:val="center"/>
          </w:tcPr>
          <w:p w14:paraId="0E7359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总悬浮颗粒物</w:t>
            </w:r>
          </w:p>
        </w:tc>
        <w:tc>
          <w:tcPr>
            <w:tcW w:w="495" w:type="pct"/>
            <w:tcBorders>
              <w:tl2br w:val="nil"/>
              <w:tr2bl w:val="nil"/>
            </w:tcBorders>
            <w:noWrap w:val="0"/>
            <w:vAlign w:val="center"/>
          </w:tcPr>
          <w:p w14:paraId="3AA61D3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氨</w:t>
            </w:r>
          </w:p>
        </w:tc>
        <w:tc>
          <w:tcPr>
            <w:tcW w:w="499" w:type="pct"/>
            <w:tcBorders>
              <w:tl2br w:val="nil"/>
              <w:tr2bl w:val="nil"/>
            </w:tcBorders>
            <w:noWrap w:val="0"/>
            <w:vAlign w:val="center"/>
          </w:tcPr>
          <w:p w14:paraId="526538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硫化氢</w:t>
            </w:r>
          </w:p>
        </w:tc>
        <w:tc>
          <w:tcPr>
            <w:tcW w:w="497" w:type="pct"/>
            <w:tcBorders>
              <w:tl2br w:val="nil"/>
              <w:tr2bl w:val="nil"/>
            </w:tcBorders>
            <w:noWrap w:val="0"/>
            <w:vAlign w:val="center"/>
          </w:tcPr>
          <w:p w14:paraId="20C9FB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臭气</w:t>
            </w:r>
          </w:p>
          <w:p w14:paraId="6306C44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浓度</w:t>
            </w:r>
          </w:p>
        </w:tc>
      </w:tr>
      <w:tr w14:paraId="104C6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31D7A2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2026.04.08</w:t>
            </w:r>
          </w:p>
        </w:tc>
        <w:tc>
          <w:tcPr>
            <w:tcW w:w="587" w:type="pct"/>
            <w:tcBorders>
              <w:tl2br w:val="nil"/>
              <w:tr2bl w:val="nil"/>
            </w:tcBorders>
            <w:noWrap w:val="0"/>
            <w:vAlign w:val="center"/>
          </w:tcPr>
          <w:p w14:paraId="5020DD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40E5B6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F0693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0E71D9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1FD29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4F1FAC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0666A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77D80A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8CB7D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6523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094174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56A50F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5393E9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447719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0.05 </w:t>
            </w:r>
          </w:p>
        </w:tc>
        <w:tc>
          <w:tcPr>
            <w:tcW w:w="495" w:type="pct"/>
            <w:tcBorders>
              <w:tl2br w:val="nil"/>
              <w:tr2bl w:val="nil"/>
            </w:tcBorders>
            <w:noWrap w:val="0"/>
            <w:vAlign w:val="center"/>
          </w:tcPr>
          <w:p w14:paraId="4CC6DB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58340E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255644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1402E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580931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1FAB8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7EC50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7D3F15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2E0FAA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483A66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28E36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0.06 </w:t>
            </w:r>
          </w:p>
        </w:tc>
        <w:tc>
          <w:tcPr>
            <w:tcW w:w="495" w:type="pct"/>
            <w:tcBorders>
              <w:tl2br w:val="nil"/>
              <w:tr2bl w:val="nil"/>
            </w:tcBorders>
            <w:noWrap w:val="0"/>
            <w:vAlign w:val="center"/>
          </w:tcPr>
          <w:p w14:paraId="39144E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869732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50FDB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8A72B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26C442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4368E0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1C34A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8599B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7D92FA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6BA2E8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0E0BC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0.05 </w:t>
            </w:r>
          </w:p>
        </w:tc>
        <w:tc>
          <w:tcPr>
            <w:tcW w:w="495" w:type="pct"/>
            <w:tcBorders>
              <w:tl2br w:val="nil"/>
              <w:tr2bl w:val="nil"/>
            </w:tcBorders>
            <w:noWrap w:val="0"/>
            <w:vAlign w:val="center"/>
          </w:tcPr>
          <w:p w14:paraId="6DA170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09B5A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0398A47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DAA71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w:t>
            </w:r>
          </w:p>
        </w:tc>
        <w:tc>
          <w:tcPr>
            <w:tcW w:w="499" w:type="pct"/>
            <w:tcBorders>
              <w:tl2br w:val="nil"/>
              <w:tr2bl w:val="nil"/>
            </w:tcBorders>
            <w:noWrap w:val="0"/>
            <w:vAlign w:val="center"/>
          </w:tcPr>
          <w:p w14:paraId="6E4C75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33A47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EAEF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1BC5CA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33EF8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1D2B45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0.089</w:t>
            </w:r>
          </w:p>
        </w:tc>
        <w:tc>
          <w:tcPr>
            <w:tcW w:w="495" w:type="pct"/>
            <w:tcBorders>
              <w:tl2br w:val="nil"/>
              <w:tr2bl w:val="nil"/>
            </w:tcBorders>
            <w:noWrap w:val="0"/>
            <w:vAlign w:val="center"/>
          </w:tcPr>
          <w:p w14:paraId="34F71A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FF5C2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730D382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A7D1A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0.091</w:t>
            </w:r>
          </w:p>
        </w:tc>
        <w:tc>
          <w:tcPr>
            <w:tcW w:w="495" w:type="pct"/>
            <w:tcBorders>
              <w:tl2br w:val="nil"/>
              <w:tr2bl w:val="nil"/>
            </w:tcBorders>
            <w:noWrap w:val="0"/>
            <w:vAlign w:val="center"/>
          </w:tcPr>
          <w:p w14:paraId="3A042F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16FBD3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4392B4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74A12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6281C0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2026.04.09</w:t>
            </w:r>
          </w:p>
        </w:tc>
        <w:tc>
          <w:tcPr>
            <w:tcW w:w="587" w:type="pct"/>
            <w:tcBorders>
              <w:tl2br w:val="nil"/>
              <w:tr2bl w:val="nil"/>
            </w:tcBorders>
            <w:noWrap w:val="0"/>
            <w:vAlign w:val="center"/>
          </w:tcPr>
          <w:p w14:paraId="796115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66FA4D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CDB63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0BE940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7821E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7D1C94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0CEE4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w:t>
            </w:r>
          </w:p>
        </w:tc>
        <w:tc>
          <w:tcPr>
            <w:tcW w:w="499" w:type="pct"/>
            <w:tcBorders>
              <w:tl2br w:val="nil"/>
              <w:tr2bl w:val="nil"/>
            </w:tcBorders>
            <w:noWrap w:val="0"/>
            <w:vAlign w:val="center"/>
          </w:tcPr>
          <w:p w14:paraId="5853A0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A12F2B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774CE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73E295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38177A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07983F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21230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70C4F2B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B3FD1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DDFAC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E5F17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0.07</w:t>
            </w:r>
          </w:p>
        </w:tc>
        <w:tc>
          <w:tcPr>
            <w:tcW w:w="499" w:type="pct"/>
            <w:tcBorders>
              <w:tl2br w:val="nil"/>
              <w:tr2bl w:val="nil"/>
            </w:tcBorders>
            <w:noWrap w:val="0"/>
            <w:vAlign w:val="center"/>
          </w:tcPr>
          <w:p w14:paraId="00D507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4F317C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6EC0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5E4EF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335BE2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0E57CA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98FF0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0.02 </w:t>
            </w:r>
          </w:p>
        </w:tc>
        <w:tc>
          <w:tcPr>
            <w:tcW w:w="495" w:type="pct"/>
            <w:tcBorders>
              <w:tl2br w:val="nil"/>
              <w:tr2bl w:val="nil"/>
            </w:tcBorders>
            <w:noWrap w:val="0"/>
            <w:vAlign w:val="center"/>
          </w:tcPr>
          <w:p w14:paraId="24D0CC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D956F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2203BA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769447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w:t>
            </w:r>
          </w:p>
        </w:tc>
        <w:tc>
          <w:tcPr>
            <w:tcW w:w="499" w:type="pct"/>
            <w:tcBorders>
              <w:tl2br w:val="nil"/>
              <w:tr2bl w:val="nil"/>
            </w:tcBorders>
            <w:noWrap w:val="0"/>
            <w:vAlign w:val="center"/>
          </w:tcPr>
          <w:p w14:paraId="0D7DC7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EE2E1E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247A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70C37A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59F4BD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6DEA78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39C79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2BCE25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52570E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426C92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632EE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5</w:t>
            </w:r>
          </w:p>
        </w:tc>
        <w:tc>
          <w:tcPr>
            <w:tcW w:w="499" w:type="pct"/>
            <w:tcBorders>
              <w:tl2br w:val="nil"/>
              <w:tr2bl w:val="nil"/>
            </w:tcBorders>
            <w:noWrap w:val="0"/>
            <w:vAlign w:val="center"/>
          </w:tcPr>
          <w:p w14:paraId="44007F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466C1E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25807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2496FF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09B794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520FE0F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0.091</w:t>
            </w:r>
          </w:p>
        </w:tc>
        <w:tc>
          <w:tcPr>
            <w:tcW w:w="495" w:type="pct"/>
            <w:tcBorders>
              <w:tl2br w:val="nil"/>
              <w:tr2bl w:val="nil"/>
            </w:tcBorders>
            <w:noWrap w:val="0"/>
            <w:vAlign w:val="center"/>
          </w:tcPr>
          <w:p w14:paraId="799F4D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668B1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626F97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ED4C6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0.093</w:t>
            </w:r>
          </w:p>
        </w:tc>
        <w:tc>
          <w:tcPr>
            <w:tcW w:w="495" w:type="pct"/>
            <w:tcBorders>
              <w:tl2br w:val="nil"/>
              <w:tr2bl w:val="nil"/>
            </w:tcBorders>
            <w:noWrap w:val="0"/>
            <w:vAlign w:val="center"/>
          </w:tcPr>
          <w:p w14:paraId="4E6A07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165393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6FF4BB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207B4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1A07EB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2026.04.10</w:t>
            </w:r>
          </w:p>
        </w:tc>
        <w:tc>
          <w:tcPr>
            <w:tcW w:w="587" w:type="pct"/>
            <w:tcBorders>
              <w:tl2br w:val="nil"/>
              <w:tr2bl w:val="nil"/>
            </w:tcBorders>
            <w:noWrap w:val="0"/>
            <w:vAlign w:val="center"/>
          </w:tcPr>
          <w:p w14:paraId="490211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324824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41A2EF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704C84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4EE19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02B0B6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F0756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2F4FBB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B188D6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51FCA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4AA3D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44BE481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7E0719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9609F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0.05 </w:t>
            </w:r>
          </w:p>
        </w:tc>
        <w:tc>
          <w:tcPr>
            <w:tcW w:w="495" w:type="pct"/>
            <w:tcBorders>
              <w:tl2br w:val="nil"/>
              <w:tr2bl w:val="nil"/>
            </w:tcBorders>
            <w:noWrap w:val="0"/>
            <w:vAlign w:val="center"/>
          </w:tcPr>
          <w:p w14:paraId="7E43F3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0D2D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712C3C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A4BEA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7BDF4C9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01AF8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3A86A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0D63B2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782498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3ADC10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CC93A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0.06 </w:t>
            </w:r>
          </w:p>
        </w:tc>
        <w:tc>
          <w:tcPr>
            <w:tcW w:w="495" w:type="pct"/>
            <w:tcBorders>
              <w:tl2br w:val="nil"/>
              <w:tr2bl w:val="nil"/>
            </w:tcBorders>
            <w:noWrap w:val="0"/>
            <w:vAlign w:val="center"/>
          </w:tcPr>
          <w:p w14:paraId="3461B66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C0F75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2EE8D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78356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201CFB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81EE71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B5DE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296495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570975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25DD4C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8CE45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23FCE7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09D7A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456741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88B6F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6</w:t>
            </w:r>
          </w:p>
        </w:tc>
        <w:tc>
          <w:tcPr>
            <w:tcW w:w="499" w:type="pct"/>
            <w:tcBorders>
              <w:tl2br w:val="nil"/>
              <w:tr2bl w:val="nil"/>
            </w:tcBorders>
            <w:noWrap w:val="0"/>
            <w:vAlign w:val="center"/>
          </w:tcPr>
          <w:p w14:paraId="7271FB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B21A8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10DDD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5D25C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3B7318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20CA17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0.090</w:t>
            </w:r>
          </w:p>
        </w:tc>
        <w:tc>
          <w:tcPr>
            <w:tcW w:w="495" w:type="pct"/>
            <w:tcBorders>
              <w:tl2br w:val="nil"/>
              <w:tr2bl w:val="nil"/>
            </w:tcBorders>
            <w:noWrap w:val="0"/>
            <w:vAlign w:val="center"/>
          </w:tcPr>
          <w:p w14:paraId="4CD651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32FAD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264375C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225C1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0.092</w:t>
            </w:r>
          </w:p>
        </w:tc>
        <w:tc>
          <w:tcPr>
            <w:tcW w:w="495" w:type="pct"/>
            <w:tcBorders>
              <w:tl2br w:val="nil"/>
              <w:tr2bl w:val="nil"/>
            </w:tcBorders>
            <w:noWrap w:val="0"/>
            <w:vAlign w:val="center"/>
          </w:tcPr>
          <w:p w14:paraId="5120AF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43C890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274019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71610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3E032D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2026.04.11</w:t>
            </w:r>
          </w:p>
        </w:tc>
        <w:tc>
          <w:tcPr>
            <w:tcW w:w="587" w:type="pct"/>
            <w:tcBorders>
              <w:tl2br w:val="nil"/>
              <w:tr2bl w:val="nil"/>
            </w:tcBorders>
            <w:noWrap w:val="0"/>
            <w:vAlign w:val="center"/>
          </w:tcPr>
          <w:p w14:paraId="4A38F19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025AB1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9FF4A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11B7E8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AF9F6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2FE5CD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66F1E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0F6B40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EE1D2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E72F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580278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698C18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71AA9C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9690D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5E4F0B5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0EA7A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29CE54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B9BCB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0.07</w:t>
            </w:r>
          </w:p>
        </w:tc>
        <w:tc>
          <w:tcPr>
            <w:tcW w:w="499" w:type="pct"/>
            <w:tcBorders>
              <w:tl2br w:val="nil"/>
              <w:tr2bl w:val="nil"/>
            </w:tcBorders>
            <w:noWrap w:val="0"/>
            <w:vAlign w:val="center"/>
          </w:tcPr>
          <w:p w14:paraId="618236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7A96F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4AC76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4A46B6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40AAC0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1CB722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73964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0.06 </w:t>
            </w:r>
          </w:p>
        </w:tc>
        <w:tc>
          <w:tcPr>
            <w:tcW w:w="495" w:type="pct"/>
            <w:tcBorders>
              <w:tl2br w:val="nil"/>
              <w:tr2bl w:val="nil"/>
            </w:tcBorders>
            <w:noWrap w:val="0"/>
            <w:vAlign w:val="center"/>
          </w:tcPr>
          <w:p w14:paraId="0AE664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540086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C69B7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4825A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61EE17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A6A6A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5A919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7B7707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632753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00DDB4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DABAE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7BDE69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E2931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3F5A5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778EC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7</w:t>
            </w:r>
          </w:p>
        </w:tc>
        <w:tc>
          <w:tcPr>
            <w:tcW w:w="499" w:type="pct"/>
            <w:tcBorders>
              <w:tl2br w:val="nil"/>
              <w:tr2bl w:val="nil"/>
            </w:tcBorders>
            <w:noWrap w:val="0"/>
            <w:vAlign w:val="center"/>
          </w:tcPr>
          <w:p w14:paraId="69B454E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57E86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74C4F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EE879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6200BD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56C72E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0.093</w:t>
            </w:r>
          </w:p>
        </w:tc>
        <w:tc>
          <w:tcPr>
            <w:tcW w:w="495" w:type="pct"/>
            <w:tcBorders>
              <w:tl2br w:val="nil"/>
              <w:tr2bl w:val="nil"/>
            </w:tcBorders>
            <w:noWrap w:val="0"/>
            <w:vAlign w:val="center"/>
          </w:tcPr>
          <w:p w14:paraId="3B323E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85CE7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4D2A61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8528D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0.095</w:t>
            </w:r>
          </w:p>
        </w:tc>
        <w:tc>
          <w:tcPr>
            <w:tcW w:w="495" w:type="pct"/>
            <w:tcBorders>
              <w:tl2br w:val="nil"/>
              <w:tr2bl w:val="nil"/>
            </w:tcBorders>
            <w:noWrap w:val="0"/>
            <w:vAlign w:val="center"/>
          </w:tcPr>
          <w:p w14:paraId="396115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7D165A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1B19D4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5B8C6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61A5A7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2026.04.12</w:t>
            </w:r>
          </w:p>
        </w:tc>
        <w:tc>
          <w:tcPr>
            <w:tcW w:w="587" w:type="pct"/>
            <w:tcBorders>
              <w:tl2br w:val="nil"/>
              <w:tr2bl w:val="nil"/>
            </w:tcBorders>
            <w:noWrap w:val="0"/>
            <w:vAlign w:val="center"/>
          </w:tcPr>
          <w:p w14:paraId="55A85C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60C6E3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72432A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65E9AB4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7ECE6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6CDAB8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C19FF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w:t>
            </w:r>
          </w:p>
        </w:tc>
        <w:tc>
          <w:tcPr>
            <w:tcW w:w="499" w:type="pct"/>
            <w:tcBorders>
              <w:tl2br w:val="nil"/>
              <w:tr2bl w:val="nil"/>
            </w:tcBorders>
            <w:noWrap w:val="0"/>
            <w:vAlign w:val="center"/>
          </w:tcPr>
          <w:p w14:paraId="7A60F8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D3960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4C84E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2F9F97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218134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7A5260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0FD41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0.02 </w:t>
            </w:r>
          </w:p>
        </w:tc>
        <w:tc>
          <w:tcPr>
            <w:tcW w:w="495" w:type="pct"/>
            <w:tcBorders>
              <w:tl2br w:val="nil"/>
              <w:tr2bl w:val="nil"/>
            </w:tcBorders>
            <w:noWrap w:val="0"/>
            <w:vAlign w:val="center"/>
          </w:tcPr>
          <w:p w14:paraId="374FF8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B6E59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44DE7E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7BDE4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2F83B5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F331C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8DF8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356821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209880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5C1B3C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679AC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1EE600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CF24DE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88FF4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73D06BB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7</w:t>
            </w:r>
          </w:p>
        </w:tc>
        <w:tc>
          <w:tcPr>
            <w:tcW w:w="499" w:type="pct"/>
            <w:tcBorders>
              <w:tl2br w:val="nil"/>
              <w:tr2bl w:val="nil"/>
            </w:tcBorders>
            <w:noWrap w:val="0"/>
            <w:vAlign w:val="center"/>
          </w:tcPr>
          <w:p w14:paraId="79D12A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87728E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207F47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2906D0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72F0CB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37AFF9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65295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744920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3A4834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F4056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15F1B6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w:t>
            </w:r>
          </w:p>
        </w:tc>
        <w:tc>
          <w:tcPr>
            <w:tcW w:w="499" w:type="pct"/>
            <w:tcBorders>
              <w:tl2br w:val="nil"/>
              <w:tr2bl w:val="nil"/>
            </w:tcBorders>
            <w:noWrap w:val="0"/>
            <w:vAlign w:val="center"/>
          </w:tcPr>
          <w:p w14:paraId="681AA6F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B97CD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6DF67A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7B10B9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214B295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32FC29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0.095</w:t>
            </w:r>
          </w:p>
        </w:tc>
        <w:tc>
          <w:tcPr>
            <w:tcW w:w="495" w:type="pct"/>
            <w:tcBorders>
              <w:tl2br w:val="nil"/>
              <w:tr2bl w:val="nil"/>
            </w:tcBorders>
            <w:noWrap w:val="0"/>
            <w:vAlign w:val="center"/>
          </w:tcPr>
          <w:p w14:paraId="45BAC0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38F39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379CE7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30DBF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0.096</w:t>
            </w:r>
          </w:p>
        </w:tc>
        <w:tc>
          <w:tcPr>
            <w:tcW w:w="495" w:type="pct"/>
            <w:tcBorders>
              <w:tl2br w:val="nil"/>
              <w:tr2bl w:val="nil"/>
            </w:tcBorders>
            <w:noWrap w:val="0"/>
            <w:vAlign w:val="center"/>
          </w:tcPr>
          <w:p w14:paraId="77BFDD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0CC95B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48260C2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6E6DB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14F8A8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2026.04.13</w:t>
            </w:r>
          </w:p>
        </w:tc>
        <w:tc>
          <w:tcPr>
            <w:tcW w:w="587" w:type="pct"/>
            <w:tcBorders>
              <w:tl2br w:val="nil"/>
              <w:tr2bl w:val="nil"/>
            </w:tcBorders>
            <w:noWrap w:val="0"/>
            <w:vAlign w:val="center"/>
          </w:tcPr>
          <w:p w14:paraId="58F248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20C964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2EA15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0.05 </w:t>
            </w:r>
          </w:p>
        </w:tc>
        <w:tc>
          <w:tcPr>
            <w:tcW w:w="495" w:type="pct"/>
            <w:tcBorders>
              <w:tl2br w:val="nil"/>
              <w:tr2bl w:val="nil"/>
            </w:tcBorders>
            <w:noWrap w:val="0"/>
            <w:vAlign w:val="center"/>
          </w:tcPr>
          <w:p w14:paraId="6B08223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4D7390C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1884B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35DF5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0.07</w:t>
            </w:r>
          </w:p>
        </w:tc>
        <w:tc>
          <w:tcPr>
            <w:tcW w:w="499" w:type="pct"/>
            <w:tcBorders>
              <w:tl2br w:val="nil"/>
              <w:tr2bl w:val="nil"/>
            </w:tcBorders>
            <w:noWrap w:val="0"/>
            <w:vAlign w:val="center"/>
          </w:tcPr>
          <w:p w14:paraId="6C6585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68F65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45A9CB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BDC28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653B3E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4DC77C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1AA4C6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0.02 </w:t>
            </w:r>
          </w:p>
        </w:tc>
        <w:tc>
          <w:tcPr>
            <w:tcW w:w="495" w:type="pct"/>
            <w:tcBorders>
              <w:tl2br w:val="nil"/>
              <w:tr2bl w:val="nil"/>
            </w:tcBorders>
            <w:noWrap w:val="0"/>
            <w:vAlign w:val="center"/>
          </w:tcPr>
          <w:p w14:paraId="45AAB6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4E986F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10DB4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75D552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332793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2F1592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6A20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2E0D4A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6831EA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0BBFBA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944E7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0.04 </w:t>
            </w:r>
          </w:p>
        </w:tc>
        <w:tc>
          <w:tcPr>
            <w:tcW w:w="495" w:type="pct"/>
            <w:tcBorders>
              <w:tl2br w:val="nil"/>
              <w:tr2bl w:val="nil"/>
            </w:tcBorders>
            <w:noWrap w:val="0"/>
            <w:vAlign w:val="center"/>
          </w:tcPr>
          <w:p w14:paraId="513BCC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823DB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379601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3EB36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w:t>
            </w:r>
          </w:p>
        </w:tc>
        <w:tc>
          <w:tcPr>
            <w:tcW w:w="499" w:type="pct"/>
            <w:tcBorders>
              <w:tl2br w:val="nil"/>
              <w:tr2bl w:val="nil"/>
            </w:tcBorders>
            <w:noWrap w:val="0"/>
            <w:vAlign w:val="center"/>
          </w:tcPr>
          <w:p w14:paraId="4A3267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9B19B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64F14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3F4843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0C62CE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678EB8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723D1A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0.02 </w:t>
            </w:r>
          </w:p>
        </w:tc>
        <w:tc>
          <w:tcPr>
            <w:tcW w:w="495" w:type="pct"/>
            <w:tcBorders>
              <w:tl2br w:val="nil"/>
              <w:tr2bl w:val="nil"/>
            </w:tcBorders>
            <w:noWrap w:val="0"/>
            <w:vAlign w:val="center"/>
          </w:tcPr>
          <w:p w14:paraId="53CCB48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440AE7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1C895B9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91F1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4</w:t>
            </w:r>
          </w:p>
        </w:tc>
        <w:tc>
          <w:tcPr>
            <w:tcW w:w="499" w:type="pct"/>
            <w:tcBorders>
              <w:tl2br w:val="nil"/>
              <w:tr2bl w:val="nil"/>
            </w:tcBorders>
            <w:noWrap w:val="0"/>
            <w:vAlign w:val="center"/>
          </w:tcPr>
          <w:p w14:paraId="317676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08BA40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63210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145D718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052E7A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3B36D3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0.092</w:t>
            </w:r>
          </w:p>
        </w:tc>
        <w:tc>
          <w:tcPr>
            <w:tcW w:w="495" w:type="pct"/>
            <w:tcBorders>
              <w:tl2br w:val="nil"/>
              <w:tr2bl w:val="nil"/>
            </w:tcBorders>
            <w:noWrap w:val="0"/>
            <w:vAlign w:val="center"/>
          </w:tcPr>
          <w:p w14:paraId="3ACCC2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17AD4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28161AD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F04B6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0.094</w:t>
            </w:r>
          </w:p>
        </w:tc>
        <w:tc>
          <w:tcPr>
            <w:tcW w:w="495" w:type="pct"/>
            <w:tcBorders>
              <w:tl2br w:val="nil"/>
              <w:tr2bl w:val="nil"/>
            </w:tcBorders>
            <w:noWrap w:val="0"/>
            <w:vAlign w:val="center"/>
          </w:tcPr>
          <w:p w14:paraId="5696B9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518246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52D953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20110E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restart"/>
            <w:tcBorders>
              <w:tl2br w:val="nil"/>
              <w:tr2bl w:val="nil"/>
            </w:tcBorders>
            <w:noWrap w:val="0"/>
            <w:vAlign w:val="center"/>
          </w:tcPr>
          <w:p w14:paraId="2415C5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2026.04.14</w:t>
            </w:r>
          </w:p>
        </w:tc>
        <w:tc>
          <w:tcPr>
            <w:tcW w:w="587" w:type="pct"/>
            <w:tcBorders>
              <w:tl2br w:val="nil"/>
              <w:tr2bl w:val="nil"/>
            </w:tcBorders>
            <w:noWrap w:val="0"/>
            <w:vAlign w:val="center"/>
          </w:tcPr>
          <w:p w14:paraId="6A85D9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第一次</w:t>
            </w:r>
          </w:p>
        </w:tc>
        <w:tc>
          <w:tcPr>
            <w:tcW w:w="495" w:type="pct"/>
            <w:tcBorders>
              <w:tl2br w:val="nil"/>
              <w:tr2bl w:val="nil"/>
            </w:tcBorders>
            <w:noWrap w:val="0"/>
            <w:vAlign w:val="center"/>
          </w:tcPr>
          <w:p w14:paraId="790F9F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53FDA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6452D2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576508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C3AA1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4918D1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99" w:type="pct"/>
            <w:tcBorders>
              <w:tl2br w:val="nil"/>
              <w:tr2bl w:val="nil"/>
            </w:tcBorders>
            <w:noWrap w:val="0"/>
            <w:vAlign w:val="center"/>
          </w:tcPr>
          <w:p w14:paraId="160F0E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15625BF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3B48A9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4C6C43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41AF0B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第二次</w:t>
            </w:r>
          </w:p>
        </w:tc>
        <w:tc>
          <w:tcPr>
            <w:tcW w:w="495" w:type="pct"/>
            <w:tcBorders>
              <w:tl2br w:val="nil"/>
              <w:tr2bl w:val="nil"/>
            </w:tcBorders>
            <w:noWrap w:val="0"/>
            <w:vAlign w:val="center"/>
          </w:tcPr>
          <w:p w14:paraId="3C86B6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7CA4E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0.05 </w:t>
            </w:r>
          </w:p>
        </w:tc>
        <w:tc>
          <w:tcPr>
            <w:tcW w:w="495" w:type="pct"/>
            <w:tcBorders>
              <w:tl2br w:val="nil"/>
              <w:tr2bl w:val="nil"/>
            </w:tcBorders>
            <w:noWrap w:val="0"/>
            <w:vAlign w:val="center"/>
          </w:tcPr>
          <w:p w14:paraId="4DC5F6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57EE52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06324C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0414D9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499" w:type="pct"/>
            <w:tcBorders>
              <w:tl2br w:val="nil"/>
              <w:tr2bl w:val="nil"/>
            </w:tcBorders>
            <w:noWrap w:val="0"/>
            <w:vAlign w:val="center"/>
          </w:tcPr>
          <w:p w14:paraId="4EFB5E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3AD81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6CC91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4DA08E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7D8CD0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第三次</w:t>
            </w:r>
          </w:p>
        </w:tc>
        <w:tc>
          <w:tcPr>
            <w:tcW w:w="495" w:type="pct"/>
            <w:tcBorders>
              <w:tl2br w:val="nil"/>
              <w:tr2bl w:val="nil"/>
            </w:tcBorders>
            <w:noWrap w:val="0"/>
            <w:vAlign w:val="center"/>
          </w:tcPr>
          <w:p w14:paraId="19687E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0E0924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0.03 </w:t>
            </w:r>
          </w:p>
        </w:tc>
        <w:tc>
          <w:tcPr>
            <w:tcW w:w="495" w:type="pct"/>
            <w:tcBorders>
              <w:tl2br w:val="nil"/>
              <w:tr2bl w:val="nil"/>
            </w:tcBorders>
            <w:noWrap w:val="0"/>
            <w:vAlign w:val="center"/>
          </w:tcPr>
          <w:p w14:paraId="695095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F03A63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54FA0C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2C075B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6</w:t>
            </w:r>
          </w:p>
        </w:tc>
        <w:tc>
          <w:tcPr>
            <w:tcW w:w="499" w:type="pct"/>
            <w:tcBorders>
              <w:tl2br w:val="nil"/>
              <w:tr2bl w:val="nil"/>
            </w:tcBorders>
            <w:noWrap w:val="0"/>
            <w:vAlign w:val="center"/>
          </w:tcPr>
          <w:p w14:paraId="6244F2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6128BB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5962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6C8474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15C77C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第四次</w:t>
            </w:r>
          </w:p>
        </w:tc>
        <w:tc>
          <w:tcPr>
            <w:tcW w:w="495" w:type="pct"/>
            <w:tcBorders>
              <w:tl2br w:val="nil"/>
              <w:tr2bl w:val="nil"/>
            </w:tcBorders>
            <w:noWrap w:val="0"/>
            <w:vAlign w:val="center"/>
          </w:tcPr>
          <w:p w14:paraId="232FBF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11ED2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0.06 </w:t>
            </w:r>
          </w:p>
        </w:tc>
        <w:tc>
          <w:tcPr>
            <w:tcW w:w="495" w:type="pct"/>
            <w:tcBorders>
              <w:tl2br w:val="nil"/>
              <w:tr2bl w:val="nil"/>
            </w:tcBorders>
            <w:noWrap w:val="0"/>
            <w:vAlign w:val="center"/>
          </w:tcPr>
          <w:p w14:paraId="719BB5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C5612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95" w:type="pct"/>
            <w:tcBorders>
              <w:tl2br w:val="nil"/>
              <w:tr2bl w:val="nil"/>
            </w:tcBorders>
            <w:noWrap w:val="0"/>
            <w:vAlign w:val="center"/>
          </w:tcPr>
          <w:p w14:paraId="150DD7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350160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w:t>
            </w:r>
            <w:r>
              <w:rPr>
                <w:rFonts w:hint="eastAsia" w:ascii="Times New Roman" w:hAnsi="Times New Roman" w:eastAsia="宋体" w:cs="Times New Roman"/>
                <w:color w:val="auto"/>
                <w:kern w:val="2"/>
                <w:sz w:val="21"/>
                <w:szCs w:val="21"/>
                <w:highlight w:val="none"/>
                <w:lang w:val="en-US" w:eastAsia="zh-CN" w:bidi="ar-SA"/>
              </w:rPr>
              <w:t>9</w:t>
            </w:r>
          </w:p>
        </w:tc>
        <w:tc>
          <w:tcPr>
            <w:tcW w:w="499" w:type="pct"/>
            <w:tcBorders>
              <w:tl2br w:val="nil"/>
              <w:tr2bl w:val="nil"/>
            </w:tcBorders>
            <w:noWrap w:val="0"/>
            <w:vAlign w:val="center"/>
          </w:tcPr>
          <w:p w14:paraId="73C618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ND</w:t>
            </w:r>
          </w:p>
        </w:tc>
        <w:tc>
          <w:tcPr>
            <w:tcW w:w="497" w:type="pct"/>
            <w:tcBorders>
              <w:tl2br w:val="nil"/>
              <w:tr2bl w:val="nil"/>
            </w:tcBorders>
            <w:noWrap w:val="0"/>
            <w:vAlign w:val="center"/>
          </w:tcPr>
          <w:p w14:paraId="7BFFCD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7BE6BC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39" w:type="pct"/>
            <w:vMerge w:val="continue"/>
            <w:tcBorders>
              <w:tl2br w:val="nil"/>
              <w:tr2bl w:val="nil"/>
            </w:tcBorders>
            <w:noWrap w:val="0"/>
            <w:vAlign w:val="center"/>
          </w:tcPr>
          <w:p w14:paraId="4679EC1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p>
        </w:tc>
        <w:tc>
          <w:tcPr>
            <w:tcW w:w="587" w:type="pct"/>
            <w:tcBorders>
              <w:tl2br w:val="nil"/>
              <w:tr2bl w:val="nil"/>
            </w:tcBorders>
            <w:noWrap w:val="0"/>
            <w:vAlign w:val="center"/>
          </w:tcPr>
          <w:p w14:paraId="0F3862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日均值</w:t>
            </w:r>
          </w:p>
        </w:tc>
        <w:tc>
          <w:tcPr>
            <w:tcW w:w="495" w:type="pct"/>
            <w:tcBorders>
              <w:tl2br w:val="nil"/>
              <w:tr2bl w:val="nil"/>
            </w:tcBorders>
            <w:noWrap w:val="0"/>
            <w:vAlign w:val="center"/>
          </w:tcPr>
          <w:p w14:paraId="7862042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0.090</w:t>
            </w:r>
          </w:p>
        </w:tc>
        <w:tc>
          <w:tcPr>
            <w:tcW w:w="495" w:type="pct"/>
            <w:tcBorders>
              <w:tl2br w:val="nil"/>
              <w:tr2bl w:val="nil"/>
            </w:tcBorders>
            <w:noWrap w:val="0"/>
            <w:vAlign w:val="center"/>
          </w:tcPr>
          <w:p w14:paraId="47E706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5E64B7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79A257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5" w:type="pct"/>
            <w:tcBorders>
              <w:tl2br w:val="nil"/>
              <w:tr2bl w:val="nil"/>
            </w:tcBorders>
            <w:noWrap w:val="0"/>
            <w:vAlign w:val="center"/>
          </w:tcPr>
          <w:p w14:paraId="6A63F6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0.091</w:t>
            </w:r>
          </w:p>
        </w:tc>
        <w:tc>
          <w:tcPr>
            <w:tcW w:w="495" w:type="pct"/>
            <w:tcBorders>
              <w:tl2br w:val="nil"/>
              <w:tr2bl w:val="nil"/>
            </w:tcBorders>
            <w:noWrap w:val="0"/>
            <w:vAlign w:val="center"/>
          </w:tcPr>
          <w:p w14:paraId="43732D7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9" w:type="pct"/>
            <w:tcBorders>
              <w:tl2br w:val="nil"/>
              <w:tr2bl w:val="nil"/>
            </w:tcBorders>
            <w:noWrap w:val="0"/>
            <w:vAlign w:val="center"/>
          </w:tcPr>
          <w:p w14:paraId="1B5491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0F26E0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2B8FA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6" w:type="pct"/>
            <w:gridSpan w:val="2"/>
            <w:tcBorders>
              <w:tl2br w:val="nil"/>
              <w:tr2bl w:val="nil"/>
            </w:tcBorders>
            <w:noWrap w:val="0"/>
            <w:vAlign w:val="center"/>
          </w:tcPr>
          <w:p w14:paraId="77D9DD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单位</w:t>
            </w:r>
          </w:p>
        </w:tc>
        <w:tc>
          <w:tcPr>
            <w:tcW w:w="495" w:type="pct"/>
            <w:tcBorders>
              <w:tl2br w:val="nil"/>
              <w:tr2bl w:val="nil"/>
            </w:tcBorders>
            <w:noWrap w:val="0"/>
            <w:vAlign w:val="center"/>
          </w:tcPr>
          <w:p w14:paraId="151D57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5" w:type="pct"/>
            <w:tcBorders>
              <w:tl2br w:val="nil"/>
              <w:tr2bl w:val="nil"/>
            </w:tcBorders>
            <w:noWrap w:val="0"/>
            <w:vAlign w:val="center"/>
          </w:tcPr>
          <w:p w14:paraId="28F5A3F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5" w:type="pct"/>
            <w:tcBorders>
              <w:tl2br w:val="nil"/>
              <w:tr2bl w:val="nil"/>
            </w:tcBorders>
            <w:noWrap w:val="0"/>
            <w:vAlign w:val="center"/>
          </w:tcPr>
          <w:p w14:paraId="0087F1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7" w:type="pct"/>
            <w:tcBorders>
              <w:tl2br w:val="nil"/>
              <w:tr2bl w:val="nil"/>
            </w:tcBorders>
            <w:noWrap w:val="0"/>
            <w:vAlign w:val="center"/>
          </w:tcPr>
          <w:p w14:paraId="3E5112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无量纲</w:t>
            </w:r>
          </w:p>
        </w:tc>
        <w:tc>
          <w:tcPr>
            <w:tcW w:w="495" w:type="pct"/>
            <w:tcBorders>
              <w:tl2br w:val="nil"/>
              <w:tr2bl w:val="nil"/>
            </w:tcBorders>
            <w:noWrap w:val="0"/>
            <w:vAlign w:val="center"/>
          </w:tcPr>
          <w:p w14:paraId="63891F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5" w:type="pct"/>
            <w:tcBorders>
              <w:tl2br w:val="nil"/>
              <w:tr2bl w:val="nil"/>
            </w:tcBorders>
            <w:noWrap w:val="0"/>
            <w:vAlign w:val="center"/>
          </w:tcPr>
          <w:p w14:paraId="57B82C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9" w:type="pct"/>
            <w:tcBorders>
              <w:tl2br w:val="nil"/>
              <w:tr2bl w:val="nil"/>
            </w:tcBorders>
            <w:noWrap w:val="0"/>
            <w:vAlign w:val="center"/>
          </w:tcPr>
          <w:p w14:paraId="227800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mg/m³</w:t>
            </w:r>
          </w:p>
        </w:tc>
        <w:tc>
          <w:tcPr>
            <w:tcW w:w="497" w:type="pct"/>
            <w:tcBorders>
              <w:tl2br w:val="nil"/>
              <w:tr2bl w:val="nil"/>
            </w:tcBorders>
            <w:noWrap w:val="0"/>
            <w:vAlign w:val="center"/>
          </w:tcPr>
          <w:p w14:paraId="209D5B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无量纲</w:t>
            </w:r>
          </w:p>
        </w:tc>
      </w:tr>
    </w:tbl>
    <w:p w14:paraId="5C001B14">
      <w:pPr>
        <w:spacing w:line="500" w:lineRule="exact"/>
        <w:ind w:firstLine="0" w:firstLineChars="0"/>
        <w:jc w:val="left"/>
        <w:rPr>
          <w:rFonts w:hint="default" w:ascii="Times New Roman" w:hAnsi="Times New Roman" w:eastAsia="黑体" w:cs="Times New Roman"/>
          <w:snapToGrid w:val="0"/>
          <w:color w:val="auto"/>
          <w:sz w:val="21"/>
          <w:szCs w:val="20"/>
          <w:highlight w:val="none"/>
          <w:lang w:val="zh-CN"/>
        </w:rPr>
      </w:pPr>
      <w:r>
        <w:rPr>
          <w:rFonts w:hint="eastAsia" w:ascii="Times New Roman" w:hAnsi="Times New Roman"/>
          <w:bCs/>
          <w:color w:val="auto"/>
          <w:sz w:val="21"/>
          <w:szCs w:val="21"/>
          <w:highlight w:val="none"/>
        </w:rPr>
        <w:t>*注：ND表示未检出；</w:t>
      </w:r>
      <w:r>
        <w:rPr>
          <w:rFonts w:hint="default" w:ascii="Times New Roman" w:hAnsi="Times New Roman" w:cs="Times New Roman"/>
          <w:color w:val="auto"/>
          <w:sz w:val="21"/>
          <w:szCs w:val="21"/>
          <w:highlight w:val="none"/>
        </w:rPr>
        <w:t>硫化氢的检出限为0.001</w:t>
      </w:r>
      <w:r>
        <w:rPr>
          <w:rFonts w:hint="default" w:ascii="Times New Roman" w:hAnsi="Times New Roman" w:cs="Times New Roman"/>
          <w:color w:val="auto"/>
          <w:spacing w:val="-11"/>
          <w:sz w:val="21"/>
          <w:szCs w:val="21"/>
          <w:highlight w:val="none"/>
        </w:rPr>
        <w:t>mg/m</w:t>
      </w:r>
      <w:r>
        <w:rPr>
          <w:rFonts w:hint="default" w:ascii="Times New Roman" w:hAnsi="Times New Roman" w:cs="Times New Roman"/>
          <w:color w:val="auto"/>
          <w:spacing w:val="-11"/>
          <w:sz w:val="21"/>
          <w:szCs w:val="21"/>
          <w:highlight w:val="none"/>
          <w:vertAlign w:val="superscript"/>
        </w:rPr>
        <w:t>3</w:t>
      </w:r>
    </w:p>
    <w:p w14:paraId="0B7F24B9">
      <w:pPr>
        <w:spacing w:line="500" w:lineRule="exact"/>
        <w:ind w:firstLine="0" w:firstLineChars="0"/>
        <w:jc w:val="center"/>
        <w:rPr>
          <w:rFonts w:hint="default" w:ascii="Times New Roman" w:hAnsi="Times New Roman" w:eastAsia="黑体" w:cs="Times New Roman"/>
          <w:snapToGrid w:val="0"/>
          <w:color w:val="auto"/>
          <w:highlight w:val="none"/>
          <w:lang w:val="zh-CN"/>
        </w:rPr>
        <w:sectPr>
          <w:pgSz w:w="11906" w:h="16838"/>
          <w:pgMar w:top="1800" w:right="1440" w:bottom="1800" w:left="1440" w:header="851" w:footer="992" w:gutter="0"/>
          <w:pgBorders>
            <w:top w:val="none" w:sz="0" w:space="0"/>
            <w:left w:val="none" w:sz="0" w:space="0"/>
            <w:bottom w:val="none" w:sz="0" w:space="0"/>
            <w:right w:val="none" w:sz="0" w:space="0"/>
          </w:pgBorders>
          <w:cols w:space="425" w:num="1"/>
          <w:docGrid w:type="linesAndChars" w:linePitch="326" w:charSpace="0"/>
        </w:sectPr>
      </w:pPr>
    </w:p>
    <w:bookmarkEnd w:id="330"/>
    <w:p w14:paraId="438C0B43">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4.2.1.3环境空气质量现状评价</w:t>
      </w:r>
    </w:p>
    <w:p w14:paraId="43077898">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（1）评价参数</w:t>
      </w:r>
    </w:p>
    <w:p w14:paraId="5D81656C">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评价因子NH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TSP。</w:t>
      </w:r>
    </w:p>
    <w:p w14:paraId="4B18A95F">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（2）评价标准</w:t>
      </w:r>
    </w:p>
    <w:p w14:paraId="5C481E34">
      <w:pPr>
        <w:adjustRightInd/>
        <w:snapToGrid/>
        <w:spacing w:line="500" w:lineRule="exact"/>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NH</w:t>
      </w:r>
      <w:r>
        <w:rPr>
          <w:rFonts w:hint="default" w:ascii="Times New Roman" w:hAnsi="Times New Roman" w:eastAsia="宋体" w:cs="Times New Roman"/>
          <w:snapToGrid w:val="0"/>
          <w:color w:val="auto"/>
          <w:kern w:val="0"/>
          <w:highlight w:val="none"/>
          <w:vertAlign w:val="subscript"/>
        </w:rPr>
        <w:t>3</w:t>
      </w:r>
      <w:r>
        <w:rPr>
          <w:rFonts w:hint="default" w:ascii="Times New Roman" w:hAnsi="Times New Roman" w:eastAsia="宋体" w:cs="Times New Roman"/>
          <w:snapToGrid w:val="0"/>
          <w:color w:val="auto"/>
          <w:kern w:val="0"/>
          <w:highlight w:val="none"/>
        </w:rPr>
        <w:t>、H</w:t>
      </w:r>
      <w:r>
        <w:rPr>
          <w:rFonts w:hint="default" w:ascii="Times New Roman" w:hAnsi="Times New Roman" w:eastAsia="宋体" w:cs="Times New Roman"/>
          <w:snapToGrid w:val="0"/>
          <w:color w:val="auto"/>
          <w:kern w:val="0"/>
          <w:highlight w:val="none"/>
          <w:vertAlign w:val="subscript"/>
        </w:rPr>
        <w:t>2</w:t>
      </w:r>
      <w:r>
        <w:rPr>
          <w:rFonts w:hint="default" w:ascii="Times New Roman" w:hAnsi="Times New Roman" w:eastAsia="宋体" w:cs="Times New Roman"/>
          <w:snapToGrid w:val="0"/>
          <w:color w:val="auto"/>
          <w:kern w:val="0"/>
          <w:highlight w:val="none"/>
        </w:rPr>
        <w:t>S的评价采用《环境影响评价技术导则 大气环境》（HJ2.2-2018）</w:t>
      </w:r>
      <w:r>
        <w:rPr>
          <w:rFonts w:hint="default" w:ascii="Times New Roman" w:hAnsi="Times New Roman" w:eastAsia="宋体" w:cs="Times New Roman"/>
          <w:snapToGrid w:val="0"/>
          <w:color w:val="auto"/>
          <w:highlight w:val="none"/>
        </w:rPr>
        <w:t>附录D</w:t>
      </w:r>
      <w:r>
        <w:rPr>
          <w:rFonts w:hint="default" w:ascii="Times New Roman" w:hAnsi="Times New Roman" w:eastAsia="宋体" w:cs="Times New Roman"/>
          <w:color w:val="auto"/>
          <w:highlight w:val="none"/>
        </w:rPr>
        <w:t>表D.1其他污染物空气质量浓度参考限值要求</w:t>
      </w:r>
      <w:r>
        <w:rPr>
          <w:rFonts w:hint="eastAsia" w:cs="Times New Roman"/>
          <w:color w:val="auto"/>
          <w:highlight w:val="none"/>
          <w:lang w:eastAsia="zh-CN"/>
        </w:rPr>
        <w:t>；</w:t>
      </w:r>
      <w:r>
        <w:rPr>
          <w:rFonts w:hint="eastAsia" w:cs="Times New Roman"/>
          <w:color w:val="auto"/>
          <w:highlight w:val="none"/>
          <w:lang w:val="en-US" w:eastAsia="zh-CN"/>
        </w:rPr>
        <w:t>TSP执行</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"http://www.mee.gov.cn/gkml/sthjbgw/sthjbgg/201808/t20180815_451398.htm"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《环境空气质量标准》（GB3095-20</w:t>
      </w:r>
      <w:r>
        <w:rPr>
          <w:rFonts w:hint="eastAsia" w:cs="Times New Roman"/>
          <w:color w:val="auto"/>
          <w:highlight w:val="none"/>
          <w:lang w:val="en-US" w:eastAsia="zh-CN"/>
        </w:rPr>
        <w:t>26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二级标准</w:t>
      </w:r>
      <w:r>
        <w:rPr>
          <w:rFonts w:hint="eastAsia" w:cs="Times New Roman"/>
          <w:color w:val="auto"/>
          <w:highlight w:val="none"/>
          <w:lang w:val="en-US" w:eastAsia="zh-CN"/>
        </w:rPr>
        <w:t>限值</w:t>
      </w:r>
      <w:r>
        <w:rPr>
          <w:rFonts w:hint="default" w:ascii="Times New Roman" w:hAnsi="Times New Roman" w:eastAsia="宋体" w:cs="Times New Roman"/>
          <w:color w:val="auto"/>
          <w:highlight w:val="none"/>
        </w:rPr>
        <w:t>要求。</w:t>
      </w:r>
      <w:r>
        <w:rPr>
          <w:rFonts w:hint="default" w:ascii="Times New Roman" w:hAnsi="Times New Roman" w:eastAsia="宋体" w:cs="Times New Roman"/>
          <w:snapToGrid w:val="0"/>
          <w:color w:val="auto"/>
          <w:kern w:val="0"/>
          <w:highlight w:val="none"/>
        </w:rPr>
        <w:t>评价标准见下表。</w:t>
      </w:r>
    </w:p>
    <w:p w14:paraId="1D24F30F">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表4-2-7评价标准一览表</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277"/>
        <w:gridCol w:w="1415"/>
        <w:gridCol w:w="1137"/>
        <w:gridCol w:w="3064"/>
      </w:tblGrid>
      <w:tr w14:paraId="459B39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3" w:type="pct"/>
            <w:vMerge w:val="restart"/>
            <w:shd w:val="clear" w:color="auto" w:fill="auto"/>
            <w:vAlign w:val="center"/>
          </w:tcPr>
          <w:p w14:paraId="106F15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污染物名称</w:t>
            </w:r>
          </w:p>
        </w:tc>
        <w:tc>
          <w:tcPr>
            <w:tcW w:w="1619" w:type="pct"/>
            <w:gridSpan w:val="2"/>
            <w:shd w:val="clear" w:color="auto" w:fill="auto"/>
            <w:vAlign w:val="center"/>
          </w:tcPr>
          <w:p w14:paraId="413A9D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浓度限值</w:t>
            </w:r>
          </w:p>
        </w:tc>
        <w:tc>
          <w:tcPr>
            <w:tcW w:w="684" w:type="pct"/>
            <w:vMerge w:val="restart"/>
            <w:shd w:val="clear" w:color="auto" w:fill="auto"/>
            <w:vAlign w:val="center"/>
          </w:tcPr>
          <w:p w14:paraId="1F9E521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浓度单位</w:t>
            </w:r>
          </w:p>
        </w:tc>
        <w:tc>
          <w:tcPr>
            <w:tcW w:w="1842" w:type="pct"/>
            <w:vMerge w:val="restart"/>
            <w:vAlign w:val="center"/>
          </w:tcPr>
          <w:p w14:paraId="02FF296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标准来源</w:t>
            </w:r>
          </w:p>
        </w:tc>
      </w:tr>
      <w:tr w14:paraId="54B39A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3" w:type="pct"/>
            <w:vMerge w:val="continue"/>
            <w:shd w:val="clear" w:color="auto" w:fill="auto"/>
            <w:vAlign w:val="center"/>
          </w:tcPr>
          <w:p w14:paraId="21469529">
            <w:pPr>
              <w:pStyle w:val="146"/>
              <w:rPr>
                <w:rFonts w:hint="default" w:ascii="Times New Roman" w:hAnsi="Times New Roman" w:eastAsia="宋体" w:cs="Times New Roman"/>
                <w:snapToGrid w:val="0"/>
                <w:color w:val="auto"/>
                <w:highlight w:val="none"/>
              </w:rPr>
            </w:pPr>
          </w:p>
        </w:tc>
        <w:tc>
          <w:tcPr>
            <w:tcW w:w="768" w:type="pct"/>
            <w:shd w:val="clear" w:color="auto" w:fill="auto"/>
            <w:vAlign w:val="center"/>
          </w:tcPr>
          <w:p w14:paraId="7837C2E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1小时平均</w:t>
            </w:r>
          </w:p>
        </w:tc>
        <w:tc>
          <w:tcPr>
            <w:tcW w:w="851" w:type="pct"/>
            <w:shd w:val="clear" w:color="auto" w:fill="auto"/>
            <w:vAlign w:val="center"/>
          </w:tcPr>
          <w:p w14:paraId="748475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24小时平均</w:t>
            </w:r>
          </w:p>
        </w:tc>
        <w:tc>
          <w:tcPr>
            <w:tcW w:w="684" w:type="pct"/>
            <w:vMerge w:val="continue"/>
            <w:shd w:val="clear" w:color="auto" w:fill="auto"/>
            <w:vAlign w:val="center"/>
          </w:tcPr>
          <w:p w14:paraId="09553696">
            <w:pPr>
              <w:pStyle w:val="146"/>
              <w:rPr>
                <w:rFonts w:hint="default" w:ascii="Times New Roman" w:hAnsi="Times New Roman" w:eastAsia="宋体" w:cs="Times New Roman"/>
                <w:snapToGrid w:val="0"/>
                <w:color w:val="auto"/>
                <w:highlight w:val="none"/>
              </w:rPr>
            </w:pPr>
          </w:p>
        </w:tc>
        <w:tc>
          <w:tcPr>
            <w:tcW w:w="1842" w:type="pct"/>
            <w:vMerge w:val="continue"/>
            <w:vAlign w:val="center"/>
          </w:tcPr>
          <w:p w14:paraId="61E500F5">
            <w:pPr>
              <w:pStyle w:val="146"/>
              <w:rPr>
                <w:rFonts w:hint="default" w:ascii="Times New Roman" w:hAnsi="Times New Roman" w:eastAsia="宋体" w:cs="Times New Roman"/>
                <w:snapToGrid w:val="0"/>
                <w:color w:val="auto"/>
                <w:highlight w:val="none"/>
              </w:rPr>
            </w:pPr>
          </w:p>
        </w:tc>
      </w:tr>
      <w:tr w14:paraId="06D195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3" w:type="pct"/>
            <w:shd w:val="clear" w:color="auto" w:fill="auto"/>
            <w:vAlign w:val="center"/>
          </w:tcPr>
          <w:p w14:paraId="4593D3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768" w:type="pct"/>
            <w:shd w:val="clear" w:color="auto" w:fill="auto"/>
            <w:vAlign w:val="center"/>
          </w:tcPr>
          <w:p w14:paraId="587758C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c>
          <w:tcPr>
            <w:tcW w:w="851" w:type="pct"/>
            <w:shd w:val="clear" w:color="auto" w:fill="auto"/>
            <w:vAlign w:val="center"/>
          </w:tcPr>
          <w:p w14:paraId="507146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4" w:type="pct"/>
            <w:vMerge w:val="restart"/>
            <w:shd w:val="clear" w:color="auto" w:fill="auto"/>
            <w:vAlign w:val="center"/>
          </w:tcPr>
          <w:p w14:paraId="3AFF6C8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μg/m</w:t>
            </w:r>
            <w:r>
              <w:rPr>
                <w:rFonts w:hint="default" w:ascii="Times New Roman" w:hAnsi="Times New Roman" w:eastAsia="宋体" w:cs="Times New Roman"/>
                <w:color w:val="auto"/>
                <w:highlight w:val="none"/>
                <w:vertAlign w:val="superscript"/>
              </w:rPr>
              <w:t>3</w:t>
            </w:r>
          </w:p>
        </w:tc>
        <w:tc>
          <w:tcPr>
            <w:tcW w:w="1842" w:type="pct"/>
            <w:vMerge w:val="restart"/>
            <w:vAlign w:val="center"/>
          </w:tcPr>
          <w:p w14:paraId="625C5E0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《环境影响评价技术导则 大气环境》（HJ2.2-2018）中附录D</w:t>
            </w:r>
          </w:p>
        </w:tc>
      </w:tr>
      <w:tr w14:paraId="001159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3" w:type="pct"/>
            <w:shd w:val="clear" w:color="auto" w:fill="auto"/>
            <w:vAlign w:val="center"/>
          </w:tcPr>
          <w:p w14:paraId="6C78BE1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768" w:type="pct"/>
            <w:shd w:val="clear" w:color="auto" w:fill="auto"/>
            <w:vAlign w:val="center"/>
          </w:tcPr>
          <w:p w14:paraId="6E982D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851" w:type="pct"/>
            <w:shd w:val="clear" w:color="auto" w:fill="auto"/>
            <w:vAlign w:val="center"/>
          </w:tcPr>
          <w:p w14:paraId="76D179F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4" w:type="pct"/>
            <w:vMerge w:val="continue"/>
            <w:shd w:val="clear" w:color="auto" w:fill="auto"/>
            <w:vAlign w:val="center"/>
          </w:tcPr>
          <w:p w14:paraId="20E2820A">
            <w:pPr>
              <w:pStyle w:val="146"/>
              <w:rPr>
                <w:rFonts w:hint="default" w:ascii="Times New Roman" w:hAnsi="Times New Roman" w:eastAsia="宋体" w:cs="Times New Roman"/>
                <w:snapToGrid w:val="0"/>
                <w:color w:val="auto"/>
                <w:highlight w:val="none"/>
              </w:rPr>
            </w:pPr>
          </w:p>
        </w:tc>
        <w:tc>
          <w:tcPr>
            <w:tcW w:w="1842" w:type="pct"/>
            <w:vMerge w:val="continue"/>
            <w:vAlign w:val="center"/>
          </w:tcPr>
          <w:p w14:paraId="23FCD992">
            <w:pPr>
              <w:pStyle w:val="146"/>
              <w:rPr>
                <w:rFonts w:hint="default" w:ascii="Times New Roman" w:hAnsi="Times New Roman" w:eastAsia="宋体" w:cs="Times New Roman"/>
                <w:snapToGrid w:val="0"/>
                <w:color w:val="auto"/>
                <w:highlight w:val="none"/>
              </w:rPr>
            </w:pPr>
          </w:p>
        </w:tc>
      </w:tr>
      <w:tr w14:paraId="55CBE8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53" w:type="pct"/>
            <w:shd w:val="clear" w:color="auto" w:fill="auto"/>
            <w:vAlign w:val="center"/>
          </w:tcPr>
          <w:p w14:paraId="4FB4DC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TSP</w:t>
            </w:r>
          </w:p>
        </w:tc>
        <w:tc>
          <w:tcPr>
            <w:tcW w:w="768" w:type="pct"/>
            <w:shd w:val="clear" w:color="auto" w:fill="auto"/>
            <w:vAlign w:val="center"/>
          </w:tcPr>
          <w:p w14:paraId="7E31396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851" w:type="pct"/>
            <w:shd w:val="clear" w:color="auto" w:fill="auto"/>
            <w:vAlign w:val="center"/>
          </w:tcPr>
          <w:p w14:paraId="611F38B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300</w:t>
            </w:r>
          </w:p>
        </w:tc>
        <w:tc>
          <w:tcPr>
            <w:tcW w:w="684" w:type="pct"/>
            <w:vMerge w:val="continue"/>
            <w:shd w:val="clear" w:color="auto" w:fill="auto"/>
            <w:vAlign w:val="center"/>
          </w:tcPr>
          <w:p w14:paraId="693F7736">
            <w:pPr>
              <w:pStyle w:val="146"/>
              <w:rPr>
                <w:rFonts w:hint="default" w:ascii="Times New Roman" w:hAnsi="Times New Roman" w:eastAsia="宋体" w:cs="Times New Roman"/>
                <w:snapToGrid w:val="0"/>
                <w:color w:val="auto"/>
                <w:highlight w:val="none"/>
              </w:rPr>
            </w:pPr>
          </w:p>
        </w:tc>
        <w:tc>
          <w:tcPr>
            <w:tcW w:w="1842" w:type="pct"/>
            <w:vAlign w:val="center"/>
          </w:tcPr>
          <w:p w14:paraId="645A082E">
            <w:pPr>
              <w:pStyle w:val="146"/>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rPr>
              <w:t>《环境空气质量标准》（GB3095-20</w:t>
            </w:r>
            <w:r>
              <w:rPr>
                <w:rFonts w:hint="eastAsia" w:eastAsia="宋体"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w:t>
            </w:r>
            <w:r>
              <w:rPr>
                <w:rFonts w:hint="eastAsia" w:eastAsia="宋体" w:cs="Times New Roman"/>
                <w:snapToGrid w:val="0"/>
                <w:color w:val="auto"/>
                <w:highlight w:val="none"/>
                <w:lang w:val="en-US" w:eastAsia="zh-CN"/>
              </w:rPr>
              <w:t>二级标准</w:t>
            </w:r>
          </w:p>
        </w:tc>
      </w:tr>
    </w:tbl>
    <w:p w14:paraId="74F63C5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（3）评价方法</w:t>
      </w:r>
    </w:p>
    <w:p w14:paraId="0E7F4F5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环境空气质量评价采用占标百分比评价法，数学表达式：</w:t>
      </w:r>
    </w:p>
    <w:p w14:paraId="0431A1B2">
      <w:pPr>
        <w:adjustRightInd/>
        <w:snapToGrid/>
        <w:spacing w:line="500" w:lineRule="exact"/>
        <w:jc w:val="center"/>
        <w:rPr>
          <w:rFonts w:hint="default" w:ascii="Times New Roman" w:hAnsi="Times New Roman" w:eastAsia="宋体" w:cs="Times New Roman"/>
          <w:color w:val="auto"/>
          <w:highlight w:val="none"/>
        </w:rPr>
      </w:pPr>
      <w:bookmarkStart w:id="364" w:name="_Toc173913122"/>
      <w:bookmarkStart w:id="365" w:name="_Toc173664414"/>
      <w:bookmarkStart w:id="366" w:name="_Toc173745759"/>
      <w:bookmarkStart w:id="367" w:name="_Toc173912864"/>
      <w:bookmarkStart w:id="368" w:name="_Toc173913381"/>
      <w:bookmarkStart w:id="369" w:name="_Toc173719425"/>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oi</w:t>
      </w:r>
      <w:r>
        <w:rPr>
          <w:rFonts w:hint="default" w:ascii="Times New Roman" w:hAnsi="Times New Roman" w:eastAsia="宋体" w:cs="Times New Roman"/>
          <w:color w:val="auto"/>
          <w:highlight w:val="none"/>
        </w:rPr>
        <w:t>×</w:t>
      </w:r>
      <w:bookmarkEnd w:id="364"/>
      <w:bookmarkEnd w:id="365"/>
      <w:bookmarkEnd w:id="366"/>
      <w:bookmarkEnd w:id="367"/>
      <w:bookmarkEnd w:id="368"/>
      <w:bookmarkEnd w:id="369"/>
      <w:r>
        <w:rPr>
          <w:rFonts w:hint="default" w:ascii="Times New Roman" w:hAnsi="Times New Roman" w:eastAsia="宋体" w:cs="Times New Roman"/>
          <w:color w:val="auto"/>
          <w:highlight w:val="none"/>
        </w:rPr>
        <w:t>100%</w:t>
      </w:r>
    </w:p>
    <w:p w14:paraId="23617C61">
      <w:pPr>
        <w:adjustRightInd/>
        <w:snapToGrid/>
        <w:spacing w:line="500" w:lineRule="exact"/>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式中：P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——第i个污染物的最大地面空气质量浓度占标率，%</w:t>
      </w:r>
      <w:r>
        <w:rPr>
          <w:rFonts w:hint="eastAsia" w:cs="Times New Roman"/>
          <w:color w:val="auto"/>
          <w:highlight w:val="none"/>
          <w:lang w:eastAsia="zh-CN"/>
        </w:rPr>
        <w:t>；</w:t>
      </w:r>
    </w:p>
    <w:p w14:paraId="55F331F2">
      <w:pPr>
        <w:adjustRightInd/>
        <w:snapToGrid/>
        <w:spacing w:line="500" w:lineRule="exact"/>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Ci——第i个污染物的最大1h地面空气质量浓度监测值，mg/m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7EFBC967">
      <w:pPr>
        <w:adjustRightInd/>
        <w:snapToGrid/>
        <w:spacing w:line="500" w:lineRule="exact"/>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oi</w:t>
      </w:r>
      <w:r>
        <w:rPr>
          <w:rFonts w:hint="default" w:ascii="Times New Roman" w:hAnsi="Times New Roman" w:eastAsia="宋体" w:cs="Times New Roman"/>
          <w:color w:val="auto"/>
          <w:highlight w:val="none"/>
        </w:rPr>
        <w:t>——第i个污染物的环境空气质量浓度标准，μg/m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5D588584">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凡是占标百分比P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大于100%，表明该点环境质量劣于评价标准等级，反之则满足标准等级。若样品浓度低于监测方法检出限时，则该监测数据应标明未检出，并以1/2最低检出限报出，同时用该数值参加统计计算。</w:t>
      </w:r>
    </w:p>
    <w:p w14:paraId="51158160">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（4）监测结果分析</w:t>
      </w:r>
    </w:p>
    <w:p w14:paraId="6F983B7D">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0"/>
          <w:highlight w:val="none"/>
        </w:rPr>
        <w:t>补充环境质量现状监测统计结果分析情况见下表</w:t>
      </w:r>
      <w:r>
        <w:rPr>
          <w:rFonts w:hint="default" w:ascii="Times New Roman" w:hAnsi="Times New Roman" w:eastAsia="宋体" w:cs="Times New Roman"/>
          <w:color w:val="auto"/>
          <w:highlight w:val="none"/>
        </w:rPr>
        <w:t>。</w:t>
      </w:r>
    </w:p>
    <w:p w14:paraId="052C70E3">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表4-2-8其他污染物环境现状监测统计表 单位：</w:t>
      </w:r>
      <w:r>
        <w:rPr>
          <w:rFonts w:hint="default" w:ascii="Times New Roman" w:hAnsi="Times New Roman" w:cs="Times New Roman"/>
          <w:snapToGrid w:val="0"/>
          <w:color w:val="auto"/>
          <w:kern w:val="0"/>
          <w:sz w:val="21"/>
          <w:highlight w:val="none"/>
          <w:lang w:val="zh-CN"/>
        </w:rPr>
        <w:t>μg/m</w:t>
      </w:r>
      <w:r>
        <w:rPr>
          <w:rFonts w:hint="default" w:ascii="Times New Roman" w:hAnsi="Times New Roman" w:cs="Times New Roman"/>
          <w:snapToGrid w:val="0"/>
          <w:color w:val="auto"/>
          <w:kern w:val="0"/>
          <w:sz w:val="21"/>
          <w:highlight w:val="none"/>
          <w:vertAlign w:val="superscript"/>
          <w:lang w:val="zh-CN"/>
        </w:rPr>
        <w:t>3</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849"/>
        <w:gridCol w:w="710"/>
        <w:gridCol w:w="1130"/>
        <w:gridCol w:w="1271"/>
        <w:gridCol w:w="710"/>
        <w:gridCol w:w="715"/>
        <w:gridCol w:w="852"/>
        <w:gridCol w:w="570"/>
        <w:gridCol w:w="653"/>
      </w:tblGrid>
      <w:tr w14:paraId="41D1A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restart"/>
            <w:vAlign w:val="center"/>
          </w:tcPr>
          <w:p w14:paraId="2EB5E90F">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bookmarkStart w:id="370" w:name="_Hlk44599548"/>
            <w:r>
              <w:rPr>
                <w:rFonts w:hint="default" w:ascii="Times New Roman" w:hAnsi="Times New Roman" w:eastAsia="宋体" w:cs="Times New Roman"/>
                <w:snapToGrid w:val="0"/>
                <w:color w:val="auto"/>
                <w:kern w:val="0"/>
                <w:sz w:val="18"/>
                <w:szCs w:val="18"/>
                <w:highlight w:val="none"/>
                <w:lang w:val="zh-CN"/>
              </w:rPr>
              <w:t>监测点</w:t>
            </w:r>
          </w:p>
        </w:tc>
        <w:tc>
          <w:tcPr>
            <w:tcW w:w="1599" w:type="dxa"/>
            <w:gridSpan w:val="2"/>
            <w:vAlign w:val="center"/>
          </w:tcPr>
          <w:p w14:paraId="0350B5FF">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监测点坐标</w:t>
            </w:r>
          </w:p>
        </w:tc>
        <w:tc>
          <w:tcPr>
            <w:tcW w:w="1159" w:type="dxa"/>
            <w:vMerge w:val="restart"/>
            <w:vAlign w:val="center"/>
          </w:tcPr>
          <w:p w14:paraId="4EA2DADC">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污染物</w:t>
            </w:r>
          </w:p>
        </w:tc>
        <w:tc>
          <w:tcPr>
            <w:tcW w:w="1304" w:type="dxa"/>
            <w:vMerge w:val="restart"/>
            <w:vAlign w:val="center"/>
          </w:tcPr>
          <w:p w14:paraId="5D0E8588">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平均时间</w:t>
            </w:r>
          </w:p>
        </w:tc>
        <w:tc>
          <w:tcPr>
            <w:tcW w:w="728" w:type="dxa"/>
            <w:vMerge w:val="restart"/>
            <w:vAlign w:val="center"/>
          </w:tcPr>
          <w:p w14:paraId="07D48459">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评价标准</w:t>
            </w:r>
          </w:p>
        </w:tc>
        <w:tc>
          <w:tcPr>
            <w:tcW w:w="734" w:type="dxa"/>
            <w:vMerge w:val="restart"/>
            <w:vAlign w:val="center"/>
          </w:tcPr>
          <w:p w14:paraId="7EEA5320">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监测浓度范围</w:t>
            </w:r>
          </w:p>
        </w:tc>
        <w:tc>
          <w:tcPr>
            <w:tcW w:w="874" w:type="dxa"/>
            <w:vMerge w:val="restart"/>
            <w:vAlign w:val="center"/>
          </w:tcPr>
          <w:p w14:paraId="3D75DC57">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bookmarkStart w:id="371" w:name="_Hlk11617401"/>
            <w:r>
              <w:rPr>
                <w:rFonts w:hint="default" w:ascii="Times New Roman" w:hAnsi="Times New Roman" w:eastAsia="宋体" w:cs="Times New Roman"/>
                <w:snapToGrid w:val="0"/>
                <w:color w:val="auto"/>
                <w:kern w:val="0"/>
                <w:sz w:val="18"/>
                <w:szCs w:val="18"/>
                <w:highlight w:val="none"/>
                <w:lang w:val="zh-CN"/>
              </w:rPr>
              <w:t>最大浓度占标率%</w:t>
            </w:r>
            <w:bookmarkEnd w:id="371"/>
          </w:p>
        </w:tc>
        <w:tc>
          <w:tcPr>
            <w:tcW w:w="585" w:type="dxa"/>
            <w:vMerge w:val="restart"/>
            <w:vAlign w:val="center"/>
          </w:tcPr>
          <w:p w14:paraId="728E7C58">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超标率%</w:t>
            </w:r>
          </w:p>
        </w:tc>
        <w:tc>
          <w:tcPr>
            <w:tcW w:w="670" w:type="dxa"/>
            <w:vMerge w:val="restart"/>
            <w:vAlign w:val="center"/>
          </w:tcPr>
          <w:p w14:paraId="29931FD0">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达标情况</w:t>
            </w:r>
          </w:p>
        </w:tc>
      </w:tr>
      <w:tr w14:paraId="3FC73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continue"/>
            <w:vAlign w:val="center"/>
          </w:tcPr>
          <w:p w14:paraId="6D4A2BAC">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871" w:type="dxa"/>
            <w:vAlign w:val="center"/>
          </w:tcPr>
          <w:p w14:paraId="5EDE553A">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sz w:val="18"/>
                <w:szCs w:val="18"/>
                <w:highlight w:val="none"/>
              </w:rPr>
              <w:t>东经</w:t>
            </w:r>
          </w:p>
        </w:tc>
        <w:tc>
          <w:tcPr>
            <w:tcW w:w="728" w:type="dxa"/>
            <w:vAlign w:val="center"/>
          </w:tcPr>
          <w:p w14:paraId="3D43E3B3">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sz w:val="18"/>
                <w:szCs w:val="18"/>
                <w:highlight w:val="none"/>
              </w:rPr>
              <w:t>北纬</w:t>
            </w:r>
          </w:p>
        </w:tc>
        <w:tc>
          <w:tcPr>
            <w:tcW w:w="1159" w:type="dxa"/>
            <w:vMerge w:val="continue"/>
            <w:vAlign w:val="center"/>
          </w:tcPr>
          <w:p w14:paraId="69055AB1">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1304" w:type="dxa"/>
            <w:vMerge w:val="continue"/>
            <w:vAlign w:val="center"/>
          </w:tcPr>
          <w:p w14:paraId="17E527B8">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728" w:type="dxa"/>
            <w:vMerge w:val="continue"/>
            <w:vAlign w:val="center"/>
          </w:tcPr>
          <w:p w14:paraId="28C3BCB9">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734" w:type="dxa"/>
            <w:vMerge w:val="continue"/>
            <w:vAlign w:val="center"/>
          </w:tcPr>
          <w:p w14:paraId="12271ECA">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874" w:type="dxa"/>
            <w:vMerge w:val="continue"/>
            <w:vAlign w:val="center"/>
          </w:tcPr>
          <w:p w14:paraId="0469B0CF">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585" w:type="dxa"/>
            <w:vMerge w:val="continue"/>
            <w:vAlign w:val="center"/>
          </w:tcPr>
          <w:p w14:paraId="41212851">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c>
          <w:tcPr>
            <w:tcW w:w="670" w:type="dxa"/>
            <w:vMerge w:val="continue"/>
            <w:vAlign w:val="center"/>
          </w:tcPr>
          <w:p w14:paraId="0E151A1D">
            <w:pPr>
              <w:widowControl/>
              <w:spacing w:line="240" w:lineRule="auto"/>
              <w:ind w:firstLine="0" w:firstLineChars="0"/>
              <w:jc w:val="left"/>
              <w:rPr>
                <w:rFonts w:hint="default" w:ascii="Times New Roman" w:hAnsi="Times New Roman" w:eastAsia="宋体" w:cs="Times New Roman"/>
                <w:snapToGrid w:val="0"/>
                <w:color w:val="auto"/>
                <w:kern w:val="0"/>
                <w:sz w:val="18"/>
                <w:szCs w:val="18"/>
                <w:highlight w:val="none"/>
                <w:lang w:val="zh-CN"/>
              </w:rPr>
            </w:pPr>
          </w:p>
        </w:tc>
      </w:tr>
      <w:tr w14:paraId="08F55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restart"/>
            <w:vAlign w:val="center"/>
          </w:tcPr>
          <w:p w14:paraId="61E08C2D">
            <w:pPr>
              <w:spacing w:line="240" w:lineRule="auto"/>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1#厂区</w:t>
            </w:r>
          </w:p>
        </w:tc>
        <w:tc>
          <w:tcPr>
            <w:tcW w:w="871" w:type="dxa"/>
            <w:vMerge w:val="restart"/>
            <w:vAlign w:val="center"/>
          </w:tcPr>
          <w:p w14:paraId="6F2D017B">
            <w:pPr>
              <w:pStyle w:val="20"/>
              <w:adjustRightInd w:val="0"/>
              <w:snapToGrid w:val="0"/>
              <w:spacing w:line="240" w:lineRule="auto"/>
              <w:ind w:firstLine="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127.349484</w:t>
            </w:r>
          </w:p>
        </w:tc>
        <w:tc>
          <w:tcPr>
            <w:tcW w:w="728" w:type="dxa"/>
            <w:vMerge w:val="restart"/>
            <w:vAlign w:val="center"/>
          </w:tcPr>
          <w:p w14:paraId="15C8B73A">
            <w:pPr>
              <w:pStyle w:val="20"/>
              <w:adjustRightInd w:val="0"/>
              <w:snapToGrid w:val="0"/>
              <w:spacing w:line="240" w:lineRule="auto"/>
              <w:ind w:firstLine="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49.522269</w:t>
            </w:r>
          </w:p>
        </w:tc>
        <w:tc>
          <w:tcPr>
            <w:tcW w:w="1159" w:type="dxa"/>
            <w:vAlign w:val="center"/>
          </w:tcPr>
          <w:p w14:paraId="18D3A78D">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color w:val="auto"/>
                <w:sz w:val="18"/>
                <w:szCs w:val="18"/>
                <w:highlight w:val="none"/>
              </w:rPr>
              <w:t>NH</w:t>
            </w:r>
            <w:r>
              <w:rPr>
                <w:rFonts w:hint="default" w:ascii="Times New Roman" w:hAnsi="Times New Roman" w:eastAsia="宋体" w:cs="Times New Roman"/>
                <w:color w:val="auto"/>
                <w:sz w:val="18"/>
                <w:szCs w:val="18"/>
                <w:highlight w:val="none"/>
                <w:vertAlign w:val="subscript"/>
              </w:rPr>
              <w:t>3</w:t>
            </w:r>
          </w:p>
        </w:tc>
        <w:tc>
          <w:tcPr>
            <w:tcW w:w="1304" w:type="dxa"/>
            <w:vAlign w:val="center"/>
          </w:tcPr>
          <w:p w14:paraId="5205593D">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1小时平均</w:t>
            </w:r>
          </w:p>
        </w:tc>
        <w:tc>
          <w:tcPr>
            <w:tcW w:w="728" w:type="dxa"/>
            <w:vAlign w:val="center"/>
          </w:tcPr>
          <w:p w14:paraId="7DE46337">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200</w:t>
            </w:r>
          </w:p>
        </w:tc>
        <w:tc>
          <w:tcPr>
            <w:tcW w:w="734" w:type="dxa"/>
            <w:vAlign w:val="center"/>
          </w:tcPr>
          <w:p w14:paraId="5BD10137">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color w:val="auto"/>
                <w:kern w:val="0"/>
                <w:sz w:val="18"/>
                <w:szCs w:val="18"/>
                <w:highlight w:val="none"/>
                <w:lang w:val="en-US" w:eastAsia="zh-CN" w:bidi="ar"/>
              </w:rPr>
              <w:t>20-60</w:t>
            </w:r>
          </w:p>
        </w:tc>
        <w:tc>
          <w:tcPr>
            <w:tcW w:w="874" w:type="dxa"/>
            <w:vAlign w:val="center"/>
          </w:tcPr>
          <w:p w14:paraId="47B1C348">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30.0</w:t>
            </w:r>
          </w:p>
        </w:tc>
        <w:tc>
          <w:tcPr>
            <w:tcW w:w="585" w:type="dxa"/>
            <w:vAlign w:val="center"/>
          </w:tcPr>
          <w:p w14:paraId="0AC66F1B">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44BD4C6A">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tr w14:paraId="06240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continue"/>
            <w:vAlign w:val="center"/>
          </w:tcPr>
          <w:p w14:paraId="7FC557CB">
            <w:pPr>
              <w:pStyle w:val="146"/>
              <w:rPr>
                <w:rFonts w:hint="default" w:ascii="Times New Roman" w:hAnsi="Times New Roman" w:eastAsia="宋体" w:cs="Times New Roman"/>
                <w:color w:val="auto"/>
                <w:highlight w:val="none"/>
              </w:rPr>
            </w:pPr>
          </w:p>
        </w:tc>
        <w:tc>
          <w:tcPr>
            <w:tcW w:w="871" w:type="dxa"/>
            <w:vMerge w:val="continue"/>
            <w:vAlign w:val="center"/>
          </w:tcPr>
          <w:p w14:paraId="0525838F">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728" w:type="dxa"/>
            <w:vMerge w:val="continue"/>
            <w:vAlign w:val="center"/>
          </w:tcPr>
          <w:p w14:paraId="72E648CF">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1159" w:type="dxa"/>
            <w:vAlign w:val="center"/>
          </w:tcPr>
          <w:p w14:paraId="1D28F85B">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color w:val="auto"/>
                <w:sz w:val="18"/>
                <w:szCs w:val="18"/>
                <w:highlight w:val="none"/>
              </w:rPr>
              <w:t>H</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rPr>
              <w:t>S</w:t>
            </w:r>
          </w:p>
        </w:tc>
        <w:tc>
          <w:tcPr>
            <w:tcW w:w="1304" w:type="dxa"/>
            <w:vAlign w:val="center"/>
          </w:tcPr>
          <w:p w14:paraId="60F4C4FF">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1小时平均</w:t>
            </w:r>
          </w:p>
        </w:tc>
        <w:tc>
          <w:tcPr>
            <w:tcW w:w="728" w:type="dxa"/>
            <w:vAlign w:val="center"/>
          </w:tcPr>
          <w:p w14:paraId="4245E75D">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10</w:t>
            </w:r>
          </w:p>
        </w:tc>
        <w:tc>
          <w:tcPr>
            <w:tcW w:w="734" w:type="dxa"/>
            <w:vAlign w:val="center"/>
          </w:tcPr>
          <w:p w14:paraId="11FD3A65">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未检出</w:t>
            </w:r>
          </w:p>
        </w:tc>
        <w:tc>
          <w:tcPr>
            <w:tcW w:w="874" w:type="dxa"/>
            <w:vAlign w:val="center"/>
          </w:tcPr>
          <w:p w14:paraId="2F13F823">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eastAsia="zh-CN"/>
              </w:rPr>
            </w:pPr>
            <w:r>
              <w:rPr>
                <w:rFonts w:hint="default" w:ascii="Times New Roman" w:hAnsi="Times New Roman" w:eastAsia="宋体" w:cs="Times New Roman"/>
                <w:snapToGrid w:val="0"/>
                <w:color w:val="auto"/>
                <w:kern w:val="0"/>
                <w:sz w:val="18"/>
                <w:szCs w:val="18"/>
                <w:highlight w:val="none"/>
                <w:lang w:val="en-US" w:eastAsia="zh-CN"/>
              </w:rPr>
              <w:t>/</w:t>
            </w:r>
          </w:p>
        </w:tc>
        <w:tc>
          <w:tcPr>
            <w:tcW w:w="585" w:type="dxa"/>
            <w:vAlign w:val="center"/>
          </w:tcPr>
          <w:p w14:paraId="4828B14A">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36443BA5">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tr w14:paraId="20B25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continue"/>
            <w:vAlign w:val="center"/>
          </w:tcPr>
          <w:p w14:paraId="5DE714CF">
            <w:pPr>
              <w:pStyle w:val="146"/>
              <w:rPr>
                <w:rFonts w:hint="default" w:ascii="Times New Roman" w:hAnsi="Times New Roman" w:eastAsia="宋体" w:cs="Times New Roman"/>
                <w:color w:val="auto"/>
                <w:highlight w:val="none"/>
              </w:rPr>
            </w:pPr>
          </w:p>
        </w:tc>
        <w:tc>
          <w:tcPr>
            <w:tcW w:w="871" w:type="dxa"/>
            <w:vMerge w:val="continue"/>
            <w:vAlign w:val="center"/>
          </w:tcPr>
          <w:p w14:paraId="599E1554">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728" w:type="dxa"/>
            <w:vMerge w:val="continue"/>
            <w:vAlign w:val="center"/>
          </w:tcPr>
          <w:p w14:paraId="5F3DF66D">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1159" w:type="dxa"/>
            <w:vAlign w:val="center"/>
          </w:tcPr>
          <w:p w14:paraId="37248D48">
            <w:pPr>
              <w:spacing w:line="240" w:lineRule="auto"/>
              <w:ind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TSP</w:t>
            </w:r>
          </w:p>
        </w:tc>
        <w:tc>
          <w:tcPr>
            <w:tcW w:w="1304" w:type="dxa"/>
            <w:vAlign w:val="center"/>
          </w:tcPr>
          <w:p w14:paraId="4528FA3E">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24小时平均</w:t>
            </w:r>
          </w:p>
        </w:tc>
        <w:tc>
          <w:tcPr>
            <w:tcW w:w="728" w:type="dxa"/>
            <w:vAlign w:val="center"/>
          </w:tcPr>
          <w:p w14:paraId="7552F1CD">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300</w:t>
            </w:r>
          </w:p>
        </w:tc>
        <w:tc>
          <w:tcPr>
            <w:tcW w:w="734" w:type="dxa"/>
            <w:vAlign w:val="center"/>
          </w:tcPr>
          <w:p w14:paraId="106CC380">
            <w:pPr>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89-95</w:t>
            </w:r>
          </w:p>
        </w:tc>
        <w:tc>
          <w:tcPr>
            <w:tcW w:w="874" w:type="dxa"/>
            <w:vAlign w:val="center"/>
          </w:tcPr>
          <w:p w14:paraId="119E47CD">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31.7</w:t>
            </w:r>
          </w:p>
        </w:tc>
        <w:tc>
          <w:tcPr>
            <w:tcW w:w="585" w:type="dxa"/>
            <w:vAlign w:val="center"/>
          </w:tcPr>
          <w:p w14:paraId="025656D5">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0B4D2511">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tr w14:paraId="57F8B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restart"/>
            <w:vAlign w:val="center"/>
          </w:tcPr>
          <w:p w14:paraId="71DD675C">
            <w:pPr>
              <w:spacing w:line="240" w:lineRule="auto"/>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2#厂区下风向</w:t>
            </w:r>
          </w:p>
        </w:tc>
        <w:tc>
          <w:tcPr>
            <w:tcW w:w="871" w:type="dxa"/>
            <w:vMerge w:val="restart"/>
            <w:vAlign w:val="center"/>
          </w:tcPr>
          <w:p w14:paraId="0D61FB81">
            <w:pPr>
              <w:spacing w:line="240" w:lineRule="auto"/>
              <w:ind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127.355294</w:t>
            </w:r>
          </w:p>
        </w:tc>
        <w:tc>
          <w:tcPr>
            <w:tcW w:w="728" w:type="dxa"/>
            <w:vMerge w:val="restart"/>
            <w:vAlign w:val="center"/>
          </w:tcPr>
          <w:p w14:paraId="588A9A23">
            <w:pPr>
              <w:spacing w:line="240" w:lineRule="auto"/>
              <w:ind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49.511444</w:t>
            </w:r>
          </w:p>
        </w:tc>
        <w:tc>
          <w:tcPr>
            <w:tcW w:w="1159" w:type="dxa"/>
            <w:vAlign w:val="center"/>
          </w:tcPr>
          <w:p w14:paraId="5AA43198">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color w:val="auto"/>
                <w:sz w:val="18"/>
                <w:szCs w:val="18"/>
                <w:highlight w:val="none"/>
              </w:rPr>
              <w:t>NH</w:t>
            </w:r>
            <w:r>
              <w:rPr>
                <w:rFonts w:hint="default" w:ascii="Times New Roman" w:hAnsi="Times New Roman" w:eastAsia="宋体" w:cs="Times New Roman"/>
                <w:color w:val="auto"/>
                <w:sz w:val="18"/>
                <w:szCs w:val="18"/>
                <w:highlight w:val="none"/>
                <w:vertAlign w:val="subscript"/>
              </w:rPr>
              <w:t>3</w:t>
            </w:r>
          </w:p>
        </w:tc>
        <w:tc>
          <w:tcPr>
            <w:tcW w:w="1304" w:type="dxa"/>
            <w:vAlign w:val="center"/>
          </w:tcPr>
          <w:p w14:paraId="34A45D39">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1小时平均</w:t>
            </w:r>
          </w:p>
        </w:tc>
        <w:tc>
          <w:tcPr>
            <w:tcW w:w="728" w:type="dxa"/>
            <w:vAlign w:val="center"/>
          </w:tcPr>
          <w:p w14:paraId="127FAB0E">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200</w:t>
            </w:r>
          </w:p>
        </w:tc>
        <w:tc>
          <w:tcPr>
            <w:tcW w:w="734" w:type="dxa"/>
            <w:vAlign w:val="center"/>
          </w:tcPr>
          <w:p w14:paraId="77587D72">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40-90</w:t>
            </w:r>
          </w:p>
        </w:tc>
        <w:tc>
          <w:tcPr>
            <w:tcW w:w="874" w:type="dxa"/>
            <w:vAlign w:val="center"/>
          </w:tcPr>
          <w:p w14:paraId="46D8F31B">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45.0</w:t>
            </w:r>
          </w:p>
        </w:tc>
        <w:tc>
          <w:tcPr>
            <w:tcW w:w="585" w:type="dxa"/>
            <w:vAlign w:val="center"/>
          </w:tcPr>
          <w:p w14:paraId="19EA1F68">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76632F43">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tr w14:paraId="5326E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continue"/>
            <w:vAlign w:val="center"/>
          </w:tcPr>
          <w:p w14:paraId="269E8F96">
            <w:pPr>
              <w:pStyle w:val="146"/>
              <w:rPr>
                <w:rFonts w:hint="default" w:ascii="Times New Roman" w:hAnsi="Times New Roman" w:eastAsia="宋体" w:cs="Times New Roman"/>
                <w:color w:val="auto"/>
                <w:highlight w:val="none"/>
              </w:rPr>
            </w:pPr>
          </w:p>
        </w:tc>
        <w:tc>
          <w:tcPr>
            <w:tcW w:w="871" w:type="dxa"/>
            <w:vMerge w:val="continue"/>
            <w:vAlign w:val="center"/>
          </w:tcPr>
          <w:p w14:paraId="23084407">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728" w:type="dxa"/>
            <w:vMerge w:val="continue"/>
            <w:vAlign w:val="center"/>
          </w:tcPr>
          <w:p w14:paraId="5E7B0CDE">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1159" w:type="dxa"/>
            <w:vAlign w:val="center"/>
          </w:tcPr>
          <w:p w14:paraId="17B48CAB">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color w:val="auto"/>
                <w:sz w:val="18"/>
                <w:szCs w:val="18"/>
                <w:highlight w:val="none"/>
              </w:rPr>
              <w:t>H</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rPr>
              <w:t>S</w:t>
            </w:r>
          </w:p>
        </w:tc>
        <w:tc>
          <w:tcPr>
            <w:tcW w:w="1304" w:type="dxa"/>
            <w:vAlign w:val="center"/>
          </w:tcPr>
          <w:p w14:paraId="6B1D9C81">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1小时平均</w:t>
            </w:r>
          </w:p>
        </w:tc>
        <w:tc>
          <w:tcPr>
            <w:tcW w:w="728" w:type="dxa"/>
            <w:vAlign w:val="center"/>
          </w:tcPr>
          <w:p w14:paraId="25AC7859">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10</w:t>
            </w:r>
          </w:p>
        </w:tc>
        <w:tc>
          <w:tcPr>
            <w:tcW w:w="734" w:type="dxa"/>
            <w:vAlign w:val="center"/>
          </w:tcPr>
          <w:p w14:paraId="26D8AF17">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color w:val="auto"/>
                <w:sz w:val="18"/>
                <w:szCs w:val="18"/>
                <w:highlight w:val="none"/>
                <w:lang w:val="en-US" w:eastAsia="zh-CN"/>
              </w:rPr>
              <w:t>未检出</w:t>
            </w:r>
          </w:p>
        </w:tc>
        <w:tc>
          <w:tcPr>
            <w:tcW w:w="874" w:type="dxa"/>
            <w:vAlign w:val="center"/>
          </w:tcPr>
          <w:p w14:paraId="0CBD617A">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eastAsia="zh-CN"/>
              </w:rPr>
            </w:pPr>
            <w:r>
              <w:rPr>
                <w:rFonts w:hint="default" w:ascii="Times New Roman" w:hAnsi="Times New Roman" w:eastAsia="宋体" w:cs="Times New Roman"/>
                <w:snapToGrid w:val="0"/>
                <w:color w:val="auto"/>
                <w:kern w:val="0"/>
                <w:sz w:val="18"/>
                <w:szCs w:val="18"/>
                <w:highlight w:val="none"/>
                <w:lang w:val="en-US" w:eastAsia="zh-CN"/>
              </w:rPr>
              <w:t>/</w:t>
            </w:r>
          </w:p>
        </w:tc>
        <w:tc>
          <w:tcPr>
            <w:tcW w:w="585" w:type="dxa"/>
            <w:vAlign w:val="center"/>
          </w:tcPr>
          <w:p w14:paraId="0C1B5597">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2A70741F">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tr w14:paraId="700EE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2" w:type="dxa"/>
            <w:vMerge w:val="continue"/>
            <w:vAlign w:val="center"/>
          </w:tcPr>
          <w:p w14:paraId="2BF28A8C">
            <w:pPr>
              <w:pStyle w:val="146"/>
              <w:rPr>
                <w:rFonts w:hint="default" w:ascii="Times New Roman" w:hAnsi="Times New Roman" w:eastAsia="宋体" w:cs="Times New Roman"/>
                <w:color w:val="auto"/>
                <w:highlight w:val="none"/>
              </w:rPr>
            </w:pPr>
          </w:p>
        </w:tc>
        <w:tc>
          <w:tcPr>
            <w:tcW w:w="871" w:type="dxa"/>
            <w:vMerge w:val="continue"/>
            <w:vAlign w:val="center"/>
          </w:tcPr>
          <w:p w14:paraId="73521453">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728" w:type="dxa"/>
            <w:vMerge w:val="continue"/>
            <w:vAlign w:val="center"/>
          </w:tcPr>
          <w:p w14:paraId="21088757">
            <w:pPr>
              <w:spacing w:line="240" w:lineRule="auto"/>
              <w:ind w:firstLine="0" w:firstLineChars="0"/>
              <w:jc w:val="center"/>
              <w:rPr>
                <w:rFonts w:hint="default" w:ascii="Times New Roman" w:hAnsi="Times New Roman" w:eastAsia="宋体" w:cs="Times New Roman"/>
                <w:snapToGrid w:val="0"/>
                <w:color w:val="auto"/>
                <w:sz w:val="18"/>
                <w:szCs w:val="18"/>
                <w:highlight w:val="none"/>
              </w:rPr>
            </w:pPr>
          </w:p>
        </w:tc>
        <w:tc>
          <w:tcPr>
            <w:tcW w:w="1159" w:type="dxa"/>
            <w:vAlign w:val="center"/>
          </w:tcPr>
          <w:p w14:paraId="3BF371D9">
            <w:pPr>
              <w:spacing w:line="240" w:lineRule="auto"/>
              <w:ind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TSP</w:t>
            </w:r>
          </w:p>
        </w:tc>
        <w:tc>
          <w:tcPr>
            <w:tcW w:w="1304" w:type="dxa"/>
            <w:vAlign w:val="center"/>
          </w:tcPr>
          <w:p w14:paraId="71AB6A82">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24小时平均</w:t>
            </w:r>
          </w:p>
        </w:tc>
        <w:tc>
          <w:tcPr>
            <w:tcW w:w="728" w:type="dxa"/>
            <w:vAlign w:val="center"/>
          </w:tcPr>
          <w:p w14:paraId="3DEB2A01">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rPr>
              <w:t>300</w:t>
            </w:r>
          </w:p>
        </w:tc>
        <w:tc>
          <w:tcPr>
            <w:tcW w:w="734" w:type="dxa"/>
            <w:vAlign w:val="center"/>
          </w:tcPr>
          <w:p w14:paraId="4BD74CE3">
            <w:pPr>
              <w:spacing w:line="240" w:lineRule="auto"/>
              <w:ind w:firstLine="0" w:firstLineChars="0"/>
              <w:jc w:val="center"/>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91-96</w:t>
            </w:r>
          </w:p>
        </w:tc>
        <w:tc>
          <w:tcPr>
            <w:tcW w:w="874" w:type="dxa"/>
            <w:vAlign w:val="center"/>
          </w:tcPr>
          <w:p w14:paraId="5FCA7ADB">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en-US" w:eastAsia="zh-CN"/>
              </w:rPr>
            </w:pPr>
            <w:r>
              <w:rPr>
                <w:rFonts w:hint="eastAsia" w:cs="Times New Roman"/>
                <w:snapToGrid w:val="0"/>
                <w:color w:val="auto"/>
                <w:kern w:val="0"/>
                <w:sz w:val="18"/>
                <w:szCs w:val="18"/>
                <w:highlight w:val="none"/>
                <w:lang w:val="en-US" w:eastAsia="zh-CN"/>
              </w:rPr>
              <w:t>32.0</w:t>
            </w:r>
          </w:p>
        </w:tc>
        <w:tc>
          <w:tcPr>
            <w:tcW w:w="585" w:type="dxa"/>
            <w:vAlign w:val="center"/>
          </w:tcPr>
          <w:p w14:paraId="4248CC22">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0</w:t>
            </w:r>
          </w:p>
        </w:tc>
        <w:tc>
          <w:tcPr>
            <w:tcW w:w="670" w:type="dxa"/>
            <w:vAlign w:val="center"/>
          </w:tcPr>
          <w:p w14:paraId="68A7A890">
            <w:pPr>
              <w:spacing w:line="240" w:lineRule="auto"/>
              <w:ind w:firstLine="0" w:firstLineChars="0"/>
              <w:jc w:val="center"/>
              <w:rPr>
                <w:rFonts w:hint="default" w:ascii="Times New Roman" w:hAnsi="Times New Roman" w:eastAsia="宋体" w:cs="Times New Roman"/>
                <w:snapToGrid w:val="0"/>
                <w:color w:val="auto"/>
                <w:kern w:val="0"/>
                <w:sz w:val="18"/>
                <w:szCs w:val="18"/>
                <w:highlight w:val="none"/>
                <w:lang w:val="zh-CN"/>
              </w:rPr>
            </w:pPr>
            <w:r>
              <w:rPr>
                <w:rFonts w:hint="default" w:ascii="Times New Roman" w:hAnsi="Times New Roman" w:eastAsia="宋体" w:cs="Times New Roman"/>
                <w:snapToGrid w:val="0"/>
                <w:color w:val="auto"/>
                <w:kern w:val="0"/>
                <w:sz w:val="18"/>
                <w:szCs w:val="18"/>
                <w:highlight w:val="none"/>
                <w:lang w:val="zh-CN"/>
              </w:rPr>
              <w:t>达标</w:t>
            </w:r>
          </w:p>
        </w:tc>
      </w:tr>
      <w:bookmarkEnd w:id="370"/>
    </w:tbl>
    <w:p w14:paraId="0EDDF4E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（5）现状评价结论</w:t>
      </w:r>
    </w:p>
    <w:p w14:paraId="6921032C">
      <w:pPr>
        <w:pStyle w:val="67"/>
        <w:ind w:firstLine="480"/>
        <w:rPr>
          <w:rFonts w:hint="default" w:ascii="Times New Roman" w:hAnsi="Times New Roman" w:eastAsia="宋体" w:cs="Times New Roman"/>
          <w:color w:val="auto"/>
          <w:szCs w:val="24"/>
          <w:highlight w:val="none"/>
          <w:lang w:val="zh-CN"/>
        </w:rPr>
      </w:pPr>
      <w:bookmarkStart w:id="372" w:name="_Hlk26984030"/>
      <w:r>
        <w:rPr>
          <w:rFonts w:hint="default" w:ascii="Times New Roman" w:hAnsi="Times New Roman" w:eastAsia="宋体" w:cs="Times New Roman"/>
          <w:color w:val="auto"/>
          <w:szCs w:val="24"/>
          <w:highlight w:val="none"/>
        </w:rPr>
        <w:t>根据其他污染物现状评价结果可知，H</w:t>
      </w:r>
      <w:r>
        <w:rPr>
          <w:rFonts w:hint="default" w:ascii="Times New Roman" w:hAnsi="Times New Roman" w:eastAsia="宋体" w:cs="Times New Roman"/>
          <w:color w:val="auto"/>
          <w:szCs w:val="24"/>
          <w:highlight w:val="none"/>
          <w:vertAlign w:val="subscript"/>
        </w:rPr>
        <w:t>2</w:t>
      </w:r>
      <w:r>
        <w:rPr>
          <w:rFonts w:hint="default" w:ascii="Times New Roman" w:hAnsi="Times New Roman" w:eastAsia="宋体" w:cs="Times New Roman"/>
          <w:color w:val="auto"/>
          <w:szCs w:val="24"/>
          <w:highlight w:val="none"/>
        </w:rPr>
        <w:t>S在厂区及厂区下风向监测点最大浓度</w:t>
      </w:r>
      <w:r>
        <w:rPr>
          <w:rFonts w:hint="default" w:ascii="Times New Roman" w:hAnsi="Times New Roman" w:eastAsia="宋体" w:cs="Times New Roman"/>
          <w:color w:val="auto"/>
          <w:szCs w:val="24"/>
          <w:highlight w:val="none"/>
          <w:lang w:val="en-US" w:eastAsia="zh-CN"/>
        </w:rPr>
        <w:t>未检出</w:t>
      </w:r>
      <w:r>
        <w:rPr>
          <w:rFonts w:hint="default" w:ascii="Times New Roman" w:hAnsi="Times New Roman" w:eastAsia="宋体" w:cs="Times New Roman"/>
          <w:color w:val="auto"/>
          <w:szCs w:val="24"/>
          <w:highlight w:val="none"/>
        </w:rPr>
        <w:t>，满足《环境影响评价技术导则 大气环境》（HJ2.2-2018）中附录D表D.1其他污染物空气质量浓度参考限值要求；NH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在厂区及厂区下风向监测点最大浓度占标率为</w:t>
      </w:r>
      <w:r>
        <w:rPr>
          <w:rFonts w:hint="eastAsia" w:eastAsia="宋体" w:cs="Times New Roman"/>
          <w:color w:val="auto"/>
          <w:szCs w:val="24"/>
          <w:highlight w:val="none"/>
          <w:lang w:val="en-US" w:eastAsia="zh-CN"/>
        </w:rPr>
        <w:t>45.0</w:t>
      </w:r>
      <w:r>
        <w:rPr>
          <w:rFonts w:hint="default" w:ascii="Times New Roman" w:hAnsi="Times New Roman" w:eastAsia="宋体" w:cs="Times New Roman"/>
          <w:color w:val="auto"/>
          <w:szCs w:val="24"/>
          <w:highlight w:val="none"/>
        </w:rPr>
        <w:t>%，满足《环境影响评价技术导则 大气环境》（HJ2.2-2018）中附录D表D.1其他污染物空气质量浓度参考限值要求；臭气浓度未检出；TSP在厂区及厂区下风向监测点最大浓度占标率为</w:t>
      </w:r>
      <w:r>
        <w:rPr>
          <w:rFonts w:hint="eastAsia" w:eastAsia="宋体" w:cs="Times New Roman"/>
          <w:color w:val="auto"/>
          <w:szCs w:val="24"/>
          <w:highlight w:val="none"/>
          <w:lang w:val="en-US" w:eastAsia="zh-CN"/>
        </w:rPr>
        <w:t>32.0</w:t>
      </w:r>
      <w:r>
        <w:rPr>
          <w:rFonts w:hint="default" w:ascii="Times New Roman" w:hAnsi="Times New Roman" w:eastAsia="宋体" w:cs="Times New Roman"/>
          <w:color w:val="auto"/>
          <w:szCs w:val="24"/>
          <w:highlight w:val="none"/>
        </w:rPr>
        <w:t>%，均满足</w:t>
      </w:r>
      <w:r>
        <w:rPr>
          <w:rFonts w:hint="default" w:ascii="Times New Roman" w:hAnsi="Times New Roman" w:eastAsia="宋体" w:cs="Times New Roman"/>
          <w:snapToGrid w:val="0"/>
          <w:color w:val="auto"/>
          <w:highlight w:val="none"/>
        </w:rPr>
        <w:t>《环境空气质量标准》（GB3095-20</w:t>
      </w:r>
      <w:r>
        <w:rPr>
          <w:rFonts w:hint="eastAsia"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）二级</w:t>
      </w:r>
      <w:r>
        <w:rPr>
          <w:rFonts w:hint="eastAsia" w:eastAsia="宋体" w:cs="Times New Roman"/>
          <w:color w:val="auto"/>
          <w:szCs w:val="24"/>
          <w:highlight w:val="none"/>
          <w:lang w:val="en-US" w:eastAsia="zh-CN"/>
        </w:rPr>
        <w:t>标准</w:t>
      </w:r>
      <w:r>
        <w:rPr>
          <w:rFonts w:hint="default" w:ascii="Times New Roman" w:hAnsi="Times New Roman" w:eastAsia="宋体" w:cs="Times New Roman"/>
          <w:color w:val="auto"/>
          <w:szCs w:val="24"/>
          <w:highlight w:val="none"/>
        </w:rPr>
        <w:t>浓度</w:t>
      </w:r>
      <w:r>
        <w:rPr>
          <w:rFonts w:hint="default" w:ascii="Times New Roman" w:hAnsi="Times New Roman" w:eastAsia="宋体" w:cs="Times New Roman"/>
          <w:snapToGrid w:val="0"/>
          <w:color w:val="auto"/>
          <w:highlight w:val="none"/>
        </w:rPr>
        <w:t>限值要求</w:t>
      </w:r>
      <w:r>
        <w:rPr>
          <w:rFonts w:hint="default" w:ascii="Times New Roman" w:hAnsi="Times New Roman" w:eastAsia="宋体" w:cs="Times New Roman"/>
          <w:color w:val="auto"/>
          <w:highlight w:val="none"/>
        </w:rPr>
        <w:t>。</w:t>
      </w:r>
    </w:p>
    <w:bookmarkEnd w:id="372"/>
    <w:p w14:paraId="772AF042">
      <w:pPr>
        <w:pStyle w:val="5"/>
        <w:spacing w:line="500" w:lineRule="exact"/>
        <w:rPr>
          <w:rFonts w:hint="default" w:ascii="Times New Roman" w:hAnsi="Times New Roman" w:cs="Times New Roman"/>
          <w:color w:val="auto"/>
          <w:highlight w:val="none"/>
        </w:rPr>
      </w:pPr>
      <w:bookmarkStart w:id="373" w:name="_Toc57713662"/>
      <w:bookmarkStart w:id="374" w:name="_Toc7338895"/>
      <w:bookmarkStart w:id="375" w:name="_Toc28955"/>
      <w:r>
        <w:rPr>
          <w:rFonts w:hint="default" w:ascii="Times New Roman" w:hAnsi="Times New Roman" w:cs="Times New Roman"/>
          <w:color w:val="auto"/>
          <w:highlight w:val="none"/>
        </w:rPr>
        <w:t>4.2.2地表水环境质量现状</w:t>
      </w:r>
      <w:bookmarkEnd w:id="373"/>
      <w:bookmarkEnd w:id="374"/>
      <w:r>
        <w:rPr>
          <w:rFonts w:hint="default" w:ascii="Times New Roman" w:hAnsi="Times New Roman" w:cs="Times New Roman"/>
          <w:color w:val="auto"/>
          <w:highlight w:val="none"/>
        </w:rPr>
        <w:t>评价</w:t>
      </w:r>
      <w:bookmarkEnd w:id="375"/>
    </w:p>
    <w:p w14:paraId="34A98BB6">
      <w:pPr>
        <w:pStyle w:val="67"/>
        <w:ind w:firstLine="480"/>
        <w:rPr>
          <w:rFonts w:hint="default" w:ascii="Times New Roman" w:hAnsi="Times New Roman" w:eastAsia="宋体" w:cs="Times New Roman"/>
          <w:color w:val="auto"/>
          <w:highlight w:val="none"/>
        </w:rPr>
      </w:pPr>
      <w:bookmarkStart w:id="376" w:name="_Toc7338896"/>
      <w:r>
        <w:rPr>
          <w:rFonts w:hint="eastAsia" w:ascii="Times New Roman" w:hAnsi="Times New Roman" w:eastAsia="宋体" w:cs="Times New Roman"/>
          <w:snapToGrid w:val="0"/>
          <w:color w:val="auto"/>
          <w:kern w:val="0"/>
          <w:sz w:val="24"/>
          <w:szCs w:val="28"/>
          <w:highlight w:val="none"/>
          <w:lang w:val="en-US" w:eastAsia="zh-CN"/>
        </w:rPr>
        <w:t>根据</w:t>
      </w:r>
      <w:r>
        <w:rPr>
          <w:rFonts w:hint="default" w:ascii="Times New Roman" w:hAnsi="Times New Roman" w:eastAsia="宋体" w:cs="Times New Roman"/>
          <w:snapToGrid w:val="0"/>
          <w:color w:val="auto"/>
          <w:kern w:val="0"/>
          <w:sz w:val="24"/>
          <w:szCs w:val="28"/>
          <w:highlight w:val="none"/>
          <w:lang w:val="en-US" w:eastAsia="zh-Hans"/>
        </w:rPr>
        <w:t>《202</w:t>
      </w:r>
      <w:r>
        <w:rPr>
          <w:rFonts w:hint="eastAsia" w:cs="Times New Roman"/>
          <w:snapToGrid w:val="0"/>
          <w:color w:val="auto"/>
          <w:kern w:val="0"/>
          <w:sz w:val="24"/>
          <w:szCs w:val="28"/>
          <w:highlight w:val="none"/>
          <w:lang w:val="en-US" w:eastAsia="zh-CN"/>
        </w:rPr>
        <w:t>4</w:t>
      </w:r>
      <w:r>
        <w:rPr>
          <w:rFonts w:hint="default" w:ascii="Times New Roman" w:hAnsi="Times New Roman" w:eastAsia="宋体" w:cs="Times New Roman"/>
          <w:snapToGrid w:val="0"/>
          <w:color w:val="auto"/>
          <w:kern w:val="0"/>
          <w:sz w:val="24"/>
          <w:szCs w:val="28"/>
          <w:highlight w:val="none"/>
          <w:lang w:val="en-US" w:eastAsia="zh-Hans"/>
        </w:rPr>
        <w:t>年黑龙江省生态环境质量状况》</w:t>
      </w:r>
      <w:r>
        <w:rPr>
          <w:rFonts w:hint="default" w:ascii="Times New Roman" w:hAnsi="Times New Roman" w:eastAsia="宋体" w:cs="Times New Roman"/>
          <w:color w:val="auto"/>
          <w:highlight w:val="none"/>
        </w:rPr>
        <w:t>中的数据</w:t>
      </w:r>
      <w:r>
        <w:rPr>
          <w:rFonts w:hint="eastAsia" w:ascii="Times New Roman" w:hAnsi="Times New Roman" w:eastAsia="宋体" w:cs="Times New Roman"/>
          <w:color w:val="auto"/>
          <w:highlight w:val="none"/>
          <w:lang w:val="en-US" w:eastAsia="zh-CN"/>
        </w:rPr>
        <w:t>可知，</w:t>
      </w:r>
      <w:r>
        <w:rPr>
          <w:rFonts w:hint="default" w:ascii="Times New Roman" w:hAnsi="Times New Roman" w:eastAsia="宋体" w:cs="Times New Roman"/>
          <w:color w:val="auto"/>
          <w:highlight w:val="none"/>
        </w:rPr>
        <w:t>黑河市参与国家考核计算的断面共14个，I~I类水质比例为78.6%，无劣V类水质断面。与上年同期相比，I~类水质比例下降7.1个百分点，均无劣V类水质断面。</w:t>
      </w:r>
    </w:p>
    <w:p w14:paraId="0965E11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项目所在区域涉及地表水体为</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，根据《全国重要江河湖泊水功能区划（2011-2030年）》，项目所在区域松花江所在一级水功能区名称为逊别拉河逊克县、孙吴县开发利用区，起始断面为</w:t>
      </w:r>
      <w:r>
        <w:rPr>
          <w:rFonts w:hint="eastAsia" w:eastAsia="宋体" w:cs="Times New Roman"/>
          <w:color w:val="auto"/>
          <w:highlight w:val="none"/>
          <w:lang w:val="en-US" w:eastAsia="zh-CN"/>
        </w:rPr>
        <w:t>平山林场</w:t>
      </w:r>
      <w:r>
        <w:rPr>
          <w:rFonts w:hint="default" w:ascii="Times New Roman" w:hAnsi="Times New Roman" w:eastAsia="宋体" w:cs="Times New Roman"/>
          <w:color w:val="auto"/>
          <w:highlight w:val="none"/>
        </w:rPr>
        <w:t>，终止断面为</w:t>
      </w:r>
      <w:r>
        <w:rPr>
          <w:rFonts w:hint="eastAsia" w:eastAsia="宋体" w:cs="Times New Roman"/>
          <w:color w:val="auto"/>
          <w:highlight w:val="none"/>
          <w:lang w:val="en-US" w:eastAsia="zh-CN"/>
        </w:rPr>
        <w:t>逊河镇</w:t>
      </w:r>
      <w:r>
        <w:rPr>
          <w:rFonts w:hint="default" w:ascii="Times New Roman" w:hAnsi="Times New Roman" w:eastAsia="宋体" w:cs="Times New Roman"/>
          <w:color w:val="auto"/>
          <w:highlight w:val="none"/>
        </w:rPr>
        <w:t>，水质标准为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r>
        <w:rPr>
          <w:rFonts w:hint="eastAsia" w:eastAsia="宋体" w:cs="Times New Roman"/>
          <w:color w:val="auto"/>
          <w:highlight w:val="none"/>
          <w:lang w:val="en-US" w:eastAsia="zh-CN"/>
        </w:rPr>
        <w:t>故本项目</w:t>
      </w:r>
      <w:r>
        <w:rPr>
          <w:rFonts w:hint="default" w:ascii="Times New Roman" w:hAnsi="Times New Roman" w:eastAsia="宋体" w:cs="Times New Roman"/>
          <w:color w:val="auto"/>
          <w:highlight w:val="none"/>
        </w:rPr>
        <w:t>执行《地表水环境质量标准》（GB3838-2002）</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15CE71E0">
      <w:pPr>
        <w:pStyle w:val="5"/>
        <w:spacing w:line="500" w:lineRule="exact"/>
        <w:rPr>
          <w:rFonts w:hint="default" w:ascii="Times New Roman" w:hAnsi="Times New Roman" w:eastAsia="黑体" w:cs="Times New Roman"/>
          <w:color w:val="auto"/>
          <w:highlight w:val="none"/>
          <w:lang w:eastAsia="zh-CN"/>
        </w:rPr>
      </w:pPr>
      <w:bookmarkStart w:id="377" w:name="_Toc57713663"/>
      <w:bookmarkStart w:id="378" w:name="_Toc23359"/>
      <w:r>
        <w:rPr>
          <w:rFonts w:hint="default" w:ascii="Times New Roman" w:hAnsi="Times New Roman" w:cs="Times New Roman"/>
          <w:color w:val="auto"/>
          <w:highlight w:val="none"/>
        </w:rPr>
        <w:t>4.2.3地下水环境质量现状</w:t>
      </w:r>
      <w:bookmarkEnd w:id="376"/>
      <w:bookmarkEnd w:id="377"/>
      <w:r>
        <w:rPr>
          <w:rFonts w:hint="default" w:ascii="Times New Roman" w:hAnsi="Times New Roman" w:cs="Times New Roman"/>
          <w:color w:val="auto"/>
          <w:highlight w:val="none"/>
        </w:rPr>
        <w:t>评价</w:t>
      </w:r>
      <w:bookmarkEnd w:id="378"/>
    </w:p>
    <w:p w14:paraId="600E9F4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4.2.3.1地下水环境现状监测</w:t>
      </w:r>
    </w:p>
    <w:p w14:paraId="312B7D3B">
      <w:pPr>
        <w:pStyle w:val="67"/>
        <w:ind w:firstLine="480"/>
        <w:rPr>
          <w:rFonts w:hint="default" w:ascii="Times New Roman" w:hAnsi="Times New Roman" w:eastAsia="宋体" w:cs="Times New Roman"/>
          <w:color w:val="auto"/>
          <w:highlight w:val="none"/>
        </w:rPr>
      </w:pPr>
      <w:bookmarkStart w:id="379" w:name="_Hlk44599642"/>
      <w:r>
        <w:rPr>
          <w:rFonts w:hint="default" w:ascii="Times New Roman" w:hAnsi="Times New Roman" w:eastAsia="宋体" w:cs="Times New Roman"/>
          <w:color w:val="auto"/>
          <w:highlight w:val="none"/>
        </w:rPr>
        <w:t>（1）监测布点</w:t>
      </w:r>
    </w:p>
    <w:p w14:paraId="5826474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根据本项目的布局特点及所处环境特征，沿地下水流向上游、下游各设置1个监测点（该区域地下水流向为由东南向西北），共设置3个监测点以监测含水层水质状况，设置</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个水位监测点以了解当地地下水的水位状况，具体位置</w:t>
      </w:r>
      <w:r>
        <w:rPr>
          <w:color w:val="auto"/>
          <w:highlight w:val="none"/>
        </w:rPr>
        <w:drawing>
          <wp:anchor distT="0" distB="0" distL="114300" distR="114300" simplePos="0" relativeHeight="251737088" behindDoc="0" locked="0" layoutInCell="1" allowOverlap="1">
            <wp:simplePos x="0" y="0"/>
            <wp:positionH relativeFrom="column">
              <wp:posOffset>102870</wp:posOffset>
            </wp:positionH>
            <wp:positionV relativeFrom="paragraph">
              <wp:posOffset>314325</wp:posOffset>
            </wp:positionV>
            <wp:extent cx="5149215" cy="3251200"/>
            <wp:effectExtent l="0" t="0" r="13335" b="6350"/>
            <wp:wrapNone/>
            <wp:docPr id="8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
                    <pic:cNvPicPr>
                      <a:picLocks noChangeAspect="1"/>
                    </pic:cNvPicPr>
                  </pic:nvPicPr>
                  <pic:blipFill>
                    <a:blip r:embed="rId47"/>
                    <a:stretch>
                      <a:fillRect/>
                    </a:stretch>
                  </pic:blipFill>
                  <pic:spPr>
                    <a:xfrm>
                      <a:off x="0" y="0"/>
                      <a:ext cx="5149215" cy="3251200"/>
                    </a:xfrm>
                    <a:prstGeom prst="rect">
                      <a:avLst/>
                    </a:prstGeom>
                    <a:noFill/>
                    <a:ln>
                      <a:noFill/>
                    </a:ln>
                  </pic:spPr>
                </pic:pic>
              </a:graphicData>
            </a:graphic>
          </wp:anchor>
        </w:drawing>
      </w:r>
      <w:r>
        <w:rPr>
          <w:rFonts w:hint="default" w:ascii="Times New Roman" w:hAnsi="Times New Roman" w:eastAsia="宋体" w:cs="Times New Roman"/>
          <w:color w:val="auto"/>
          <w:highlight w:val="none"/>
        </w:rPr>
        <w:t>见表4-2-</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、表4-2-1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图4.2-2</w:t>
      </w:r>
      <w:r>
        <w:rPr>
          <w:rFonts w:hint="default" w:ascii="Times New Roman" w:hAnsi="Times New Roman" w:eastAsia="宋体" w:cs="Times New Roman"/>
          <w:color w:val="auto"/>
          <w:highlight w:val="none"/>
        </w:rPr>
        <w:t>。</w:t>
      </w:r>
    </w:p>
    <w:p w14:paraId="4968B6E1">
      <w:pPr>
        <w:pStyle w:val="67"/>
        <w:ind w:firstLine="480"/>
        <w:rPr>
          <w:rFonts w:hint="default" w:ascii="Times New Roman" w:hAnsi="Times New Roman" w:eastAsia="宋体" w:cs="Times New Roman"/>
          <w:color w:val="auto"/>
          <w:highlight w:val="none"/>
        </w:rPr>
      </w:pPr>
    </w:p>
    <w:p w14:paraId="57246363">
      <w:pPr>
        <w:pStyle w:val="67"/>
        <w:ind w:firstLine="480"/>
        <w:rPr>
          <w:rFonts w:hint="default" w:ascii="Times New Roman" w:hAnsi="Times New Roman" w:eastAsia="宋体" w:cs="Times New Roman"/>
          <w:color w:val="auto"/>
          <w:highlight w:val="none"/>
        </w:rPr>
      </w:pPr>
    </w:p>
    <w:p w14:paraId="0C38B03F">
      <w:pPr>
        <w:pStyle w:val="67"/>
        <w:ind w:firstLine="480"/>
        <w:rPr>
          <w:rFonts w:hint="default" w:ascii="Times New Roman" w:hAnsi="Times New Roman" w:eastAsia="宋体" w:cs="Times New Roman"/>
          <w:color w:val="auto"/>
          <w:highlight w:val="none"/>
        </w:rPr>
      </w:pPr>
    </w:p>
    <w:p w14:paraId="483790AF">
      <w:pPr>
        <w:pStyle w:val="67"/>
        <w:ind w:firstLine="480"/>
        <w:rPr>
          <w:rFonts w:hint="default" w:ascii="Times New Roman" w:hAnsi="Times New Roman" w:eastAsia="宋体" w:cs="Times New Roman"/>
          <w:color w:val="auto"/>
          <w:highlight w:val="none"/>
        </w:rPr>
      </w:pPr>
    </w:p>
    <w:p w14:paraId="2CDEBCDC">
      <w:pPr>
        <w:pStyle w:val="67"/>
        <w:ind w:firstLine="480"/>
        <w:rPr>
          <w:rFonts w:hint="default" w:ascii="Times New Roman" w:hAnsi="Times New Roman" w:eastAsia="宋体" w:cs="Times New Roman"/>
          <w:color w:val="auto"/>
          <w:highlight w:val="none"/>
        </w:rPr>
      </w:pPr>
    </w:p>
    <w:p w14:paraId="59F7E52B">
      <w:pPr>
        <w:pStyle w:val="67"/>
        <w:ind w:firstLine="480"/>
        <w:rPr>
          <w:rFonts w:hint="default" w:ascii="Times New Roman" w:hAnsi="Times New Roman" w:eastAsia="宋体" w:cs="Times New Roman"/>
          <w:color w:val="auto"/>
          <w:highlight w:val="none"/>
        </w:rPr>
      </w:pPr>
    </w:p>
    <w:p w14:paraId="6BE53662">
      <w:pPr>
        <w:pStyle w:val="67"/>
        <w:ind w:firstLine="480"/>
        <w:rPr>
          <w:rFonts w:hint="default" w:ascii="Times New Roman" w:hAnsi="Times New Roman" w:eastAsia="宋体" w:cs="Times New Roman"/>
          <w:color w:val="auto"/>
          <w:highlight w:val="none"/>
        </w:rPr>
      </w:pPr>
    </w:p>
    <w:p w14:paraId="0C83C98A">
      <w:pPr>
        <w:pStyle w:val="67"/>
        <w:ind w:firstLine="480"/>
        <w:rPr>
          <w:rFonts w:hint="default" w:ascii="Times New Roman" w:hAnsi="Times New Roman" w:eastAsia="宋体" w:cs="Times New Roman"/>
          <w:color w:val="auto"/>
          <w:highlight w:val="none"/>
        </w:rPr>
      </w:pPr>
    </w:p>
    <w:p w14:paraId="5B384D8D">
      <w:pPr>
        <w:pStyle w:val="67"/>
        <w:ind w:firstLine="480"/>
        <w:rPr>
          <w:rFonts w:hint="default" w:ascii="Times New Roman" w:hAnsi="Times New Roman" w:eastAsia="宋体" w:cs="Times New Roman"/>
          <w:color w:val="auto"/>
          <w:highlight w:val="none"/>
        </w:rPr>
      </w:pPr>
    </w:p>
    <w:p w14:paraId="19F791C0">
      <w:pPr>
        <w:pStyle w:val="67"/>
        <w:ind w:firstLine="480"/>
        <w:rPr>
          <w:rFonts w:hint="default" w:ascii="Times New Roman" w:hAnsi="Times New Roman" w:eastAsia="宋体" w:cs="Times New Roman"/>
          <w:color w:val="auto"/>
          <w:highlight w:val="none"/>
        </w:rPr>
      </w:pPr>
    </w:p>
    <w:p w14:paraId="4124C33B">
      <w:pPr>
        <w:spacing w:line="500" w:lineRule="exact"/>
        <w:ind w:firstLine="0" w:firstLineChars="0"/>
        <w:jc w:val="center"/>
        <w:rPr>
          <w:rFonts w:hint="default"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图4.2-2 地下水监测点位图</w:t>
      </w:r>
    </w:p>
    <w:p w14:paraId="03A67518">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表4-2-</w:t>
      </w:r>
      <w:r>
        <w:rPr>
          <w:rFonts w:hint="default" w:ascii="Times New Roman" w:hAnsi="Times New Roman" w:eastAsia="黑体" w:cs="Times New Roman"/>
          <w:snapToGrid w:val="0"/>
          <w:color w:val="auto"/>
          <w:kern w:val="0"/>
          <w:highlight w:val="none"/>
        </w:rPr>
        <w:t>9</w:t>
      </w:r>
      <w:r>
        <w:rPr>
          <w:rFonts w:hint="default" w:ascii="Times New Roman" w:hAnsi="Times New Roman" w:eastAsia="黑体" w:cs="Times New Roman"/>
          <w:snapToGrid w:val="0"/>
          <w:color w:val="auto"/>
          <w:kern w:val="0"/>
          <w:highlight w:val="none"/>
          <w:lang w:val="zh-CN"/>
        </w:rPr>
        <w:t>水质监测点布置</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2198"/>
        <w:gridCol w:w="958"/>
        <w:gridCol w:w="1040"/>
        <w:gridCol w:w="1040"/>
        <w:gridCol w:w="975"/>
        <w:gridCol w:w="1344"/>
      </w:tblGrid>
      <w:tr w14:paraId="0AF1B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top w:val="single" w:color="auto" w:sz="12" w:space="0"/>
              <w:left w:val="nil"/>
            </w:tcBorders>
            <w:vAlign w:val="center"/>
          </w:tcPr>
          <w:p w14:paraId="3A8FB5AD">
            <w:pPr>
              <w:pStyle w:val="146"/>
              <w:rPr>
                <w:rFonts w:hint="default" w:ascii="Times New Roman" w:hAnsi="Times New Roman" w:eastAsia="宋体" w:cs="Times New Roman"/>
                <w:color w:val="auto"/>
                <w:highlight w:val="none"/>
              </w:rPr>
            </w:pPr>
            <w:bookmarkStart w:id="380" w:name="_Hlk477204267"/>
            <w:r>
              <w:rPr>
                <w:rFonts w:hint="default" w:ascii="Times New Roman" w:hAnsi="Times New Roman" w:eastAsia="宋体" w:cs="Times New Roman"/>
                <w:color w:val="auto"/>
                <w:highlight w:val="none"/>
              </w:rPr>
              <w:t>编号</w:t>
            </w:r>
          </w:p>
        </w:tc>
        <w:tc>
          <w:tcPr>
            <w:tcW w:w="1322" w:type="pct"/>
            <w:tcBorders>
              <w:top w:val="single" w:color="auto" w:sz="12" w:space="0"/>
            </w:tcBorders>
            <w:vAlign w:val="center"/>
          </w:tcPr>
          <w:p w14:paraId="38D3F6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576" w:type="pct"/>
            <w:tcBorders>
              <w:top w:val="single" w:color="auto" w:sz="12" w:space="0"/>
            </w:tcBorders>
            <w:vAlign w:val="center"/>
          </w:tcPr>
          <w:p w14:paraId="67CD76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方位</w:t>
            </w:r>
          </w:p>
        </w:tc>
        <w:tc>
          <w:tcPr>
            <w:tcW w:w="625" w:type="pct"/>
            <w:tcBorders>
              <w:top w:val="single" w:color="auto" w:sz="12" w:space="0"/>
            </w:tcBorders>
            <w:vAlign w:val="center"/>
          </w:tcPr>
          <w:p w14:paraId="28E752E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井深/m</w:t>
            </w:r>
          </w:p>
        </w:tc>
        <w:tc>
          <w:tcPr>
            <w:tcW w:w="625" w:type="pct"/>
            <w:tcBorders>
              <w:top w:val="single" w:color="auto" w:sz="12" w:space="0"/>
            </w:tcBorders>
            <w:vAlign w:val="center"/>
          </w:tcPr>
          <w:p w14:paraId="149894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水位/m</w:t>
            </w:r>
          </w:p>
        </w:tc>
        <w:tc>
          <w:tcPr>
            <w:tcW w:w="586" w:type="pct"/>
            <w:tcBorders>
              <w:top w:val="single" w:color="auto" w:sz="12" w:space="0"/>
            </w:tcBorders>
            <w:vAlign w:val="center"/>
          </w:tcPr>
          <w:p w14:paraId="0AB719E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用途</w:t>
            </w:r>
          </w:p>
        </w:tc>
        <w:tc>
          <w:tcPr>
            <w:tcW w:w="808" w:type="pct"/>
            <w:tcBorders>
              <w:top w:val="single" w:color="auto" w:sz="12" w:space="0"/>
              <w:right w:val="nil"/>
            </w:tcBorders>
            <w:vAlign w:val="center"/>
          </w:tcPr>
          <w:p w14:paraId="5ED1C7C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w:t>
            </w:r>
          </w:p>
        </w:tc>
      </w:tr>
      <w:tr w14:paraId="6867C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left w:val="nil"/>
            </w:tcBorders>
            <w:vAlign w:val="center"/>
          </w:tcPr>
          <w:p w14:paraId="75881E2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W1</w:t>
            </w:r>
          </w:p>
        </w:tc>
        <w:tc>
          <w:tcPr>
            <w:tcW w:w="1322" w:type="pct"/>
            <w:vAlign w:val="center"/>
          </w:tcPr>
          <w:p w14:paraId="13C2885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厂区南侧</w:t>
            </w:r>
          </w:p>
        </w:tc>
        <w:tc>
          <w:tcPr>
            <w:tcW w:w="576" w:type="pct"/>
            <w:vAlign w:val="center"/>
          </w:tcPr>
          <w:p w14:paraId="75C5FDA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p>
        </w:tc>
        <w:tc>
          <w:tcPr>
            <w:tcW w:w="625" w:type="pct"/>
            <w:shd w:val="clear" w:color="auto" w:fill="auto"/>
            <w:vAlign w:val="center"/>
          </w:tcPr>
          <w:p w14:paraId="055983D6">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35</w:t>
            </w:r>
          </w:p>
        </w:tc>
        <w:tc>
          <w:tcPr>
            <w:tcW w:w="625" w:type="pct"/>
            <w:shd w:val="clear" w:color="auto" w:fill="auto"/>
            <w:vAlign w:val="center"/>
          </w:tcPr>
          <w:p w14:paraId="138CBA32">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15</w:t>
            </w:r>
          </w:p>
        </w:tc>
        <w:tc>
          <w:tcPr>
            <w:tcW w:w="586" w:type="pct"/>
          </w:tcPr>
          <w:p w14:paraId="0E961AF8">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8" w:type="pct"/>
            <w:tcBorders>
              <w:right w:val="nil"/>
            </w:tcBorders>
            <w:vAlign w:val="center"/>
          </w:tcPr>
          <w:p w14:paraId="3C40A964">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6900</w:t>
            </w:r>
            <w:r>
              <w:rPr>
                <w:rFonts w:hint="default" w:eastAsia="宋体" w:cs="Times New Roman"/>
                <w:color w:val="auto"/>
                <w:highlight w:val="none"/>
                <w:lang w:val="en-US" w:eastAsia="zh-CN"/>
              </w:rPr>
              <w:t>m</w:t>
            </w:r>
          </w:p>
        </w:tc>
      </w:tr>
      <w:tr w14:paraId="179B5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left w:val="nil"/>
            </w:tcBorders>
            <w:vAlign w:val="center"/>
          </w:tcPr>
          <w:p w14:paraId="00A818F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W2</w:t>
            </w:r>
          </w:p>
        </w:tc>
        <w:tc>
          <w:tcPr>
            <w:tcW w:w="1322" w:type="pct"/>
            <w:vAlign w:val="center"/>
          </w:tcPr>
          <w:p w14:paraId="42CD2EC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厂区北侧</w:t>
            </w:r>
          </w:p>
        </w:tc>
        <w:tc>
          <w:tcPr>
            <w:tcW w:w="576" w:type="pct"/>
            <w:vAlign w:val="center"/>
          </w:tcPr>
          <w:p w14:paraId="0AB254B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E</w:t>
            </w:r>
            <w:r>
              <w:rPr>
                <w:rFonts w:hint="default" w:ascii="Times New Roman" w:hAnsi="Times New Roman" w:eastAsia="宋体" w:cs="Times New Roman"/>
                <w:color w:val="auto"/>
                <w:highlight w:val="none"/>
                <w:lang w:val="en-US" w:eastAsia="zh-CN"/>
              </w:rPr>
              <w:t>N</w:t>
            </w:r>
            <w:r>
              <w:rPr>
                <w:rFonts w:hint="eastAsia" w:eastAsia="宋体" w:cs="Times New Roman"/>
                <w:color w:val="auto"/>
                <w:highlight w:val="none"/>
                <w:lang w:val="en-US" w:eastAsia="zh-CN"/>
              </w:rPr>
              <w:t>N</w:t>
            </w:r>
          </w:p>
        </w:tc>
        <w:tc>
          <w:tcPr>
            <w:tcW w:w="625" w:type="pct"/>
            <w:shd w:val="clear" w:color="auto" w:fill="auto"/>
            <w:vAlign w:val="center"/>
          </w:tcPr>
          <w:p w14:paraId="2FB6CEEA">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22</w:t>
            </w:r>
          </w:p>
        </w:tc>
        <w:tc>
          <w:tcPr>
            <w:tcW w:w="625" w:type="pct"/>
            <w:shd w:val="clear" w:color="auto" w:fill="auto"/>
            <w:vAlign w:val="center"/>
          </w:tcPr>
          <w:p w14:paraId="33EFBA2F">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9</w:t>
            </w:r>
          </w:p>
        </w:tc>
        <w:tc>
          <w:tcPr>
            <w:tcW w:w="586" w:type="pct"/>
          </w:tcPr>
          <w:p w14:paraId="6776F125">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8" w:type="pct"/>
            <w:vAlign w:val="center"/>
          </w:tcPr>
          <w:p w14:paraId="47FB162A">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2200</w:t>
            </w:r>
            <w:r>
              <w:rPr>
                <w:rFonts w:hint="default" w:eastAsia="宋体" w:cs="Times New Roman"/>
                <w:color w:val="auto"/>
                <w:highlight w:val="none"/>
                <w:lang w:val="en-US" w:eastAsia="zh-CN"/>
              </w:rPr>
              <w:t>m</w:t>
            </w:r>
          </w:p>
        </w:tc>
      </w:tr>
      <w:tr w14:paraId="7055C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pct"/>
            <w:tcBorders>
              <w:left w:val="nil"/>
              <w:bottom w:val="single" w:color="auto" w:sz="12" w:space="0"/>
            </w:tcBorders>
            <w:vAlign w:val="center"/>
          </w:tcPr>
          <w:p w14:paraId="2FB66D0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W3</w:t>
            </w:r>
          </w:p>
        </w:tc>
        <w:tc>
          <w:tcPr>
            <w:tcW w:w="1322" w:type="pct"/>
            <w:tcBorders>
              <w:bottom w:val="single" w:color="auto" w:sz="12" w:space="0"/>
            </w:tcBorders>
            <w:vAlign w:val="center"/>
          </w:tcPr>
          <w:p w14:paraId="6FF09AD6">
            <w:pPr>
              <w:pStyle w:val="146"/>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厂区</w:t>
            </w:r>
            <w:r>
              <w:rPr>
                <w:rFonts w:hint="eastAsia" w:eastAsia="宋体" w:cs="Times New Roman"/>
                <w:color w:val="auto"/>
                <w:highlight w:val="none"/>
                <w:lang w:val="en-US" w:eastAsia="zh-CN"/>
              </w:rPr>
              <w:t>北侧</w:t>
            </w:r>
          </w:p>
        </w:tc>
        <w:tc>
          <w:tcPr>
            <w:tcW w:w="576" w:type="pct"/>
            <w:tcBorders>
              <w:bottom w:val="single" w:color="auto" w:sz="12" w:space="0"/>
            </w:tcBorders>
            <w:vAlign w:val="center"/>
          </w:tcPr>
          <w:p w14:paraId="3001D7A9">
            <w:pPr>
              <w:pStyle w:val="146"/>
              <w:rPr>
                <w:rFonts w:hint="default"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N</w:t>
            </w:r>
          </w:p>
        </w:tc>
        <w:tc>
          <w:tcPr>
            <w:tcW w:w="625" w:type="pct"/>
            <w:tcBorders>
              <w:bottom w:val="single" w:color="auto" w:sz="12" w:space="0"/>
            </w:tcBorders>
            <w:shd w:val="clear" w:color="auto" w:fill="auto"/>
            <w:vAlign w:val="center"/>
          </w:tcPr>
          <w:p w14:paraId="0AF29015">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30</w:t>
            </w:r>
          </w:p>
        </w:tc>
        <w:tc>
          <w:tcPr>
            <w:tcW w:w="625" w:type="pct"/>
            <w:tcBorders>
              <w:bottom w:val="single" w:color="auto" w:sz="12" w:space="0"/>
            </w:tcBorders>
            <w:shd w:val="clear" w:color="auto" w:fill="auto"/>
            <w:vAlign w:val="center"/>
          </w:tcPr>
          <w:p w14:paraId="107637B1">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13</w:t>
            </w:r>
          </w:p>
        </w:tc>
        <w:tc>
          <w:tcPr>
            <w:tcW w:w="586" w:type="pct"/>
            <w:tcBorders>
              <w:bottom w:val="single" w:color="auto" w:sz="12" w:space="0"/>
            </w:tcBorders>
          </w:tcPr>
          <w:p w14:paraId="53FF5036">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8" w:type="pct"/>
            <w:vAlign w:val="center"/>
          </w:tcPr>
          <w:p w14:paraId="23CD355B">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6500</w:t>
            </w:r>
            <w:r>
              <w:rPr>
                <w:rFonts w:hint="default" w:eastAsia="宋体" w:cs="Times New Roman"/>
                <w:color w:val="auto"/>
                <w:highlight w:val="none"/>
                <w:lang w:val="en-US" w:eastAsia="zh-CN"/>
              </w:rPr>
              <w:t>m</w:t>
            </w:r>
          </w:p>
        </w:tc>
      </w:tr>
      <w:bookmarkEnd w:id="380"/>
    </w:tbl>
    <w:p w14:paraId="167EFEEE">
      <w:pPr>
        <w:spacing w:line="500" w:lineRule="exact"/>
        <w:ind w:firstLine="0" w:firstLineChars="0"/>
        <w:jc w:val="center"/>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highlight w:val="none"/>
          <w:lang w:val="zh-CN"/>
        </w:rPr>
        <w:t>表4-2-1</w:t>
      </w:r>
      <w:r>
        <w:rPr>
          <w:rFonts w:hint="default" w:ascii="Times New Roman" w:hAnsi="Times New Roman" w:eastAsia="黑体" w:cs="Times New Roman"/>
          <w:color w:val="auto"/>
          <w:highlight w:val="none"/>
        </w:rPr>
        <w:t>0</w:t>
      </w:r>
      <w:r>
        <w:rPr>
          <w:rFonts w:hint="default" w:ascii="Times New Roman" w:hAnsi="Times New Roman" w:eastAsia="黑体" w:cs="Times New Roman"/>
          <w:color w:val="auto"/>
          <w:highlight w:val="none"/>
          <w:lang w:val="zh-CN"/>
        </w:rPr>
        <w:t>水位监测点布置</w:t>
      </w:r>
    </w:p>
    <w:tbl>
      <w:tblPr>
        <w:tblStyle w:val="47"/>
        <w:tblW w:w="48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2127"/>
        <w:gridCol w:w="944"/>
        <w:gridCol w:w="1012"/>
        <w:gridCol w:w="1012"/>
        <w:gridCol w:w="943"/>
        <w:gridCol w:w="1308"/>
      </w:tblGrid>
      <w:tr w14:paraId="499A3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62" w:type="pct"/>
            <w:tcBorders>
              <w:top w:val="single" w:color="auto" w:sz="12" w:space="0"/>
              <w:left w:val="nil"/>
            </w:tcBorders>
            <w:vAlign w:val="center"/>
          </w:tcPr>
          <w:p w14:paraId="7135F15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1313" w:type="pct"/>
            <w:tcBorders>
              <w:top w:val="single" w:color="auto" w:sz="12" w:space="0"/>
            </w:tcBorders>
            <w:vAlign w:val="center"/>
          </w:tcPr>
          <w:p w14:paraId="64AA44C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583" w:type="pct"/>
            <w:tcBorders>
              <w:top w:val="single" w:color="auto" w:sz="12" w:space="0"/>
            </w:tcBorders>
            <w:vAlign w:val="center"/>
          </w:tcPr>
          <w:p w14:paraId="7A36D05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方位</w:t>
            </w:r>
          </w:p>
        </w:tc>
        <w:tc>
          <w:tcPr>
            <w:tcW w:w="625" w:type="pct"/>
            <w:tcBorders>
              <w:top w:val="single" w:color="auto" w:sz="12" w:space="0"/>
            </w:tcBorders>
            <w:vAlign w:val="center"/>
          </w:tcPr>
          <w:p w14:paraId="754487C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井深/m</w:t>
            </w:r>
          </w:p>
        </w:tc>
        <w:tc>
          <w:tcPr>
            <w:tcW w:w="625" w:type="pct"/>
            <w:tcBorders>
              <w:top w:val="single" w:color="auto" w:sz="12" w:space="0"/>
            </w:tcBorders>
            <w:vAlign w:val="center"/>
          </w:tcPr>
          <w:p w14:paraId="3602FEB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水位/m</w:t>
            </w:r>
          </w:p>
        </w:tc>
        <w:tc>
          <w:tcPr>
            <w:tcW w:w="582" w:type="pct"/>
            <w:tcBorders>
              <w:top w:val="single" w:color="auto" w:sz="12" w:space="0"/>
            </w:tcBorders>
            <w:vAlign w:val="center"/>
          </w:tcPr>
          <w:p w14:paraId="0BC92AA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用途</w:t>
            </w:r>
          </w:p>
        </w:tc>
        <w:tc>
          <w:tcPr>
            <w:tcW w:w="807" w:type="pct"/>
            <w:tcBorders>
              <w:top w:val="single" w:color="auto" w:sz="12" w:space="0"/>
              <w:right w:val="nil"/>
            </w:tcBorders>
            <w:vAlign w:val="center"/>
          </w:tcPr>
          <w:p w14:paraId="56F13D0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w:t>
            </w:r>
          </w:p>
        </w:tc>
      </w:tr>
      <w:tr w14:paraId="082FB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pct"/>
            <w:tcBorders>
              <w:left w:val="nil"/>
            </w:tcBorders>
            <w:shd w:val="clear" w:color="auto" w:fill="auto"/>
            <w:vAlign w:val="center"/>
          </w:tcPr>
          <w:p w14:paraId="3E073693">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W1</w:t>
            </w:r>
          </w:p>
        </w:tc>
        <w:tc>
          <w:tcPr>
            <w:tcW w:w="1313" w:type="pct"/>
            <w:shd w:val="clear" w:color="auto" w:fill="auto"/>
            <w:vAlign w:val="center"/>
          </w:tcPr>
          <w:p w14:paraId="1032285F">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厂区南侧</w:t>
            </w:r>
          </w:p>
        </w:tc>
        <w:tc>
          <w:tcPr>
            <w:tcW w:w="583" w:type="pct"/>
            <w:shd w:val="clear" w:color="auto" w:fill="auto"/>
            <w:vAlign w:val="center"/>
          </w:tcPr>
          <w:p w14:paraId="27FC5576">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S</w:t>
            </w:r>
          </w:p>
        </w:tc>
        <w:tc>
          <w:tcPr>
            <w:tcW w:w="625" w:type="pct"/>
            <w:shd w:val="clear" w:color="auto" w:fill="auto"/>
            <w:vAlign w:val="center"/>
          </w:tcPr>
          <w:p w14:paraId="3BA6E545">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35</w:t>
            </w:r>
          </w:p>
        </w:tc>
        <w:tc>
          <w:tcPr>
            <w:tcW w:w="625" w:type="pct"/>
            <w:shd w:val="clear" w:color="auto" w:fill="auto"/>
            <w:vAlign w:val="center"/>
          </w:tcPr>
          <w:p w14:paraId="1BA956CA">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15</w:t>
            </w:r>
          </w:p>
        </w:tc>
        <w:tc>
          <w:tcPr>
            <w:tcW w:w="582" w:type="pct"/>
          </w:tcPr>
          <w:p w14:paraId="61244B38">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tcBorders>
              <w:right w:val="nil"/>
            </w:tcBorders>
            <w:shd w:val="clear" w:color="auto" w:fill="auto"/>
            <w:vAlign w:val="center"/>
          </w:tcPr>
          <w:p w14:paraId="6CF1D204">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6900</w:t>
            </w:r>
            <w:r>
              <w:rPr>
                <w:rFonts w:hint="default" w:eastAsia="宋体" w:cs="Times New Roman"/>
                <w:color w:val="auto"/>
                <w:highlight w:val="none"/>
                <w:lang w:val="en-US" w:eastAsia="zh-CN"/>
              </w:rPr>
              <w:t>m</w:t>
            </w:r>
          </w:p>
        </w:tc>
      </w:tr>
      <w:tr w14:paraId="22236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462" w:type="pct"/>
            <w:tcBorders>
              <w:left w:val="nil"/>
            </w:tcBorders>
            <w:shd w:val="clear" w:color="auto" w:fill="auto"/>
            <w:vAlign w:val="center"/>
          </w:tcPr>
          <w:p w14:paraId="5ECC506D">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W2</w:t>
            </w:r>
          </w:p>
        </w:tc>
        <w:tc>
          <w:tcPr>
            <w:tcW w:w="1313" w:type="pct"/>
            <w:shd w:val="clear" w:color="auto" w:fill="auto"/>
            <w:vAlign w:val="center"/>
          </w:tcPr>
          <w:p w14:paraId="2FA8255A">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厂区北侧</w:t>
            </w:r>
          </w:p>
        </w:tc>
        <w:tc>
          <w:tcPr>
            <w:tcW w:w="583" w:type="pct"/>
            <w:shd w:val="clear" w:color="auto" w:fill="auto"/>
            <w:vAlign w:val="center"/>
          </w:tcPr>
          <w:p w14:paraId="171D8D22">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E</w:t>
            </w:r>
            <w:r>
              <w:rPr>
                <w:rFonts w:hint="default" w:ascii="Times New Roman" w:hAnsi="Times New Roman" w:eastAsia="宋体" w:cs="Times New Roman"/>
                <w:color w:val="auto"/>
                <w:highlight w:val="none"/>
                <w:lang w:val="en-US" w:eastAsia="zh-CN"/>
              </w:rPr>
              <w:t>N</w:t>
            </w:r>
            <w:r>
              <w:rPr>
                <w:rFonts w:hint="eastAsia" w:eastAsia="宋体" w:cs="Times New Roman"/>
                <w:color w:val="auto"/>
                <w:highlight w:val="none"/>
                <w:lang w:val="en-US" w:eastAsia="zh-CN"/>
              </w:rPr>
              <w:t>N</w:t>
            </w:r>
          </w:p>
        </w:tc>
        <w:tc>
          <w:tcPr>
            <w:tcW w:w="625" w:type="pct"/>
            <w:shd w:val="clear" w:color="auto" w:fill="auto"/>
            <w:vAlign w:val="center"/>
          </w:tcPr>
          <w:p w14:paraId="136EC182">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22</w:t>
            </w:r>
          </w:p>
        </w:tc>
        <w:tc>
          <w:tcPr>
            <w:tcW w:w="625" w:type="pct"/>
            <w:shd w:val="clear" w:color="auto" w:fill="auto"/>
            <w:vAlign w:val="center"/>
          </w:tcPr>
          <w:p w14:paraId="2DE22AE1">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9</w:t>
            </w:r>
          </w:p>
        </w:tc>
        <w:tc>
          <w:tcPr>
            <w:tcW w:w="582" w:type="pct"/>
          </w:tcPr>
          <w:p w14:paraId="2E0924CE">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shd w:val="clear" w:color="auto" w:fill="auto"/>
            <w:vAlign w:val="center"/>
          </w:tcPr>
          <w:p w14:paraId="3D243EBB">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2200</w:t>
            </w:r>
            <w:r>
              <w:rPr>
                <w:rFonts w:hint="default" w:eastAsia="宋体" w:cs="Times New Roman"/>
                <w:color w:val="auto"/>
                <w:highlight w:val="none"/>
                <w:lang w:val="en-US" w:eastAsia="zh-CN"/>
              </w:rPr>
              <w:t>m</w:t>
            </w:r>
          </w:p>
        </w:tc>
      </w:tr>
      <w:tr w14:paraId="7A345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pct"/>
            <w:tcBorders>
              <w:left w:val="nil"/>
            </w:tcBorders>
            <w:shd w:val="clear" w:color="auto" w:fill="auto"/>
            <w:vAlign w:val="center"/>
          </w:tcPr>
          <w:p w14:paraId="3C0DE110">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W3</w:t>
            </w:r>
          </w:p>
        </w:tc>
        <w:tc>
          <w:tcPr>
            <w:tcW w:w="1313" w:type="pct"/>
            <w:shd w:val="clear" w:color="auto" w:fill="auto"/>
            <w:vAlign w:val="center"/>
          </w:tcPr>
          <w:p w14:paraId="78899BF6">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厂区</w:t>
            </w:r>
            <w:r>
              <w:rPr>
                <w:rFonts w:hint="eastAsia" w:eastAsia="宋体" w:cs="Times New Roman"/>
                <w:color w:val="auto"/>
                <w:highlight w:val="none"/>
                <w:lang w:val="en-US" w:eastAsia="zh-CN"/>
              </w:rPr>
              <w:t>北侧</w:t>
            </w:r>
          </w:p>
        </w:tc>
        <w:tc>
          <w:tcPr>
            <w:tcW w:w="583" w:type="pct"/>
            <w:shd w:val="clear" w:color="auto" w:fill="auto"/>
            <w:vAlign w:val="center"/>
          </w:tcPr>
          <w:p w14:paraId="2C89EFDE">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N</w:t>
            </w:r>
          </w:p>
        </w:tc>
        <w:tc>
          <w:tcPr>
            <w:tcW w:w="625" w:type="pct"/>
            <w:shd w:val="clear" w:color="auto" w:fill="auto"/>
            <w:vAlign w:val="center"/>
          </w:tcPr>
          <w:p w14:paraId="23FBFC0F">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30</w:t>
            </w:r>
          </w:p>
        </w:tc>
        <w:tc>
          <w:tcPr>
            <w:tcW w:w="625" w:type="pct"/>
            <w:shd w:val="clear" w:color="auto" w:fill="auto"/>
            <w:vAlign w:val="center"/>
          </w:tcPr>
          <w:p w14:paraId="4DE791E0">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13</w:t>
            </w:r>
          </w:p>
        </w:tc>
        <w:tc>
          <w:tcPr>
            <w:tcW w:w="582" w:type="pct"/>
            <w:vAlign w:val="top"/>
          </w:tcPr>
          <w:p w14:paraId="07AC73F9">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shd w:val="clear" w:color="auto" w:fill="auto"/>
            <w:vAlign w:val="center"/>
          </w:tcPr>
          <w:p w14:paraId="08755C7B">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6500</w:t>
            </w:r>
            <w:r>
              <w:rPr>
                <w:rFonts w:hint="default" w:eastAsia="宋体" w:cs="Times New Roman"/>
                <w:color w:val="auto"/>
                <w:highlight w:val="none"/>
                <w:lang w:val="en-US" w:eastAsia="zh-CN"/>
              </w:rPr>
              <w:t>m</w:t>
            </w:r>
          </w:p>
        </w:tc>
      </w:tr>
      <w:tr w14:paraId="7647A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pct"/>
            <w:tcBorders>
              <w:left w:val="nil"/>
            </w:tcBorders>
            <w:vAlign w:val="center"/>
          </w:tcPr>
          <w:p w14:paraId="456A825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W4</w:t>
            </w:r>
          </w:p>
        </w:tc>
        <w:tc>
          <w:tcPr>
            <w:tcW w:w="1313" w:type="pct"/>
            <w:shd w:val="clear" w:color="auto" w:fill="auto"/>
            <w:vAlign w:val="center"/>
          </w:tcPr>
          <w:p w14:paraId="4D20D4B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地下水流向上游</w:t>
            </w:r>
          </w:p>
        </w:tc>
        <w:tc>
          <w:tcPr>
            <w:tcW w:w="583" w:type="pct"/>
            <w:vAlign w:val="center"/>
          </w:tcPr>
          <w:p w14:paraId="4E481787">
            <w:pPr>
              <w:pStyle w:val="146"/>
              <w:rPr>
                <w:rFonts w:hint="default"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W</w:t>
            </w:r>
          </w:p>
        </w:tc>
        <w:tc>
          <w:tcPr>
            <w:tcW w:w="625" w:type="pct"/>
            <w:shd w:val="clear" w:color="auto" w:fill="auto"/>
            <w:vAlign w:val="center"/>
          </w:tcPr>
          <w:p w14:paraId="35A8543F">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27</w:t>
            </w:r>
          </w:p>
        </w:tc>
        <w:tc>
          <w:tcPr>
            <w:tcW w:w="625" w:type="pct"/>
            <w:shd w:val="clear" w:color="auto" w:fill="auto"/>
            <w:vAlign w:val="center"/>
          </w:tcPr>
          <w:p w14:paraId="57DFB8D2">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11</w:t>
            </w:r>
          </w:p>
        </w:tc>
        <w:tc>
          <w:tcPr>
            <w:tcW w:w="582" w:type="pct"/>
          </w:tcPr>
          <w:p w14:paraId="153EA543">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vAlign w:val="center"/>
          </w:tcPr>
          <w:p w14:paraId="5D4BF458">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13400</w:t>
            </w:r>
            <w:r>
              <w:rPr>
                <w:rFonts w:hint="default" w:eastAsia="宋体" w:cs="Times New Roman"/>
                <w:color w:val="auto"/>
                <w:highlight w:val="none"/>
                <w:lang w:val="en-US" w:eastAsia="zh-CN"/>
              </w:rPr>
              <w:t>m</w:t>
            </w:r>
          </w:p>
        </w:tc>
      </w:tr>
      <w:tr w14:paraId="7E789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62" w:type="pct"/>
            <w:tcBorders>
              <w:left w:val="nil"/>
            </w:tcBorders>
            <w:vAlign w:val="center"/>
          </w:tcPr>
          <w:p w14:paraId="0B899C7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W5</w:t>
            </w:r>
          </w:p>
        </w:tc>
        <w:tc>
          <w:tcPr>
            <w:tcW w:w="1313" w:type="pct"/>
            <w:shd w:val="clear" w:color="auto" w:fill="auto"/>
            <w:vAlign w:val="center"/>
          </w:tcPr>
          <w:p w14:paraId="121E5DF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rPr>
              <w:t>地下水流向下游</w:t>
            </w:r>
          </w:p>
        </w:tc>
        <w:tc>
          <w:tcPr>
            <w:tcW w:w="583" w:type="pct"/>
            <w:vAlign w:val="center"/>
          </w:tcPr>
          <w:p w14:paraId="78ECC79B">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ESS</w:t>
            </w:r>
          </w:p>
        </w:tc>
        <w:tc>
          <w:tcPr>
            <w:tcW w:w="625" w:type="pct"/>
            <w:shd w:val="clear" w:color="auto" w:fill="auto"/>
            <w:vAlign w:val="center"/>
          </w:tcPr>
          <w:p w14:paraId="3606DF0E">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36</w:t>
            </w:r>
          </w:p>
        </w:tc>
        <w:tc>
          <w:tcPr>
            <w:tcW w:w="625" w:type="pct"/>
            <w:shd w:val="clear" w:color="auto" w:fill="auto"/>
            <w:vAlign w:val="center"/>
          </w:tcPr>
          <w:p w14:paraId="7F01E790">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16</w:t>
            </w:r>
          </w:p>
        </w:tc>
        <w:tc>
          <w:tcPr>
            <w:tcW w:w="582" w:type="pct"/>
          </w:tcPr>
          <w:p w14:paraId="39EB8708">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vAlign w:val="center"/>
          </w:tcPr>
          <w:p w14:paraId="21ED5E50">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9</w:t>
            </w:r>
            <w:r>
              <w:rPr>
                <w:rFonts w:hint="default" w:eastAsia="宋体" w:cs="Times New Roman"/>
                <w:color w:val="auto"/>
                <w:highlight w:val="none"/>
                <w:lang w:val="en-US" w:eastAsia="zh-CN"/>
              </w:rPr>
              <w:t>400m</w:t>
            </w:r>
          </w:p>
        </w:tc>
      </w:tr>
      <w:tr w14:paraId="1006EF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62" w:type="pct"/>
            <w:tcBorders>
              <w:left w:val="nil"/>
            </w:tcBorders>
            <w:vAlign w:val="center"/>
          </w:tcPr>
          <w:p w14:paraId="7F85950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W6</w:t>
            </w:r>
          </w:p>
        </w:tc>
        <w:tc>
          <w:tcPr>
            <w:tcW w:w="1313" w:type="pct"/>
            <w:vAlign w:val="center"/>
          </w:tcPr>
          <w:p w14:paraId="699E54C3">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地下水流向下游</w:t>
            </w:r>
          </w:p>
        </w:tc>
        <w:tc>
          <w:tcPr>
            <w:tcW w:w="583" w:type="pct"/>
            <w:vAlign w:val="center"/>
          </w:tcPr>
          <w:p w14:paraId="2F47AD8B">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E</w:t>
            </w:r>
          </w:p>
        </w:tc>
        <w:tc>
          <w:tcPr>
            <w:tcW w:w="625" w:type="pct"/>
            <w:shd w:val="clear" w:color="auto" w:fill="auto"/>
            <w:vAlign w:val="center"/>
          </w:tcPr>
          <w:p w14:paraId="3FFCA64A">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40</w:t>
            </w:r>
          </w:p>
        </w:tc>
        <w:tc>
          <w:tcPr>
            <w:tcW w:w="625" w:type="pct"/>
            <w:shd w:val="clear" w:color="auto" w:fill="auto"/>
            <w:vAlign w:val="center"/>
          </w:tcPr>
          <w:p w14:paraId="66B3DAD0">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18</w:t>
            </w:r>
          </w:p>
        </w:tc>
        <w:tc>
          <w:tcPr>
            <w:tcW w:w="582" w:type="pct"/>
          </w:tcPr>
          <w:p w14:paraId="17D72044">
            <w:pPr>
              <w:pStyle w:val="146"/>
              <w:ind w:left="0" w:leftChars="0" w:firstLine="0" w:firstLineChars="0"/>
              <w:rPr>
                <w:rFonts w:hint="default" w:eastAsia="宋体" w:cs="Times New Roman"/>
                <w:color w:val="auto"/>
                <w:highlight w:val="none"/>
                <w:lang w:val="en-US" w:eastAsia="zh-CN"/>
              </w:rPr>
            </w:pPr>
            <w:r>
              <w:rPr>
                <w:rFonts w:hint="default" w:eastAsia="宋体" w:cs="Times New Roman"/>
                <w:color w:val="auto"/>
                <w:highlight w:val="none"/>
                <w:lang w:val="en-US" w:eastAsia="zh-CN"/>
              </w:rPr>
              <w:t>灌溉</w:t>
            </w:r>
          </w:p>
        </w:tc>
        <w:tc>
          <w:tcPr>
            <w:tcW w:w="807" w:type="pct"/>
            <w:vAlign w:val="center"/>
          </w:tcPr>
          <w:p w14:paraId="00EAE22D">
            <w:pPr>
              <w:pStyle w:val="146"/>
              <w:ind w:left="0" w:leftChars="0" w:firstLine="0" w:firstLineChars="0"/>
              <w:rPr>
                <w:rFonts w:hint="default" w:eastAsia="宋体" w:cs="Times New Roman"/>
                <w:color w:val="auto"/>
                <w:highlight w:val="none"/>
                <w:lang w:val="en-US" w:eastAsia="zh-CN"/>
              </w:rPr>
            </w:pPr>
            <w:r>
              <w:rPr>
                <w:rFonts w:hint="eastAsia" w:eastAsia="宋体" w:cs="Times New Roman"/>
                <w:color w:val="auto"/>
                <w:highlight w:val="none"/>
                <w:lang w:val="en-US" w:eastAsia="zh-CN"/>
              </w:rPr>
              <w:t>9400</w:t>
            </w:r>
            <w:r>
              <w:rPr>
                <w:rFonts w:hint="default" w:eastAsia="宋体" w:cs="Times New Roman"/>
                <w:color w:val="auto"/>
                <w:highlight w:val="none"/>
                <w:lang w:val="en-US" w:eastAsia="zh-CN"/>
              </w:rPr>
              <w:t>m</w:t>
            </w:r>
          </w:p>
        </w:tc>
      </w:tr>
    </w:tbl>
    <w:p w14:paraId="485348EC">
      <w:pPr>
        <w:adjustRightInd/>
        <w:snapToGrid/>
        <w:spacing w:line="500" w:lineRule="exact"/>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（2）采样时间及频率</w:t>
      </w:r>
    </w:p>
    <w:p w14:paraId="3ACDDEFA">
      <w:pPr>
        <w:adjustRightInd/>
        <w:snapToGrid/>
        <w:spacing w:line="500" w:lineRule="exact"/>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监测时间为202</w:t>
      </w:r>
      <w:r>
        <w:rPr>
          <w:rFonts w:hint="eastAsia" w:cs="Times New Roman"/>
          <w:color w:val="auto"/>
          <w:szCs w:val="24"/>
          <w:highlight w:val="none"/>
          <w:lang w:val="en-US" w:eastAsia="zh-CN"/>
        </w:rPr>
        <w:t>6</w:t>
      </w:r>
      <w:r>
        <w:rPr>
          <w:rFonts w:hint="default" w:ascii="Times New Roman" w:hAnsi="Times New Roman" w:eastAsia="宋体" w:cs="Times New Roman"/>
          <w:color w:val="auto"/>
          <w:szCs w:val="24"/>
          <w:highlight w:val="none"/>
        </w:rPr>
        <w:t>年</w:t>
      </w:r>
      <w:r>
        <w:rPr>
          <w:rFonts w:hint="eastAsia" w:cs="Times New Roman"/>
          <w:color w:val="auto"/>
          <w:szCs w:val="24"/>
          <w:highlight w:val="none"/>
          <w:lang w:val="en-US" w:eastAsia="zh-CN"/>
        </w:rPr>
        <w:t>4</w:t>
      </w:r>
      <w:r>
        <w:rPr>
          <w:rFonts w:hint="default" w:ascii="Times New Roman" w:hAnsi="Times New Roman" w:eastAsia="宋体" w:cs="Times New Roman"/>
          <w:color w:val="auto"/>
          <w:szCs w:val="24"/>
          <w:highlight w:val="none"/>
        </w:rPr>
        <w:t>月</w:t>
      </w:r>
      <w:r>
        <w:rPr>
          <w:rFonts w:hint="eastAsia" w:cs="Times New Roman"/>
          <w:color w:val="auto"/>
          <w:szCs w:val="24"/>
          <w:highlight w:val="none"/>
          <w:lang w:val="en-US" w:eastAsia="zh-CN"/>
        </w:rPr>
        <w:t>8</w:t>
      </w:r>
      <w:r>
        <w:rPr>
          <w:rFonts w:hint="default" w:ascii="Times New Roman" w:hAnsi="Times New Roman" w:eastAsia="宋体" w:cs="Times New Roman"/>
          <w:color w:val="auto"/>
          <w:szCs w:val="24"/>
          <w:highlight w:val="none"/>
        </w:rPr>
        <w:t>日，采样1天，每天1次。</w:t>
      </w:r>
    </w:p>
    <w:p w14:paraId="1ACE4114">
      <w:pPr>
        <w:adjustRightInd/>
        <w:snapToGrid/>
        <w:spacing w:line="500" w:lineRule="exact"/>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（3）监测项目</w:t>
      </w:r>
    </w:p>
    <w:p w14:paraId="466B7E62">
      <w:pPr>
        <w:spacing w:line="500" w:lineRule="exact"/>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1#-3#检测项目：</w:t>
      </w:r>
      <w:r>
        <w:rPr>
          <w:rFonts w:hint="eastAsia"/>
          <w:b w:val="0"/>
          <w:bCs/>
          <w:snapToGrid w:val="0"/>
          <w:color w:val="auto"/>
          <w:sz w:val="24"/>
          <w:szCs w:val="24"/>
          <w:highlight w:val="none"/>
          <w:lang w:val="en-US" w:eastAsia="zh-CN"/>
        </w:rPr>
        <w:t>K</w:t>
      </w:r>
      <w:r>
        <w:rPr>
          <w:rFonts w:hint="eastAsia"/>
          <w:b w:val="0"/>
          <w:bCs/>
          <w:snapToGrid w:val="0"/>
          <w:color w:val="auto"/>
          <w:sz w:val="24"/>
          <w:szCs w:val="24"/>
          <w:highlight w:val="none"/>
          <w:vertAlign w:val="superscript"/>
          <w:lang w:val="en-US" w:eastAsia="zh-CN"/>
        </w:rPr>
        <w:t>+</w:t>
      </w:r>
      <w:r>
        <w:rPr>
          <w:rFonts w:hint="eastAsia"/>
          <w:b w:val="0"/>
          <w:bCs/>
          <w:snapToGrid w:val="0"/>
          <w:color w:val="auto"/>
          <w:sz w:val="24"/>
          <w:szCs w:val="24"/>
          <w:highlight w:val="none"/>
          <w:lang w:val="en-US" w:eastAsia="zh-CN"/>
        </w:rPr>
        <w:t>、Na</w:t>
      </w:r>
      <w:r>
        <w:rPr>
          <w:rFonts w:hint="eastAsia"/>
          <w:b w:val="0"/>
          <w:bCs/>
          <w:snapToGrid w:val="0"/>
          <w:color w:val="auto"/>
          <w:sz w:val="24"/>
          <w:szCs w:val="24"/>
          <w:highlight w:val="none"/>
          <w:vertAlign w:val="superscript"/>
          <w:lang w:val="en-US" w:eastAsia="zh-CN"/>
        </w:rPr>
        <w:t>+</w:t>
      </w:r>
      <w:r>
        <w:rPr>
          <w:rFonts w:hint="eastAsia"/>
          <w:b w:val="0"/>
          <w:bCs/>
          <w:snapToGrid w:val="0"/>
          <w:color w:val="auto"/>
          <w:sz w:val="24"/>
          <w:szCs w:val="24"/>
          <w:highlight w:val="none"/>
          <w:lang w:val="en-US" w:eastAsia="zh-CN"/>
        </w:rPr>
        <w:t>、Ca</w:t>
      </w:r>
      <w:r>
        <w:rPr>
          <w:rFonts w:hint="eastAsia"/>
          <w:b w:val="0"/>
          <w:bCs/>
          <w:snapToGrid w:val="0"/>
          <w:color w:val="auto"/>
          <w:sz w:val="24"/>
          <w:szCs w:val="24"/>
          <w:highlight w:val="none"/>
          <w:vertAlign w:val="superscript"/>
          <w:lang w:val="en-US" w:eastAsia="zh-CN"/>
        </w:rPr>
        <w:t>2+</w:t>
      </w:r>
      <w:r>
        <w:rPr>
          <w:rFonts w:hint="eastAsia"/>
          <w:b w:val="0"/>
          <w:bCs/>
          <w:snapToGrid w:val="0"/>
          <w:color w:val="auto"/>
          <w:sz w:val="24"/>
          <w:szCs w:val="24"/>
          <w:highlight w:val="none"/>
          <w:lang w:val="en-US" w:eastAsia="zh-CN"/>
        </w:rPr>
        <w:t>、Mg</w:t>
      </w:r>
      <w:r>
        <w:rPr>
          <w:rFonts w:hint="eastAsia"/>
          <w:b w:val="0"/>
          <w:bCs/>
          <w:snapToGrid w:val="0"/>
          <w:color w:val="auto"/>
          <w:sz w:val="24"/>
          <w:szCs w:val="24"/>
          <w:highlight w:val="none"/>
          <w:vertAlign w:val="superscript"/>
          <w:lang w:val="en-US" w:eastAsia="zh-CN"/>
        </w:rPr>
        <w:t>2+</w:t>
      </w:r>
      <w:r>
        <w:rPr>
          <w:rFonts w:hint="eastAsia"/>
          <w:b w:val="0"/>
          <w:bCs/>
          <w:snapToGrid w:val="0"/>
          <w:color w:val="auto"/>
          <w:sz w:val="24"/>
          <w:szCs w:val="24"/>
          <w:highlight w:val="none"/>
          <w:lang w:val="en-US" w:eastAsia="zh-CN"/>
        </w:rPr>
        <w:t>、CO</w:t>
      </w:r>
      <w:r>
        <w:rPr>
          <w:rFonts w:hint="eastAsia"/>
          <w:b w:val="0"/>
          <w:bCs/>
          <w:snapToGrid w:val="0"/>
          <w:color w:val="auto"/>
          <w:sz w:val="24"/>
          <w:szCs w:val="24"/>
          <w:highlight w:val="none"/>
          <w:vertAlign w:val="subscript"/>
          <w:lang w:val="en-US" w:eastAsia="zh-CN"/>
        </w:rPr>
        <w:t>3</w:t>
      </w:r>
      <w:r>
        <w:rPr>
          <w:rFonts w:hint="eastAsia"/>
          <w:b w:val="0"/>
          <w:bCs/>
          <w:snapToGrid w:val="0"/>
          <w:color w:val="auto"/>
          <w:sz w:val="24"/>
          <w:szCs w:val="24"/>
          <w:highlight w:val="none"/>
          <w:vertAlign w:val="superscript"/>
          <w:lang w:val="en-US" w:eastAsia="zh-CN"/>
        </w:rPr>
        <w:t>2-</w:t>
      </w:r>
      <w:r>
        <w:rPr>
          <w:rFonts w:hint="eastAsia"/>
          <w:b w:val="0"/>
          <w:bCs/>
          <w:snapToGrid w:val="0"/>
          <w:color w:val="auto"/>
          <w:sz w:val="24"/>
          <w:szCs w:val="24"/>
          <w:highlight w:val="none"/>
          <w:lang w:val="en-US" w:eastAsia="zh-CN"/>
        </w:rPr>
        <w:t>、HCO</w:t>
      </w:r>
      <w:r>
        <w:rPr>
          <w:rFonts w:hint="eastAsia"/>
          <w:b w:val="0"/>
          <w:bCs/>
          <w:snapToGrid w:val="0"/>
          <w:color w:val="auto"/>
          <w:sz w:val="24"/>
          <w:szCs w:val="24"/>
          <w:highlight w:val="none"/>
          <w:vertAlign w:val="subscript"/>
          <w:lang w:val="en-US" w:eastAsia="zh-CN"/>
        </w:rPr>
        <w:t>3</w:t>
      </w:r>
      <w:r>
        <w:rPr>
          <w:rFonts w:hint="eastAsia"/>
          <w:b w:val="0"/>
          <w:bCs/>
          <w:snapToGrid w:val="0"/>
          <w:color w:val="auto"/>
          <w:sz w:val="24"/>
          <w:szCs w:val="24"/>
          <w:highlight w:val="none"/>
          <w:vertAlign w:val="superscript"/>
          <w:lang w:val="en-US" w:eastAsia="zh-CN"/>
        </w:rPr>
        <w:t>-</w:t>
      </w:r>
      <w:r>
        <w:rPr>
          <w:rFonts w:hint="eastAsia"/>
          <w:b w:val="0"/>
          <w:bCs/>
          <w:snapToGrid w:val="0"/>
          <w:color w:val="auto"/>
          <w:sz w:val="24"/>
          <w:szCs w:val="24"/>
          <w:highlight w:val="none"/>
          <w:lang w:val="en-US" w:eastAsia="zh-CN"/>
        </w:rPr>
        <w:t>、Cl</w:t>
      </w:r>
      <w:r>
        <w:rPr>
          <w:rFonts w:hint="eastAsia"/>
          <w:b w:val="0"/>
          <w:bCs/>
          <w:snapToGrid w:val="0"/>
          <w:color w:val="auto"/>
          <w:sz w:val="24"/>
          <w:szCs w:val="24"/>
          <w:highlight w:val="none"/>
          <w:vertAlign w:val="superscript"/>
          <w:lang w:val="en-US" w:eastAsia="zh-CN"/>
        </w:rPr>
        <w:t>-</w:t>
      </w:r>
      <w:r>
        <w:rPr>
          <w:rFonts w:hint="eastAsia"/>
          <w:b w:val="0"/>
          <w:bCs/>
          <w:snapToGrid w:val="0"/>
          <w:color w:val="auto"/>
          <w:sz w:val="24"/>
          <w:szCs w:val="24"/>
          <w:highlight w:val="none"/>
          <w:lang w:val="en-US" w:eastAsia="zh-CN"/>
        </w:rPr>
        <w:t>、SO</w:t>
      </w:r>
      <w:r>
        <w:rPr>
          <w:rFonts w:hint="eastAsia"/>
          <w:b w:val="0"/>
          <w:bCs/>
          <w:snapToGrid w:val="0"/>
          <w:color w:val="auto"/>
          <w:sz w:val="24"/>
          <w:szCs w:val="24"/>
          <w:highlight w:val="none"/>
          <w:vertAlign w:val="subscript"/>
          <w:lang w:val="en-US" w:eastAsia="zh-CN"/>
        </w:rPr>
        <w:t>4</w:t>
      </w:r>
      <w:r>
        <w:rPr>
          <w:rFonts w:hint="eastAsia"/>
          <w:b w:val="0"/>
          <w:bCs/>
          <w:snapToGrid w:val="0"/>
          <w:color w:val="auto"/>
          <w:sz w:val="24"/>
          <w:szCs w:val="24"/>
          <w:highlight w:val="none"/>
          <w:vertAlign w:val="superscript"/>
          <w:lang w:val="en-US" w:eastAsia="zh-CN"/>
        </w:rPr>
        <w:t>2-</w:t>
      </w:r>
      <w:r>
        <w:rPr>
          <w:rFonts w:hint="eastAsia" w:cs="Times New Roman"/>
          <w:color w:val="auto"/>
          <w:highlight w:val="none"/>
          <w:lang w:eastAsia="zh-CN"/>
        </w:rPr>
        <w:t>、</w:t>
      </w:r>
      <w:r>
        <w:rPr>
          <w:rFonts w:hint="eastAsia"/>
          <w:b w:val="0"/>
          <w:bCs/>
          <w:snapToGrid w:val="0"/>
          <w:color w:val="auto"/>
          <w:sz w:val="24"/>
          <w:szCs w:val="24"/>
          <w:highlight w:val="none"/>
          <w:lang w:val="en-US" w:eastAsia="zh-CN"/>
        </w:rPr>
        <w:t>pH、氨氮、硝酸盐、亚硝酸盐、挥发性酚类、氰化物、砷、汞、铬（六价）、总硬度、铅、氟、镉、铁、锰、溶解性总固体、高锰酸盐指数、硫酸盐、氯化物、总大肠菌群、细菌总数、</w:t>
      </w:r>
      <w:r>
        <w:rPr>
          <w:rFonts w:hint="eastAsia" w:ascii="Times New Roman" w:hAnsi="Times New Roman" w:eastAsia="宋体" w:cs="Times New Roman"/>
          <w:b w:val="0"/>
          <w:bCs/>
          <w:snapToGrid w:val="0"/>
          <w:color w:val="auto"/>
          <w:sz w:val="24"/>
          <w:szCs w:val="24"/>
          <w:highlight w:val="none"/>
          <w:lang w:val="en-US" w:eastAsia="zh-CN"/>
        </w:rPr>
        <w:t>石油类、动植物油、总磷、总氮、COD、BOD</w:t>
      </w:r>
      <w:r>
        <w:rPr>
          <w:rFonts w:hint="eastAsia" w:ascii="Times New Roman" w:hAnsi="Times New Roman" w:eastAsia="宋体" w:cs="Times New Roman"/>
          <w:b w:val="0"/>
          <w:bCs/>
          <w:snapToGrid w:val="0"/>
          <w:color w:val="auto"/>
          <w:sz w:val="24"/>
          <w:szCs w:val="24"/>
          <w:highlight w:val="none"/>
          <w:vertAlign w:val="subscript"/>
          <w:lang w:val="en-US" w:eastAsia="zh-CN"/>
        </w:rPr>
        <w:t>5</w:t>
      </w:r>
      <w:r>
        <w:rPr>
          <w:rFonts w:hint="eastAsia" w:ascii="Times New Roman" w:hAnsi="Times New Roman" w:eastAsia="宋体" w:cs="Times New Roman"/>
          <w:b w:val="0"/>
          <w:bCs/>
          <w:snapToGrid w:val="0"/>
          <w:color w:val="auto"/>
          <w:sz w:val="24"/>
          <w:szCs w:val="24"/>
          <w:highlight w:val="none"/>
          <w:vertAlign w:val="baseline"/>
          <w:lang w:val="en-US" w:eastAsia="zh-CN"/>
        </w:rPr>
        <w:t>，共35项。</w:t>
      </w:r>
      <w:r>
        <w:rPr>
          <w:rFonts w:hint="default" w:ascii="Times New Roman" w:hAnsi="Times New Roman" w:eastAsia="宋体" w:cs="Times New Roman"/>
          <w:color w:val="auto"/>
          <w:szCs w:val="24"/>
          <w:highlight w:val="none"/>
        </w:rPr>
        <w:t>具体分析方法见下表。</w:t>
      </w:r>
    </w:p>
    <w:p w14:paraId="2952C1E1">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default" w:ascii="Times New Roman" w:hAnsi="Times New Roman" w:cs="Times New Roman"/>
          <w:color w:val="auto"/>
          <w:highlight w:val="none"/>
          <w:lang w:val="en-US"/>
        </w:rPr>
        <w:t>1</w:t>
      </w:r>
      <w:r>
        <w:rPr>
          <w:rFonts w:hint="default" w:ascii="Times New Roman" w:hAnsi="Times New Roman" w:cs="Times New Roman"/>
          <w:color w:val="auto"/>
          <w:highlight w:val="none"/>
        </w:rPr>
        <w:t>检测分析方法一览表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1122"/>
        <w:gridCol w:w="2529"/>
        <w:gridCol w:w="1508"/>
        <w:gridCol w:w="1324"/>
        <w:gridCol w:w="1178"/>
      </w:tblGrid>
      <w:tr w14:paraId="2331C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390" w:type="pct"/>
            <w:tcBorders>
              <w:tl2br w:val="nil"/>
              <w:tr2bl w:val="nil"/>
            </w:tcBorders>
            <w:noWrap w:val="0"/>
            <w:vAlign w:val="center"/>
          </w:tcPr>
          <w:p w14:paraId="3EA9305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类别</w:t>
            </w:r>
          </w:p>
        </w:tc>
        <w:tc>
          <w:tcPr>
            <w:tcW w:w="675" w:type="pct"/>
            <w:tcBorders>
              <w:tl2br w:val="nil"/>
              <w:tr2bl w:val="nil"/>
            </w:tcBorders>
            <w:noWrap w:val="0"/>
            <w:vAlign w:val="center"/>
          </w:tcPr>
          <w:p w14:paraId="1FC76B4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检测项目</w:t>
            </w:r>
          </w:p>
        </w:tc>
        <w:tc>
          <w:tcPr>
            <w:tcW w:w="1521" w:type="pct"/>
            <w:tcBorders>
              <w:tl2br w:val="nil"/>
              <w:tr2bl w:val="nil"/>
            </w:tcBorders>
            <w:noWrap w:val="0"/>
            <w:vAlign w:val="center"/>
          </w:tcPr>
          <w:p w14:paraId="2C1E471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检测依据</w:t>
            </w:r>
          </w:p>
        </w:tc>
        <w:tc>
          <w:tcPr>
            <w:tcW w:w="907" w:type="pct"/>
            <w:tcBorders>
              <w:tl2br w:val="nil"/>
              <w:tr2bl w:val="nil"/>
            </w:tcBorders>
            <w:noWrap w:val="0"/>
            <w:vAlign w:val="center"/>
          </w:tcPr>
          <w:p w14:paraId="71CCF10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仪器名称</w:t>
            </w:r>
          </w:p>
        </w:tc>
        <w:tc>
          <w:tcPr>
            <w:tcW w:w="796" w:type="pct"/>
            <w:tcBorders>
              <w:tl2br w:val="nil"/>
              <w:tr2bl w:val="nil"/>
            </w:tcBorders>
            <w:noWrap w:val="0"/>
            <w:vAlign w:val="center"/>
          </w:tcPr>
          <w:p w14:paraId="68A63F14">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仪器型号</w:t>
            </w:r>
          </w:p>
        </w:tc>
        <w:tc>
          <w:tcPr>
            <w:tcW w:w="708" w:type="pct"/>
            <w:tcBorders>
              <w:tl2br w:val="nil"/>
              <w:tr2bl w:val="nil"/>
            </w:tcBorders>
            <w:noWrap w:val="0"/>
            <w:vAlign w:val="center"/>
          </w:tcPr>
          <w:p w14:paraId="23FE839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编号</w:t>
            </w:r>
          </w:p>
        </w:tc>
      </w:tr>
      <w:tr w14:paraId="638BB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restart"/>
            <w:tcBorders>
              <w:tl2br w:val="nil"/>
              <w:tr2bl w:val="nil"/>
            </w:tcBorders>
            <w:noWrap w:val="0"/>
            <w:vAlign w:val="center"/>
          </w:tcPr>
          <w:p w14:paraId="4591718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地下水</w:t>
            </w:r>
          </w:p>
        </w:tc>
        <w:tc>
          <w:tcPr>
            <w:tcW w:w="675" w:type="pct"/>
            <w:tcBorders>
              <w:tl2br w:val="nil"/>
              <w:tr2bl w:val="nil"/>
            </w:tcBorders>
            <w:noWrap w:val="0"/>
            <w:vAlign w:val="center"/>
          </w:tcPr>
          <w:p w14:paraId="409C9C9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Ca</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、Mg</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、Na</w:t>
            </w:r>
            <w:r>
              <w:rPr>
                <w:rFonts w:hint="default" w:ascii="Times New Roman" w:hAnsi="Times New Roman" w:eastAsia="宋体" w:cs="Times New Roman"/>
                <w:color w:val="auto"/>
                <w:highlight w:val="none"/>
                <w:vertAlign w:val="superscript"/>
              </w:rPr>
              <w:t>+</w:t>
            </w:r>
          </w:p>
        </w:tc>
        <w:tc>
          <w:tcPr>
            <w:tcW w:w="1521" w:type="pct"/>
            <w:tcBorders>
              <w:tl2br w:val="nil"/>
              <w:tr2bl w:val="nil"/>
            </w:tcBorders>
            <w:noWrap w:val="0"/>
            <w:vAlign w:val="center"/>
          </w:tcPr>
          <w:p w14:paraId="49040E66">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可溶性阳离子（Li</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、Na</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perscript"/>
              </w:rPr>
              <w:t>4+</w:t>
            </w: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、Ca</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、Mg</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）的测定 离子色谱法 HJ 812-2016</w:t>
            </w:r>
          </w:p>
        </w:tc>
        <w:tc>
          <w:tcPr>
            <w:tcW w:w="907" w:type="pct"/>
            <w:tcBorders>
              <w:tl2br w:val="nil"/>
              <w:tr2bl w:val="nil"/>
            </w:tcBorders>
            <w:noWrap w:val="0"/>
            <w:vAlign w:val="center"/>
          </w:tcPr>
          <w:p w14:paraId="13A407A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离子色谱仪</w:t>
            </w:r>
          </w:p>
        </w:tc>
        <w:tc>
          <w:tcPr>
            <w:tcW w:w="796" w:type="pct"/>
            <w:tcBorders>
              <w:tl2br w:val="nil"/>
              <w:tr2bl w:val="nil"/>
            </w:tcBorders>
            <w:noWrap w:val="0"/>
            <w:vAlign w:val="center"/>
          </w:tcPr>
          <w:p w14:paraId="3B76868B">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PIC-10</w:t>
            </w:r>
          </w:p>
        </w:tc>
        <w:tc>
          <w:tcPr>
            <w:tcW w:w="708" w:type="pct"/>
            <w:tcBorders>
              <w:tl2br w:val="nil"/>
              <w:tr2bl w:val="nil"/>
            </w:tcBorders>
            <w:noWrap w:val="0"/>
            <w:vAlign w:val="center"/>
          </w:tcPr>
          <w:p w14:paraId="1104113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HFYQ-1004</w:t>
            </w:r>
          </w:p>
        </w:tc>
      </w:tr>
      <w:tr w14:paraId="4CACB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A830E54">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44AA200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perscript"/>
              </w:rPr>
              <w:t>3-</w:t>
            </w:r>
          </w:p>
        </w:tc>
        <w:tc>
          <w:tcPr>
            <w:tcW w:w="1521" w:type="pct"/>
            <w:tcBorders>
              <w:tl2br w:val="nil"/>
              <w:tr2bl w:val="nil"/>
            </w:tcBorders>
            <w:noWrap w:val="0"/>
            <w:vAlign w:val="center"/>
          </w:tcPr>
          <w:p w14:paraId="2A8DAE95">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水和废水监测分析方法（第四版）国家环境保护总局（2002年）酸碱指示剂滴定法</w:t>
            </w:r>
          </w:p>
        </w:tc>
        <w:tc>
          <w:tcPr>
            <w:tcW w:w="907" w:type="pct"/>
            <w:tcBorders>
              <w:tl2br w:val="nil"/>
              <w:tr2bl w:val="nil"/>
            </w:tcBorders>
            <w:noWrap w:val="0"/>
            <w:vAlign w:val="center"/>
          </w:tcPr>
          <w:p w14:paraId="242228A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7B08B8D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ml</w:t>
            </w:r>
          </w:p>
        </w:tc>
        <w:tc>
          <w:tcPr>
            <w:tcW w:w="708" w:type="pct"/>
            <w:tcBorders>
              <w:tl2br w:val="nil"/>
              <w:tr2bl w:val="nil"/>
            </w:tcBorders>
            <w:noWrap w:val="0"/>
            <w:vAlign w:val="center"/>
          </w:tcPr>
          <w:p w14:paraId="134F0EF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p>
        </w:tc>
      </w:tr>
      <w:tr w14:paraId="4A91D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B8CC6C0">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2A1D13B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Cl</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2-</w:t>
            </w:r>
          </w:p>
        </w:tc>
        <w:tc>
          <w:tcPr>
            <w:tcW w:w="1521" w:type="pct"/>
            <w:tcBorders>
              <w:tl2br w:val="nil"/>
              <w:tr2bl w:val="nil"/>
            </w:tcBorders>
            <w:noWrap w:val="0"/>
            <w:vAlign w:val="center"/>
          </w:tcPr>
          <w:p w14:paraId="457C315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无机阴离子（F</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、Cl</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、Br</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、PO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、SO3</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）的测定离子色谱法HJ 84-2016</w:t>
            </w:r>
          </w:p>
        </w:tc>
        <w:tc>
          <w:tcPr>
            <w:tcW w:w="907" w:type="pct"/>
            <w:tcBorders>
              <w:tl2br w:val="nil"/>
              <w:tr2bl w:val="nil"/>
            </w:tcBorders>
            <w:noWrap w:val="0"/>
            <w:vAlign w:val="center"/>
          </w:tcPr>
          <w:p w14:paraId="3531223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离子色谱仪</w:t>
            </w:r>
          </w:p>
        </w:tc>
        <w:tc>
          <w:tcPr>
            <w:tcW w:w="796" w:type="pct"/>
            <w:tcBorders>
              <w:tl2br w:val="nil"/>
              <w:tr2bl w:val="nil"/>
            </w:tcBorders>
            <w:noWrap w:val="0"/>
            <w:vAlign w:val="center"/>
          </w:tcPr>
          <w:p w14:paraId="2FF101E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PIC-10</w:t>
            </w:r>
          </w:p>
        </w:tc>
        <w:tc>
          <w:tcPr>
            <w:tcW w:w="708" w:type="pct"/>
            <w:tcBorders>
              <w:tl2br w:val="nil"/>
              <w:tr2bl w:val="nil"/>
            </w:tcBorders>
            <w:noWrap w:val="0"/>
            <w:vAlign w:val="center"/>
          </w:tcPr>
          <w:p w14:paraId="56D7AD9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HFYQ-1004</w:t>
            </w:r>
          </w:p>
        </w:tc>
      </w:tr>
      <w:tr w14:paraId="6D827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2B8033A">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36AF389F">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pH</w:t>
            </w:r>
            <w:r>
              <w:rPr>
                <w:rFonts w:hint="eastAsia" w:ascii="Times New Roman" w:hAnsi="Times New Roman" w:eastAsia="宋体" w:cs="Times New Roman"/>
                <w:color w:val="auto"/>
                <w:highlight w:val="none"/>
                <w:lang w:val="en-US" w:eastAsia="zh-CN"/>
              </w:rPr>
              <w:t>值</w:t>
            </w:r>
          </w:p>
        </w:tc>
        <w:tc>
          <w:tcPr>
            <w:tcW w:w="1521" w:type="pct"/>
            <w:tcBorders>
              <w:tl2br w:val="nil"/>
              <w:tr2bl w:val="nil"/>
            </w:tcBorders>
            <w:noWrap w:val="0"/>
            <w:vAlign w:val="center"/>
          </w:tcPr>
          <w:p w14:paraId="371AD1A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pH 值的测定 电极法HJ 1147-2020</w:t>
            </w:r>
          </w:p>
        </w:tc>
        <w:tc>
          <w:tcPr>
            <w:tcW w:w="907" w:type="pct"/>
            <w:tcBorders>
              <w:tl2br w:val="nil"/>
              <w:tr2bl w:val="nil"/>
            </w:tcBorders>
            <w:noWrap w:val="0"/>
            <w:vAlign w:val="center"/>
          </w:tcPr>
          <w:p w14:paraId="612C2A1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笔式酸度计</w:t>
            </w:r>
          </w:p>
        </w:tc>
        <w:tc>
          <w:tcPr>
            <w:tcW w:w="796" w:type="pct"/>
            <w:tcBorders>
              <w:tl2br w:val="nil"/>
              <w:tr2bl w:val="nil"/>
            </w:tcBorders>
            <w:noWrap w:val="0"/>
            <w:vAlign w:val="center"/>
          </w:tcPr>
          <w:p w14:paraId="7845207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pH-100pro+</w:t>
            </w:r>
          </w:p>
        </w:tc>
        <w:tc>
          <w:tcPr>
            <w:tcW w:w="708" w:type="pct"/>
            <w:tcBorders>
              <w:tl2br w:val="nil"/>
              <w:tr2bl w:val="nil"/>
            </w:tcBorders>
            <w:noWrap w:val="0"/>
            <w:vAlign w:val="center"/>
          </w:tcPr>
          <w:p w14:paraId="0836066C">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HFYQ-2053</w:t>
            </w:r>
          </w:p>
        </w:tc>
      </w:tr>
      <w:tr w14:paraId="14279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B7669FD">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18B14287">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高锰酸盐指数</w:t>
            </w:r>
          </w:p>
        </w:tc>
        <w:tc>
          <w:tcPr>
            <w:tcW w:w="1521" w:type="pct"/>
            <w:vMerge w:val="restart"/>
            <w:tcBorders>
              <w:tl2br w:val="nil"/>
              <w:tr2bl w:val="nil"/>
            </w:tcBorders>
            <w:noWrap w:val="0"/>
            <w:vAlign w:val="center"/>
          </w:tcPr>
          <w:p w14:paraId="6383F38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高锰酸盐指数的测定GB 11892-89</w:t>
            </w:r>
          </w:p>
        </w:tc>
        <w:tc>
          <w:tcPr>
            <w:tcW w:w="907" w:type="pct"/>
            <w:tcBorders>
              <w:tl2br w:val="nil"/>
              <w:tr2bl w:val="nil"/>
            </w:tcBorders>
            <w:noWrap w:val="0"/>
            <w:vAlign w:val="center"/>
          </w:tcPr>
          <w:p w14:paraId="2DB1B45A">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37D3EBC7">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rPr>
              <w:t>ml</w:t>
            </w:r>
          </w:p>
        </w:tc>
        <w:tc>
          <w:tcPr>
            <w:tcW w:w="708" w:type="pct"/>
            <w:tcBorders>
              <w:tl2br w:val="nil"/>
              <w:tr2bl w:val="nil"/>
            </w:tcBorders>
            <w:noWrap w:val="0"/>
            <w:vAlign w:val="center"/>
          </w:tcPr>
          <w:p w14:paraId="5B10B7A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201AA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32DA4CD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76EB3D43">
            <w:pPr>
              <w:pStyle w:val="146"/>
              <w:ind w:left="0" w:leftChars="0" w:firstLine="0" w:firstLineChars="0"/>
              <w:rPr>
                <w:rFonts w:hint="default" w:ascii="Times New Roman" w:hAnsi="Times New Roman" w:eastAsia="宋体" w:cs="Times New Roman"/>
                <w:color w:val="auto"/>
                <w:highlight w:val="none"/>
              </w:rPr>
            </w:pPr>
          </w:p>
        </w:tc>
        <w:tc>
          <w:tcPr>
            <w:tcW w:w="1521" w:type="pct"/>
            <w:vMerge w:val="continue"/>
            <w:tcBorders>
              <w:tl2br w:val="nil"/>
              <w:tr2bl w:val="nil"/>
            </w:tcBorders>
            <w:noWrap w:val="0"/>
            <w:vAlign w:val="center"/>
          </w:tcPr>
          <w:p w14:paraId="139ED8C4">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42FB8E3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电热恒温水浴锅</w:t>
            </w:r>
          </w:p>
        </w:tc>
        <w:tc>
          <w:tcPr>
            <w:tcW w:w="796" w:type="pct"/>
            <w:tcBorders>
              <w:tl2br w:val="nil"/>
              <w:tr2bl w:val="nil"/>
            </w:tcBorders>
            <w:noWrap w:val="0"/>
            <w:vAlign w:val="center"/>
          </w:tcPr>
          <w:p w14:paraId="574E6AB3">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DZKW-S4</w:t>
            </w:r>
          </w:p>
        </w:tc>
        <w:tc>
          <w:tcPr>
            <w:tcW w:w="708" w:type="pct"/>
            <w:tcBorders>
              <w:tl2br w:val="nil"/>
              <w:tr2bl w:val="nil"/>
            </w:tcBorders>
            <w:noWrap w:val="0"/>
            <w:vAlign w:val="center"/>
          </w:tcPr>
          <w:p w14:paraId="1AA019EF">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HFYQ-1033</w:t>
            </w:r>
          </w:p>
        </w:tc>
      </w:tr>
      <w:tr w14:paraId="6C86CD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2F1F27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2BB6E29F">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氨氮</w:t>
            </w:r>
          </w:p>
        </w:tc>
        <w:tc>
          <w:tcPr>
            <w:tcW w:w="1521" w:type="pct"/>
            <w:tcBorders>
              <w:tl2br w:val="nil"/>
              <w:tr2bl w:val="nil"/>
            </w:tcBorders>
            <w:noWrap w:val="0"/>
            <w:vAlign w:val="center"/>
          </w:tcPr>
          <w:p w14:paraId="653EA6A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水质 氨氮的测定 纳氏试剂分光光度法HJ 535-2009</w:t>
            </w:r>
          </w:p>
        </w:tc>
        <w:tc>
          <w:tcPr>
            <w:tcW w:w="907" w:type="pct"/>
            <w:tcBorders>
              <w:tl2br w:val="nil"/>
              <w:tr2bl w:val="nil"/>
            </w:tcBorders>
            <w:noWrap w:val="0"/>
            <w:vAlign w:val="center"/>
          </w:tcPr>
          <w:p w14:paraId="5E92755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79227A2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456AE36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74C1A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1563E52">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514B8B86">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总硬度</w:t>
            </w:r>
          </w:p>
        </w:tc>
        <w:tc>
          <w:tcPr>
            <w:tcW w:w="1521" w:type="pct"/>
            <w:tcBorders>
              <w:tl2br w:val="nil"/>
              <w:tr2bl w:val="nil"/>
            </w:tcBorders>
            <w:noWrap w:val="0"/>
            <w:vAlign w:val="center"/>
          </w:tcPr>
          <w:p w14:paraId="16F5F57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地下水质分析方法第 15 部分：总硬度的测定 乙二胺四乙酸二钠滴定法DZ/T 0064.15-2021</w:t>
            </w:r>
          </w:p>
        </w:tc>
        <w:tc>
          <w:tcPr>
            <w:tcW w:w="907" w:type="pct"/>
            <w:tcBorders>
              <w:tl2br w:val="nil"/>
              <w:tr2bl w:val="nil"/>
            </w:tcBorders>
            <w:noWrap w:val="0"/>
            <w:vAlign w:val="center"/>
          </w:tcPr>
          <w:p w14:paraId="216F0BA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5BB78A7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rPr>
              <w:t>ml</w:t>
            </w:r>
          </w:p>
        </w:tc>
        <w:tc>
          <w:tcPr>
            <w:tcW w:w="708" w:type="pct"/>
            <w:tcBorders>
              <w:tl2br w:val="nil"/>
              <w:tr2bl w:val="nil"/>
            </w:tcBorders>
            <w:noWrap w:val="0"/>
            <w:vAlign w:val="center"/>
          </w:tcPr>
          <w:p w14:paraId="0EB4EC05">
            <w:pPr>
              <w:pStyle w:val="146"/>
              <w:ind w:left="0" w:leftChars="0" w:firstLine="0" w:firstLine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w:t>
            </w:r>
          </w:p>
        </w:tc>
      </w:tr>
      <w:tr w14:paraId="7AD81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15DE570E">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4E88216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硝酸盐</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以N计</w:t>
            </w:r>
            <w:r>
              <w:rPr>
                <w:rFonts w:hint="eastAsia" w:ascii="Times New Roman" w:hAnsi="Times New Roman" w:eastAsia="宋体" w:cs="Times New Roman"/>
                <w:color w:val="auto"/>
                <w:highlight w:val="none"/>
                <w:lang w:eastAsia="zh-CN"/>
              </w:rPr>
              <w:t>）</w:t>
            </w:r>
          </w:p>
        </w:tc>
        <w:tc>
          <w:tcPr>
            <w:tcW w:w="1521" w:type="pct"/>
            <w:tcBorders>
              <w:tl2br w:val="nil"/>
              <w:tr2bl w:val="nil"/>
            </w:tcBorders>
            <w:noWrap w:val="0"/>
            <w:vAlign w:val="center"/>
          </w:tcPr>
          <w:p w14:paraId="2465A4EB">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硝酸盐氮的测定 酚二磺酸分光光度法</w:t>
            </w:r>
          </w:p>
          <w:p w14:paraId="283EE76A">
            <w:pPr>
              <w:pStyle w:val="146"/>
              <w:ind w:left="0" w:leftChars="0" w:firstLine="0" w:firstLineChars="0"/>
              <w:rPr>
                <w:rFonts w:hint="default" w:ascii="Times New Roman" w:hAnsi="Times New Roman" w:eastAsia="宋体" w:cs="Times New Roman"/>
                <w:color w:val="auto"/>
                <w:highlight w:val="none"/>
                <w:lang w:val="fr-FR" w:eastAsia="zh-CN"/>
              </w:rPr>
            </w:pPr>
            <w:r>
              <w:rPr>
                <w:rFonts w:hint="default" w:ascii="Times New Roman" w:hAnsi="Times New Roman" w:eastAsia="宋体" w:cs="Times New Roman"/>
                <w:color w:val="auto"/>
                <w:highlight w:val="none"/>
              </w:rPr>
              <w:t>GB</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7480-87</w:t>
            </w:r>
          </w:p>
        </w:tc>
        <w:tc>
          <w:tcPr>
            <w:tcW w:w="907" w:type="pct"/>
            <w:tcBorders>
              <w:tl2br w:val="nil"/>
              <w:tr2bl w:val="nil"/>
            </w:tcBorders>
            <w:noWrap w:val="0"/>
            <w:vAlign w:val="center"/>
          </w:tcPr>
          <w:p w14:paraId="5B14CE4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170D43A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416FD32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46F48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4B9F79A">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3DDB3FF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亚硝酸盐（以N计）</w:t>
            </w:r>
          </w:p>
        </w:tc>
        <w:tc>
          <w:tcPr>
            <w:tcW w:w="1521" w:type="pct"/>
            <w:tcBorders>
              <w:tl2br w:val="nil"/>
              <w:tr2bl w:val="nil"/>
            </w:tcBorders>
            <w:noWrap w:val="0"/>
            <w:vAlign w:val="center"/>
          </w:tcPr>
          <w:p w14:paraId="75E33C62">
            <w:pPr>
              <w:pStyle w:val="146"/>
              <w:ind w:left="0" w:leftChars="0" w:firstLine="0" w:firstLineChars="0"/>
              <w:rPr>
                <w:rFonts w:hint="default" w:ascii="Times New Roman" w:hAnsi="Times New Roman" w:eastAsia="宋体" w:cs="Times New Roman"/>
                <w:color w:val="auto"/>
                <w:highlight w:val="none"/>
                <w:lang w:val="fr-FR" w:eastAsia="zh-CN"/>
              </w:rPr>
            </w:pPr>
            <w:r>
              <w:rPr>
                <w:rFonts w:hint="default" w:ascii="Times New Roman" w:hAnsi="Times New Roman" w:eastAsia="宋体" w:cs="Times New Roman"/>
                <w:color w:val="auto"/>
                <w:highlight w:val="none"/>
              </w:rPr>
              <w:t>水质 亚硝酸盐氮的测定 分光光度法GB 7493-87</w:t>
            </w:r>
          </w:p>
        </w:tc>
        <w:tc>
          <w:tcPr>
            <w:tcW w:w="907" w:type="pct"/>
            <w:tcBorders>
              <w:tl2br w:val="nil"/>
              <w:tr2bl w:val="nil"/>
            </w:tcBorders>
            <w:noWrap w:val="0"/>
            <w:vAlign w:val="center"/>
          </w:tcPr>
          <w:p w14:paraId="67FDF41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2F78DEC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5EC8EBA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070AA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019210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495CBFA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硫酸盐</w:t>
            </w:r>
          </w:p>
        </w:tc>
        <w:tc>
          <w:tcPr>
            <w:tcW w:w="1521" w:type="pct"/>
            <w:tcBorders>
              <w:tl2br w:val="nil"/>
              <w:tr2bl w:val="nil"/>
            </w:tcBorders>
            <w:noWrap w:val="0"/>
            <w:vAlign w:val="center"/>
          </w:tcPr>
          <w:p w14:paraId="66A5261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地下水质分析方法第 64 部分：硫酸盐的测定 乙二胺四乙酸二钠—钡滴定法DZ/T 0064.64-2021</w:t>
            </w:r>
          </w:p>
        </w:tc>
        <w:tc>
          <w:tcPr>
            <w:tcW w:w="907" w:type="pct"/>
            <w:tcBorders>
              <w:tl2br w:val="nil"/>
              <w:tr2bl w:val="nil"/>
            </w:tcBorders>
            <w:noWrap w:val="0"/>
            <w:vAlign w:val="center"/>
          </w:tcPr>
          <w:p w14:paraId="73F7752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62AB366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rPr>
              <w:t>ml</w:t>
            </w:r>
          </w:p>
        </w:tc>
        <w:tc>
          <w:tcPr>
            <w:tcW w:w="708" w:type="pct"/>
            <w:tcBorders>
              <w:tl2br w:val="nil"/>
              <w:tr2bl w:val="nil"/>
            </w:tcBorders>
            <w:noWrap w:val="0"/>
            <w:vAlign w:val="center"/>
          </w:tcPr>
          <w:p w14:paraId="1D29DAE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655273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A7B515A">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65A1A03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氯化物</w:t>
            </w:r>
          </w:p>
        </w:tc>
        <w:tc>
          <w:tcPr>
            <w:tcW w:w="1521" w:type="pct"/>
            <w:tcBorders>
              <w:tl2br w:val="nil"/>
              <w:tr2bl w:val="nil"/>
            </w:tcBorders>
            <w:noWrap w:val="0"/>
            <w:vAlign w:val="center"/>
          </w:tcPr>
          <w:p w14:paraId="2141FC30">
            <w:pPr>
              <w:pStyle w:val="146"/>
              <w:ind w:left="0" w:leftChars="0" w:firstLine="0" w:firstLineChars="0"/>
              <w:rPr>
                <w:rFonts w:hint="default" w:ascii="Times New Roman" w:hAnsi="Times New Roman" w:eastAsia="宋体" w:cs="Times New Roman"/>
                <w:color w:val="auto"/>
                <w:highlight w:val="none"/>
                <w:lang w:val="fr-FR" w:eastAsia="zh-CN"/>
              </w:rPr>
            </w:pPr>
            <w:r>
              <w:rPr>
                <w:rFonts w:hint="default" w:ascii="Times New Roman" w:hAnsi="Times New Roman" w:eastAsia="宋体" w:cs="Times New Roman"/>
                <w:color w:val="auto"/>
                <w:highlight w:val="none"/>
              </w:rPr>
              <w:t>水质 氯化物的测定 硝酸银滴定GB 11896-89</w:t>
            </w:r>
          </w:p>
        </w:tc>
        <w:tc>
          <w:tcPr>
            <w:tcW w:w="907" w:type="pct"/>
            <w:tcBorders>
              <w:tl2br w:val="nil"/>
              <w:tr2bl w:val="nil"/>
            </w:tcBorders>
            <w:noWrap w:val="0"/>
            <w:vAlign w:val="center"/>
          </w:tcPr>
          <w:p w14:paraId="428E124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29A88C5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r>
              <w:rPr>
                <w:rFonts w:hint="default" w:ascii="Times New Roman" w:hAnsi="Times New Roman" w:eastAsia="宋体" w:cs="Times New Roman"/>
                <w:color w:val="auto"/>
                <w:highlight w:val="none"/>
              </w:rPr>
              <w:t>ml</w:t>
            </w:r>
          </w:p>
        </w:tc>
        <w:tc>
          <w:tcPr>
            <w:tcW w:w="708" w:type="pct"/>
            <w:tcBorders>
              <w:tl2br w:val="nil"/>
              <w:tr2bl w:val="nil"/>
            </w:tcBorders>
            <w:noWrap w:val="0"/>
            <w:vAlign w:val="center"/>
          </w:tcPr>
          <w:p w14:paraId="49D7038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619BC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45CA52A7">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6058462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铁</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锰</w:t>
            </w:r>
          </w:p>
        </w:tc>
        <w:tc>
          <w:tcPr>
            <w:tcW w:w="1521" w:type="pct"/>
            <w:tcBorders>
              <w:tl2br w:val="nil"/>
              <w:tr2bl w:val="nil"/>
            </w:tcBorders>
            <w:noWrap w:val="0"/>
            <w:vAlign w:val="center"/>
          </w:tcPr>
          <w:p w14:paraId="360B91E6">
            <w:pPr>
              <w:pStyle w:val="146"/>
              <w:ind w:left="0" w:leftChars="0" w:firstLine="0" w:firstLineChars="0"/>
              <w:rPr>
                <w:rFonts w:hint="default" w:ascii="Times New Roman" w:hAnsi="Times New Roman" w:eastAsia="宋体" w:cs="Times New Roman"/>
                <w:color w:val="auto"/>
                <w:highlight w:val="none"/>
                <w:lang w:val="fr-FR" w:eastAsia="zh-CN"/>
              </w:rPr>
            </w:pPr>
            <w:r>
              <w:rPr>
                <w:rFonts w:hint="default" w:ascii="Times New Roman" w:hAnsi="Times New Roman" w:eastAsia="宋体" w:cs="Times New Roman"/>
                <w:color w:val="auto"/>
                <w:highlight w:val="none"/>
              </w:rPr>
              <w:t>水质 铁、锰的测定 火焰原子吸收分光光度法GB 11911-89</w:t>
            </w:r>
          </w:p>
        </w:tc>
        <w:tc>
          <w:tcPr>
            <w:tcW w:w="907" w:type="pct"/>
            <w:tcBorders>
              <w:tl2br w:val="nil"/>
              <w:tr2bl w:val="nil"/>
            </w:tcBorders>
            <w:noWrap w:val="0"/>
            <w:vAlign w:val="center"/>
          </w:tcPr>
          <w:p w14:paraId="0552123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原子吸收分光光度计</w:t>
            </w:r>
          </w:p>
        </w:tc>
        <w:tc>
          <w:tcPr>
            <w:tcW w:w="796" w:type="pct"/>
            <w:tcBorders>
              <w:tl2br w:val="nil"/>
              <w:tr2bl w:val="nil"/>
            </w:tcBorders>
            <w:noWrap w:val="0"/>
            <w:vAlign w:val="center"/>
          </w:tcPr>
          <w:p w14:paraId="77FD4E1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TAS-990AFG</w:t>
            </w:r>
          </w:p>
        </w:tc>
        <w:tc>
          <w:tcPr>
            <w:tcW w:w="708" w:type="pct"/>
            <w:tcBorders>
              <w:tl2br w:val="nil"/>
              <w:tr2bl w:val="nil"/>
            </w:tcBorders>
            <w:noWrap w:val="0"/>
            <w:vAlign w:val="center"/>
          </w:tcPr>
          <w:p w14:paraId="3BB2BB3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HFYQ-1005</w:t>
            </w:r>
          </w:p>
        </w:tc>
      </w:tr>
      <w:tr w14:paraId="3A029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4ED8E9BE">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1E1B706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总大</w:t>
            </w:r>
          </w:p>
          <w:p w14:paraId="34D797C1">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肠菌群</w:t>
            </w:r>
          </w:p>
        </w:tc>
        <w:tc>
          <w:tcPr>
            <w:tcW w:w="1521" w:type="pct"/>
            <w:vMerge w:val="restart"/>
            <w:tcBorders>
              <w:tl2br w:val="nil"/>
              <w:tr2bl w:val="nil"/>
            </w:tcBorders>
            <w:noWrap w:val="0"/>
            <w:vAlign w:val="center"/>
          </w:tcPr>
          <w:p w14:paraId="4EBE0471">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生活饮用水标准检验方法 第12部分：微生物指标GB/T 5750.12-2023 5</w:t>
            </w:r>
          </w:p>
        </w:tc>
        <w:tc>
          <w:tcPr>
            <w:tcW w:w="907" w:type="pct"/>
            <w:tcBorders>
              <w:tl2br w:val="nil"/>
              <w:tr2bl w:val="nil"/>
            </w:tcBorders>
            <w:noWrap w:val="0"/>
            <w:vAlign w:val="center"/>
          </w:tcPr>
          <w:p w14:paraId="4A789279">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电热恒温培养箱</w:t>
            </w:r>
          </w:p>
        </w:tc>
        <w:tc>
          <w:tcPr>
            <w:tcW w:w="796" w:type="pct"/>
            <w:tcBorders>
              <w:tl2br w:val="nil"/>
              <w:tr2bl w:val="nil"/>
            </w:tcBorders>
            <w:noWrap w:val="0"/>
            <w:vAlign w:val="center"/>
          </w:tcPr>
          <w:p w14:paraId="762CF88C">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HN-36BS</w:t>
            </w:r>
          </w:p>
        </w:tc>
        <w:tc>
          <w:tcPr>
            <w:tcW w:w="708" w:type="pct"/>
            <w:tcBorders>
              <w:tl2br w:val="nil"/>
              <w:tr2bl w:val="nil"/>
            </w:tcBorders>
            <w:noWrap w:val="0"/>
            <w:vAlign w:val="center"/>
          </w:tcPr>
          <w:p w14:paraId="084A069B">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HFYQ-1022</w:t>
            </w:r>
          </w:p>
        </w:tc>
      </w:tr>
      <w:tr w14:paraId="69C697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0ED45ECC">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36428632">
            <w:pPr>
              <w:pStyle w:val="146"/>
              <w:ind w:left="0" w:leftChars="0" w:firstLine="0" w:firstLineChars="0"/>
              <w:rPr>
                <w:rFonts w:hint="default" w:ascii="Times New Roman" w:hAnsi="Times New Roman" w:eastAsia="宋体" w:cs="Times New Roman"/>
                <w:color w:val="auto"/>
                <w:highlight w:val="none"/>
              </w:rPr>
            </w:pPr>
          </w:p>
        </w:tc>
        <w:tc>
          <w:tcPr>
            <w:tcW w:w="1521" w:type="pct"/>
            <w:vMerge w:val="continue"/>
            <w:tcBorders>
              <w:tl2br w:val="nil"/>
              <w:tr2bl w:val="nil"/>
            </w:tcBorders>
            <w:noWrap w:val="0"/>
            <w:vAlign w:val="center"/>
          </w:tcPr>
          <w:p w14:paraId="76A82297">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054FBBD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手提式压力蒸汽灭菌器</w:t>
            </w:r>
          </w:p>
        </w:tc>
        <w:tc>
          <w:tcPr>
            <w:tcW w:w="796" w:type="pct"/>
            <w:tcBorders>
              <w:tl2br w:val="nil"/>
              <w:tr2bl w:val="nil"/>
            </w:tcBorders>
            <w:noWrap w:val="0"/>
            <w:vAlign w:val="center"/>
          </w:tcPr>
          <w:p w14:paraId="6001AF50">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JSM280G-18</w:t>
            </w:r>
          </w:p>
        </w:tc>
        <w:tc>
          <w:tcPr>
            <w:tcW w:w="708" w:type="pct"/>
            <w:tcBorders>
              <w:tl2br w:val="nil"/>
              <w:tr2bl w:val="nil"/>
            </w:tcBorders>
            <w:noWrap w:val="0"/>
            <w:vAlign w:val="center"/>
          </w:tcPr>
          <w:p w14:paraId="63B3C1D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HFYQ-1019</w:t>
            </w:r>
          </w:p>
        </w:tc>
      </w:tr>
      <w:tr w14:paraId="0FBEA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5D7EB6C">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01E485C9">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挥发酚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类</w:t>
            </w:r>
            <w:r>
              <w:rPr>
                <w:rFonts w:hint="default" w:ascii="Times New Roman" w:hAnsi="Times New Roman" w:eastAsia="宋体" w:cs="Times New Roman"/>
                <w:color w:val="auto"/>
                <w:highlight w:val="none"/>
                <w:lang w:eastAsia="zh-CN"/>
              </w:rPr>
              <w:t>）</w:t>
            </w:r>
          </w:p>
        </w:tc>
        <w:tc>
          <w:tcPr>
            <w:tcW w:w="1521" w:type="pct"/>
            <w:tcBorders>
              <w:tl2br w:val="nil"/>
              <w:tr2bl w:val="nil"/>
            </w:tcBorders>
            <w:noWrap w:val="0"/>
            <w:vAlign w:val="center"/>
          </w:tcPr>
          <w:p w14:paraId="744B28BE">
            <w:pPr>
              <w:pStyle w:val="146"/>
              <w:ind w:left="0" w:leftChars="0" w:firstLine="0" w:firstLineChars="0"/>
              <w:rPr>
                <w:rFonts w:hint="default" w:ascii="Times New Roman" w:hAnsi="Times New Roman" w:eastAsia="宋体" w:cs="Times New Roman"/>
                <w:color w:val="auto"/>
                <w:highlight w:val="none"/>
                <w:lang w:val="fr-FR" w:eastAsia="zh-CN"/>
              </w:rPr>
            </w:pPr>
            <w:r>
              <w:rPr>
                <w:rFonts w:hint="default" w:ascii="Times New Roman" w:hAnsi="Times New Roman" w:eastAsia="宋体" w:cs="Times New Roman"/>
                <w:color w:val="auto"/>
                <w:highlight w:val="none"/>
              </w:rPr>
              <w:t>水质 挥发酚的测定 4-氨基安替比林分光光度法HJ 503-2009</w:t>
            </w:r>
          </w:p>
        </w:tc>
        <w:tc>
          <w:tcPr>
            <w:tcW w:w="907" w:type="pct"/>
            <w:tcBorders>
              <w:tl2br w:val="nil"/>
              <w:tr2bl w:val="nil"/>
            </w:tcBorders>
            <w:noWrap w:val="0"/>
            <w:vAlign w:val="center"/>
          </w:tcPr>
          <w:p w14:paraId="5A10606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02FD05D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42BC528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02C25E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BF0E323">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5D94228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氰化物</w:t>
            </w:r>
          </w:p>
        </w:tc>
        <w:tc>
          <w:tcPr>
            <w:tcW w:w="1521" w:type="pct"/>
            <w:tcBorders>
              <w:tl2br w:val="nil"/>
              <w:tr2bl w:val="nil"/>
            </w:tcBorders>
            <w:noWrap w:val="0"/>
            <w:vAlign w:val="center"/>
          </w:tcPr>
          <w:p w14:paraId="1F48967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氰化物的测定 容量法和分光光度法HJ</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484-2009</w:t>
            </w:r>
          </w:p>
        </w:tc>
        <w:tc>
          <w:tcPr>
            <w:tcW w:w="907" w:type="pct"/>
            <w:tcBorders>
              <w:tl2br w:val="nil"/>
              <w:tr2bl w:val="nil"/>
            </w:tcBorders>
            <w:noWrap w:val="0"/>
            <w:vAlign w:val="center"/>
          </w:tcPr>
          <w:p w14:paraId="59DBF13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24CB47B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5D77496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7FDCD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274996A">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2B5090B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砷</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汞</w:t>
            </w:r>
          </w:p>
        </w:tc>
        <w:tc>
          <w:tcPr>
            <w:tcW w:w="1521" w:type="pct"/>
            <w:tcBorders>
              <w:tl2br w:val="nil"/>
              <w:tr2bl w:val="nil"/>
            </w:tcBorders>
            <w:noWrap w:val="0"/>
            <w:vAlign w:val="center"/>
          </w:tcPr>
          <w:p w14:paraId="3B08083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汞、砷、硒、铋和锑的测定 原子荧光法HJ 694-2014</w:t>
            </w:r>
          </w:p>
        </w:tc>
        <w:tc>
          <w:tcPr>
            <w:tcW w:w="907" w:type="pct"/>
            <w:tcBorders>
              <w:tl2br w:val="nil"/>
              <w:tr2bl w:val="nil"/>
            </w:tcBorders>
            <w:noWrap w:val="0"/>
            <w:vAlign w:val="center"/>
          </w:tcPr>
          <w:p w14:paraId="194819B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原子荧光光度计</w:t>
            </w:r>
          </w:p>
        </w:tc>
        <w:tc>
          <w:tcPr>
            <w:tcW w:w="796" w:type="pct"/>
            <w:tcBorders>
              <w:tl2br w:val="nil"/>
              <w:tr2bl w:val="nil"/>
            </w:tcBorders>
            <w:noWrap w:val="0"/>
            <w:vAlign w:val="center"/>
          </w:tcPr>
          <w:p w14:paraId="01A1BCE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AFS-2202E</w:t>
            </w:r>
          </w:p>
        </w:tc>
        <w:tc>
          <w:tcPr>
            <w:tcW w:w="708" w:type="pct"/>
            <w:tcBorders>
              <w:tl2br w:val="nil"/>
              <w:tr2bl w:val="nil"/>
            </w:tcBorders>
            <w:noWrap w:val="0"/>
            <w:vAlign w:val="center"/>
          </w:tcPr>
          <w:p w14:paraId="6C91838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HFYQ-1006</w:t>
            </w:r>
          </w:p>
        </w:tc>
      </w:tr>
      <w:tr w14:paraId="688C44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03065EC">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07F45A1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六价铬</w:t>
            </w:r>
          </w:p>
        </w:tc>
        <w:tc>
          <w:tcPr>
            <w:tcW w:w="1521" w:type="pct"/>
            <w:tcBorders>
              <w:tl2br w:val="nil"/>
              <w:tr2bl w:val="nil"/>
            </w:tcBorders>
            <w:noWrap w:val="0"/>
            <w:vAlign w:val="center"/>
          </w:tcPr>
          <w:p w14:paraId="27F40FF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水质 六价铬的测定 二苯碳酰二肼分光光度法 </w:t>
            </w:r>
            <w:r>
              <w:rPr>
                <w:rFonts w:hint="default" w:ascii="Times New Roman" w:hAnsi="Times New Roman" w:eastAsia="宋体" w:cs="Times New Roman"/>
                <w:color w:val="auto"/>
                <w:highlight w:val="none"/>
                <w:lang w:eastAsia="zh-CN"/>
              </w:rPr>
              <w:t>GB 7467-87</w:t>
            </w:r>
          </w:p>
        </w:tc>
        <w:tc>
          <w:tcPr>
            <w:tcW w:w="907" w:type="pct"/>
            <w:tcBorders>
              <w:tl2br w:val="nil"/>
              <w:tr2bl w:val="nil"/>
            </w:tcBorders>
            <w:noWrap w:val="0"/>
            <w:vAlign w:val="center"/>
          </w:tcPr>
          <w:p w14:paraId="0DC09F5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06E1BA3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3426550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57E12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0B832032">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212B7BD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铅</w:t>
            </w:r>
          </w:p>
        </w:tc>
        <w:tc>
          <w:tcPr>
            <w:tcW w:w="1521" w:type="pct"/>
            <w:tcBorders>
              <w:tl2br w:val="nil"/>
              <w:tr2bl w:val="nil"/>
            </w:tcBorders>
            <w:noWrap w:val="0"/>
            <w:vAlign w:val="center"/>
          </w:tcPr>
          <w:p w14:paraId="2B971EB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铜、锌、铅、镉的测定</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原子吸收分光光度法GB 7475-87</w:t>
            </w:r>
          </w:p>
        </w:tc>
        <w:tc>
          <w:tcPr>
            <w:tcW w:w="907" w:type="pct"/>
            <w:tcBorders>
              <w:tl2br w:val="nil"/>
              <w:tr2bl w:val="nil"/>
            </w:tcBorders>
            <w:noWrap w:val="0"/>
            <w:vAlign w:val="center"/>
          </w:tcPr>
          <w:p w14:paraId="0CAF5BC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原子吸收分光光度计</w:t>
            </w:r>
          </w:p>
        </w:tc>
        <w:tc>
          <w:tcPr>
            <w:tcW w:w="796" w:type="pct"/>
            <w:tcBorders>
              <w:tl2br w:val="nil"/>
              <w:tr2bl w:val="nil"/>
            </w:tcBorders>
            <w:noWrap w:val="0"/>
            <w:vAlign w:val="center"/>
          </w:tcPr>
          <w:p w14:paraId="40D56F3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TAS-990AFG</w:t>
            </w:r>
          </w:p>
        </w:tc>
        <w:tc>
          <w:tcPr>
            <w:tcW w:w="708" w:type="pct"/>
            <w:tcBorders>
              <w:tl2br w:val="nil"/>
              <w:tr2bl w:val="nil"/>
            </w:tcBorders>
            <w:noWrap w:val="0"/>
            <w:vAlign w:val="center"/>
          </w:tcPr>
          <w:p w14:paraId="3BCA3F3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HFYQ-1005</w:t>
            </w:r>
          </w:p>
        </w:tc>
      </w:tr>
      <w:tr w14:paraId="76ACD0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10F4997">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0F3F5D0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镉</w:t>
            </w:r>
          </w:p>
        </w:tc>
        <w:tc>
          <w:tcPr>
            <w:tcW w:w="1521" w:type="pct"/>
            <w:tcBorders>
              <w:tl2br w:val="nil"/>
              <w:tr2bl w:val="nil"/>
            </w:tcBorders>
            <w:noWrap w:val="0"/>
            <w:vAlign w:val="center"/>
          </w:tcPr>
          <w:p w14:paraId="14DF75A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铜、锌、铅、镉的测定</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原子吸收分光光度法GB 7475-87</w:t>
            </w:r>
          </w:p>
        </w:tc>
        <w:tc>
          <w:tcPr>
            <w:tcW w:w="907" w:type="pct"/>
            <w:tcBorders>
              <w:tl2br w:val="nil"/>
              <w:tr2bl w:val="nil"/>
            </w:tcBorders>
            <w:noWrap w:val="0"/>
            <w:vAlign w:val="center"/>
          </w:tcPr>
          <w:p w14:paraId="688234F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原子吸收分光光度计</w:t>
            </w:r>
          </w:p>
        </w:tc>
        <w:tc>
          <w:tcPr>
            <w:tcW w:w="796" w:type="pct"/>
            <w:tcBorders>
              <w:tl2br w:val="nil"/>
              <w:tr2bl w:val="nil"/>
            </w:tcBorders>
            <w:noWrap w:val="0"/>
            <w:vAlign w:val="center"/>
          </w:tcPr>
          <w:p w14:paraId="13A8357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TAS-990AFG</w:t>
            </w:r>
          </w:p>
        </w:tc>
        <w:tc>
          <w:tcPr>
            <w:tcW w:w="708" w:type="pct"/>
            <w:tcBorders>
              <w:tl2br w:val="nil"/>
              <w:tr2bl w:val="nil"/>
            </w:tcBorders>
            <w:noWrap w:val="0"/>
            <w:vAlign w:val="center"/>
          </w:tcPr>
          <w:p w14:paraId="212DB49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HFYQ-1005</w:t>
            </w:r>
          </w:p>
        </w:tc>
      </w:tr>
      <w:tr w14:paraId="754FEE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58D35BCD">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2F08A77F">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氟</w:t>
            </w:r>
            <w:r>
              <w:rPr>
                <w:rFonts w:hint="default" w:ascii="Times New Roman" w:hAnsi="Times New Roman" w:eastAsia="宋体" w:cs="Times New Roman"/>
                <w:color w:val="auto"/>
                <w:highlight w:val="none"/>
                <w:lang w:eastAsia="zh-CN"/>
              </w:rPr>
              <w:t>化物</w:t>
            </w:r>
          </w:p>
        </w:tc>
        <w:tc>
          <w:tcPr>
            <w:tcW w:w="1521" w:type="pct"/>
            <w:tcBorders>
              <w:tl2br w:val="nil"/>
              <w:tr2bl w:val="nil"/>
            </w:tcBorders>
            <w:noWrap w:val="0"/>
            <w:vAlign w:val="center"/>
          </w:tcPr>
          <w:p w14:paraId="5CBDEA8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水质 氟化物的测定 氟试剂分光光度法HJ488-2009</w:t>
            </w:r>
          </w:p>
        </w:tc>
        <w:tc>
          <w:tcPr>
            <w:tcW w:w="907" w:type="pct"/>
            <w:tcBorders>
              <w:tl2br w:val="nil"/>
              <w:tr2bl w:val="nil"/>
            </w:tcBorders>
            <w:noWrap w:val="0"/>
            <w:vAlign w:val="center"/>
          </w:tcPr>
          <w:p w14:paraId="7C63CF0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4D709F7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45DAEE8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1A6EC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12B1CA0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21666597">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溶解性总固体</w:t>
            </w:r>
          </w:p>
        </w:tc>
        <w:tc>
          <w:tcPr>
            <w:tcW w:w="1521" w:type="pct"/>
            <w:vMerge w:val="restart"/>
            <w:tcBorders>
              <w:tl2br w:val="nil"/>
              <w:tr2bl w:val="nil"/>
            </w:tcBorders>
            <w:noWrap w:val="0"/>
            <w:vAlign w:val="center"/>
          </w:tcPr>
          <w:p w14:paraId="25AFACC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地下水质分析方法第 9 部分：溶解性固体总量的测定 重量法DZ/T 0064.9-2021</w:t>
            </w:r>
          </w:p>
        </w:tc>
        <w:tc>
          <w:tcPr>
            <w:tcW w:w="907" w:type="pct"/>
            <w:tcBorders>
              <w:tl2br w:val="nil"/>
              <w:tr2bl w:val="nil"/>
            </w:tcBorders>
            <w:noWrap w:val="0"/>
            <w:vAlign w:val="center"/>
          </w:tcPr>
          <w:p w14:paraId="0C6B07F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fr-FR" w:eastAsia="zh-CN"/>
              </w:rPr>
              <w:t>电子天平</w:t>
            </w:r>
          </w:p>
        </w:tc>
        <w:tc>
          <w:tcPr>
            <w:tcW w:w="796" w:type="pct"/>
            <w:tcBorders>
              <w:tl2br w:val="nil"/>
              <w:tr2bl w:val="nil"/>
            </w:tcBorders>
            <w:noWrap w:val="0"/>
            <w:vAlign w:val="center"/>
          </w:tcPr>
          <w:p w14:paraId="5CBBBF6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FA2204N</w:t>
            </w:r>
          </w:p>
        </w:tc>
        <w:tc>
          <w:tcPr>
            <w:tcW w:w="708" w:type="pct"/>
            <w:tcBorders>
              <w:tl2br w:val="nil"/>
              <w:tr2bl w:val="nil"/>
            </w:tcBorders>
            <w:noWrap w:val="0"/>
            <w:vAlign w:val="center"/>
          </w:tcPr>
          <w:p w14:paraId="410748A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HFYQ-1009</w:t>
            </w:r>
          </w:p>
        </w:tc>
      </w:tr>
      <w:tr w14:paraId="17CD4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2C3263D">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3A054B35">
            <w:pPr>
              <w:pStyle w:val="146"/>
              <w:ind w:left="0" w:leftChars="0" w:firstLine="0" w:firstLineChars="0"/>
              <w:rPr>
                <w:rFonts w:hint="default" w:ascii="Times New Roman" w:hAnsi="Times New Roman" w:eastAsia="宋体" w:cs="Times New Roman"/>
                <w:color w:val="auto"/>
                <w:highlight w:val="none"/>
                <w:lang w:eastAsia="zh-CN"/>
              </w:rPr>
            </w:pPr>
          </w:p>
        </w:tc>
        <w:tc>
          <w:tcPr>
            <w:tcW w:w="1521" w:type="pct"/>
            <w:vMerge w:val="continue"/>
            <w:tcBorders>
              <w:tl2br w:val="nil"/>
              <w:tr2bl w:val="nil"/>
            </w:tcBorders>
            <w:noWrap w:val="0"/>
            <w:vAlign w:val="center"/>
          </w:tcPr>
          <w:p w14:paraId="3569797B">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38A9C3C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真空干燥箱</w:t>
            </w:r>
          </w:p>
        </w:tc>
        <w:tc>
          <w:tcPr>
            <w:tcW w:w="796" w:type="pct"/>
            <w:tcBorders>
              <w:tl2br w:val="nil"/>
              <w:tr2bl w:val="nil"/>
            </w:tcBorders>
            <w:noWrap w:val="0"/>
            <w:vAlign w:val="center"/>
          </w:tcPr>
          <w:p w14:paraId="5E74DA2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DZ-2BCⅣ</w:t>
            </w:r>
          </w:p>
        </w:tc>
        <w:tc>
          <w:tcPr>
            <w:tcW w:w="708" w:type="pct"/>
            <w:tcBorders>
              <w:tl2br w:val="nil"/>
              <w:tr2bl w:val="nil"/>
            </w:tcBorders>
            <w:noWrap w:val="0"/>
            <w:vAlign w:val="center"/>
          </w:tcPr>
          <w:p w14:paraId="29B9476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HFYQ-1015</w:t>
            </w:r>
          </w:p>
        </w:tc>
      </w:tr>
      <w:tr w14:paraId="6324A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26A252C1">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tcBorders>
              <w:tl2br w:val="nil"/>
              <w:tr2bl w:val="nil"/>
            </w:tcBorders>
            <w:noWrap w:val="0"/>
            <w:vAlign w:val="center"/>
          </w:tcPr>
          <w:p w14:paraId="7B6FE93C">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石油类</w:t>
            </w:r>
          </w:p>
        </w:tc>
        <w:tc>
          <w:tcPr>
            <w:tcW w:w="1521" w:type="pct"/>
            <w:tcBorders>
              <w:tl2br w:val="nil"/>
              <w:tr2bl w:val="nil"/>
            </w:tcBorders>
            <w:noWrap w:val="0"/>
            <w:vAlign w:val="center"/>
          </w:tcPr>
          <w:p w14:paraId="6952378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石油类的测定 紫外分光光度法（试行）</w:t>
            </w:r>
          </w:p>
          <w:p w14:paraId="662D160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 xml:space="preserve"> HJ 970-2018</w:t>
            </w:r>
          </w:p>
        </w:tc>
        <w:tc>
          <w:tcPr>
            <w:tcW w:w="907" w:type="pct"/>
            <w:tcBorders>
              <w:tl2br w:val="nil"/>
              <w:tr2bl w:val="nil"/>
            </w:tcBorders>
            <w:noWrap w:val="0"/>
            <w:vAlign w:val="center"/>
          </w:tcPr>
          <w:p w14:paraId="6345E3D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04EB624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175C229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3D5E6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B26CF49">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2FEABCCD">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总磷</w:t>
            </w:r>
          </w:p>
        </w:tc>
        <w:tc>
          <w:tcPr>
            <w:tcW w:w="1521" w:type="pct"/>
            <w:vMerge w:val="restart"/>
            <w:tcBorders>
              <w:tl2br w:val="nil"/>
              <w:tr2bl w:val="nil"/>
            </w:tcBorders>
            <w:noWrap w:val="0"/>
            <w:vAlign w:val="center"/>
          </w:tcPr>
          <w:p w14:paraId="53A4FD92">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总磷的测定 钼酸铵分光光度法GB 11893-89</w:t>
            </w:r>
          </w:p>
        </w:tc>
        <w:tc>
          <w:tcPr>
            <w:tcW w:w="907" w:type="pct"/>
            <w:tcBorders>
              <w:tl2br w:val="nil"/>
              <w:tr2bl w:val="nil"/>
            </w:tcBorders>
            <w:noWrap w:val="0"/>
            <w:vAlign w:val="center"/>
          </w:tcPr>
          <w:p w14:paraId="01A9EE8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立式高压蒸汽灭菌器</w:t>
            </w:r>
          </w:p>
        </w:tc>
        <w:tc>
          <w:tcPr>
            <w:tcW w:w="796" w:type="pct"/>
            <w:tcBorders>
              <w:tl2br w:val="nil"/>
              <w:tr2bl w:val="nil"/>
            </w:tcBorders>
            <w:noWrap w:val="0"/>
            <w:vAlign w:val="center"/>
          </w:tcPr>
          <w:p w14:paraId="44CDF2E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LPZX-50KBS</w:t>
            </w:r>
          </w:p>
        </w:tc>
        <w:tc>
          <w:tcPr>
            <w:tcW w:w="708" w:type="pct"/>
            <w:tcBorders>
              <w:tl2br w:val="nil"/>
              <w:tr2bl w:val="nil"/>
            </w:tcBorders>
            <w:noWrap w:val="0"/>
            <w:vAlign w:val="center"/>
          </w:tcPr>
          <w:p w14:paraId="1488820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HFYQ-1018</w:t>
            </w:r>
          </w:p>
        </w:tc>
      </w:tr>
      <w:tr w14:paraId="18A4E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422F655C">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75A95D6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1521" w:type="pct"/>
            <w:vMerge w:val="continue"/>
            <w:tcBorders>
              <w:tl2br w:val="nil"/>
              <w:tr2bl w:val="nil"/>
            </w:tcBorders>
            <w:noWrap w:val="0"/>
            <w:vAlign w:val="center"/>
          </w:tcPr>
          <w:p w14:paraId="7A919F4C">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7BF7215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771C5B8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1DA77BF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5F93B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0F4E2349">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2D0D38D2">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总氮</w:t>
            </w:r>
          </w:p>
        </w:tc>
        <w:tc>
          <w:tcPr>
            <w:tcW w:w="1521" w:type="pct"/>
            <w:vMerge w:val="restart"/>
            <w:tcBorders>
              <w:tl2br w:val="nil"/>
              <w:tr2bl w:val="nil"/>
            </w:tcBorders>
            <w:noWrap w:val="0"/>
            <w:vAlign w:val="center"/>
          </w:tcPr>
          <w:p w14:paraId="5B6ED2AD">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总氮的测定 碱性过硫酸钾消解紫外分光光度法HJ 636-2012</w:t>
            </w:r>
          </w:p>
        </w:tc>
        <w:tc>
          <w:tcPr>
            <w:tcW w:w="907" w:type="pct"/>
            <w:tcBorders>
              <w:tl2br w:val="nil"/>
              <w:tr2bl w:val="nil"/>
            </w:tcBorders>
            <w:noWrap w:val="0"/>
            <w:vAlign w:val="center"/>
          </w:tcPr>
          <w:p w14:paraId="69AAB43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立式高压蒸汽灭菌器</w:t>
            </w:r>
          </w:p>
        </w:tc>
        <w:tc>
          <w:tcPr>
            <w:tcW w:w="796" w:type="pct"/>
            <w:tcBorders>
              <w:tl2br w:val="nil"/>
              <w:tr2bl w:val="nil"/>
            </w:tcBorders>
            <w:noWrap w:val="0"/>
            <w:vAlign w:val="center"/>
          </w:tcPr>
          <w:p w14:paraId="210AFEB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LPZX-50KBS</w:t>
            </w:r>
          </w:p>
        </w:tc>
        <w:tc>
          <w:tcPr>
            <w:tcW w:w="708" w:type="pct"/>
            <w:tcBorders>
              <w:tl2br w:val="nil"/>
              <w:tr2bl w:val="nil"/>
            </w:tcBorders>
            <w:noWrap w:val="0"/>
            <w:vAlign w:val="center"/>
          </w:tcPr>
          <w:p w14:paraId="0FDFD8E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HFYQ-1018</w:t>
            </w:r>
          </w:p>
        </w:tc>
      </w:tr>
      <w:tr w14:paraId="2D778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1CDB6D7">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01BADAA8">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1521" w:type="pct"/>
            <w:vMerge w:val="continue"/>
            <w:tcBorders>
              <w:tl2br w:val="nil"/>
              <w:tr2bl w:val="nil"/>
            </w:tcBorders>
            <w:noWrap w:val="0"/>
            <w:vAlign w:val="center"/>
          </w:tcPr>
          <w:p w14:paraId="538693FD">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31D0A40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紫外可见分光光度计</w:t>
            </w:r>
          </w:p>
        </w:tc>
        <w:tc>
          <w:tcPr>
            <w:tcW w:w="796" w:type="pct"/>
            <w:tcBorders>
              <w:tl2br w:val="nil"/>
              <w:tr2bl w:val="nil"/>
            </w:tcBorders>
            <w:noWrap w:val="0"/>
            <w:vAlign w:val="center"/>
          </w:tcPr>
          <w:p w14:paraId="032E79F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T6新世纪</w:t>
            </w:r>
          </w:p>
        </w:tc>
        <w:tc>
          <w:tcPr>
            <w:tcW w:w="708" w:type="pct"/>
            <w:tcBorders>
              <w:tl2br w:val="nil"/>
              <w:tr2bl w:val="nil"/>
            </w:tcBorders>
            <w:noWrap w:val="0"/>
            <w:vAlign w:val="center"/>
          </w:tcPr>
          <w:p w14:paraId="127DA9A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HFYQ-1049</w:t>
            </w:r>
          </w:p>
        </w:tc>
      </w:tr>
      <w:tr w14:paraId="7A15C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5BAA60A">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6D590B4C">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化学需氧量</w:t>
            </w:r>
          </w:p>
        </w:tc>
        <w:tc>
          <w:tcPr>
            <w:tcW w:w="1521" w:type="pct"/>
            <w:vMerge w:val="restart"/>
            <w:tcBorders>
              <w:tl2br w:val="nil"/>
              <w:tr2bl w:val="nil"/>
            </w:tcBorders>
            <w:noWrap w:val="0"/>
            <w:vAlign w:val="center"/>
          </w:tcPr>
          <w:p w14:paraId="1F5EF554">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化学需氧量的测定 重铬酸盐法HJ 828-2017</w:t>
            </w:r>
          </w:p>
        </w:tc>
        <w:tc>
          <w:tcPr>
            <w:tcW w:w="907" w:type="pct"/>
            <w:tcBorders>
              <w:tl2br w:val="nil"/>
              <w:tr2bl w:val="nil"/>
            </w:tcBorders>
            <w:noWrap w:val="0"/>
            <w:vAlign w:val="center"/>
          </w:tcPr>
          <w:p w14:paraId="01D6A8E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节能COD恒温加热器</w:t>
            </w:r>
          </w:p>
        </w:tc>
        <w:tc>
          <w:tcPr>
            <w:tcW w:w="796" w:type="pct"/>
            <w:tcBorders>
              <w:tl2br w:val="nil"/>
              <w:tr2bl w:val="nil"/>
            </w:tcBorders>
            <w:noWrap w:val="0"/>
            <w:vAlign w:val="center"/>
          </w:tcPr>
          <w:p w14:paraId="3524D5D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JHR-2</w:t>
            </w:r>
          </w:p>
        </w:tc>
        <w:tc>
          <w:tcPr>
            <w:tcW w:w="708" w:type="pct"/>
            <w:tcBorders>
              <w:tl2br w:val="nil"/>
              <w:tr2bl w:val="nil"/>
            </w:tcBorders>
            <w:noWrap w:val="0"/>
            <w:vAlign w:val="center"/>
          </w:tcPr>
          <w:p w14:paraId="68D7018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HFYQ-1036</w:t>
            </w:r>
          </w:p>
        </w:tc>
      </w:tr>
      <w:tr w14:paraId="37D67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4706C190">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3D3C148F">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1521" w:type="pct"/>
            <w:vMerge w:val="continue"/>
            <w:tcBorders>
              <w:tl2br w:val="nil"/>
              <w:tr2bl w:val="nil"/>
            </w:tcBorders>
            <w:noWrap w:val="0"/>
            <w:vAlign w:val="center"/>
          </w:tcPr>
          <w:p w14:paraId="14B25AD5">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6A64BE6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酸式滴定管</w:t>
            </w:r>
          </w:p>
        </w:tc>
        <w:tc>
          <w:tcPr>
            <w:tcW w:w="796" w:type="pct"/>
            <w:tcBorders>
              <w:tl2br w:val="nil"/>
              <w:tr2bl w:val="nil"/>
            </w:tcBorders>
            <w:noWrap w:val="0"/>
            <w:vAlign w:val="center"/>
          </w:tcPr>
          <w:p w14:paraId="45C515C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50ml</w:t>
            </w:r>
          </w:p>
        </w:tc>
        <w:tc>
          <w:tcPr>
            <w:tcW w:w="708" w:type="pct"/>
            <w:tcBorders>
              <w:tl2br w:val="nil"/>
              <w:tr2bl w:val="nil"/>
            </w:tcBorders>
            <w:noWrap w:val="0"/>
            <w:vAlign w:val="center"/>
          </w:tcPr>
          <w:p w14:paraId="78F7DE0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p>
        </w:tc>
      </w:tr>
      <w:tr w14:paraId="1D5210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71694E8D">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56CDA89F">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生化需氧量</w:t>
            </w:r>
          </w:p>
        </w:tc>
        <w:tc>
          <w:tcPr>
            <w:tcW w:w="1521" w:type="pct"/>
            <w:vMerge w:val="restart"/>
            <w:tcBorders>
              <w:tl2br w:val="nil"/>
              <w:tr2bl w:val="nil"/>
            </w:tcBorders>
            <w:noWrap w:val="0"/>
            <w:vAlign w:val="center"/>
          </w:tcPr>
          <w:p w14:paraId="2FAA2119">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 五日生化需氧量（BOD5）的测定 稀释与接种法 HJ 505-2009</w:t>
            </w:r>
          </w:p>
        </w:tc>
        <w:tc>
          <w:tcPr>
            <w:tcW w:w="907" w:type="pct"/>
            <w:tcBorders>
              <w:tl2br w:val="nil"/>
              <w:tr2bl w:val="nil"/>
            </w:tcBorders>
            <w:noWrap w:val="0"/>
            <w:vAlign w:val="center"/>
          </w:tcPr>
          <w:p w14:paraId="6EAE7E7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溶解氧仪</w:t>
            </w:r>
          </w:p>
        </w:tc>
        <w:tc>
          <w:tcPr>
            <w:tcW w:w="796" w:type="pct"/>
            <w:tcBorders>
              <w:tl2br w:val="nil"/>
              <w:tr2bl w:val="nil"/>
            </w:tcBorders>
            <w:noWrap w:val="0"/>
            <w:vAlign w:val="center"/>
          </w:tcPr>
          <w:p w14:paraId="10070CD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JPSJ-605F</w:t>
            </w:r>
          </w:p>
        </w:tc>
        <w:tc>
          <w:tcPr>
            <w:tcW w:w="708" w:type="pct"/>
            <w:tcBorders>
              <w:tl2br w:val="nil"/>
              <w:tr2bl w:val="nil"/>
            </w:tcBorders>
            <w:noWrap w:val="0"/>
            <w:vAlign w:val="center"/>
          </w:tcPr>
          <w:p w14:paraId="0C9711A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HFYQ-1014</w:t>
            </w:r>
          </w:p>
        </w:tc>
      </w:tr>
      <w:tr w14:paraId="5B10F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97E418E">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4B54E02C">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1521" w:type="pct"/>
            <w:vMerge w:val="continue"/>
            <w:tcBorders>
              <w:tl2br w:val="nil"/>
              <w:tr2bl w:val="nil"/>
            </w:tcBorders>
            <w:noWrap w:val="0"/>
            <w:vAlign w:val="center"/>
          </w:tcPr>
          <w:p w14:paraId="5E7F9BC8">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51E8BB9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生化培养箱</w:t>
            </w:r>
          </w:p>
        </w:tc>
        <w:tc>
          <w:tcPr>
            <w:tcW w:w="796" w:type="pct"/>
            <w:tcBorders>
              <w:tl2br w:val="nil"/>
              <w:tr2bl w:val="nil"/>
            </w:tcBorders>
            <w:noWrap w:val="0"/>
            <w:vAlign w:val="center"/>
          </w:tcPr>
          <w:p w14:paraId="1A788F3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SPL-250</w:t>
            </w:r>
          </w:p>
        </w:tc>
        <w:tc>
          <w:tcPr>
            <w:tcW w:w="708" w:type="pct"/>
            <w:tcBorders>
              <w:tl2br w:val="nil"/>
              <w:tr2bl w:val="nil"/>
            </w:tcBorders>
            <w:noWrap w:val="0"/>
            <w:vAlign w:val="center"/>
          </w:tcPr>
          <w:p w14:paraId="7B615B7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HFYQ-1016</w:t>
            </w:r>
          </w:p>
        </w:tc>
      </w:tr>
      <w:tr w14:paraId="18E76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6D46E9FB">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restart"/>
            <w:tcBorders>
              <w:tl2br w:val="nil"/>
              <w:tr2bl w:val="nil"/>
            </w:tcBorders>
            <w:noWrap w:val="0"/>
            <w:vAlign w:val="center"/>
          </w:tcPr>
          <w:p w14:paraId="605C1FF3">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细菌</w:t>
            </w:r>
          </w:p>
          <w:p w14:paraId="01AD21D4">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总数</w:t>
            </w:r>
          </w:p>
        </w:tc>
        <w:tc>
          <w:tcPr>
            <w:tcW w:w="1521" w:type="pct"/>
            <w:vMerge w:val="restart"/>
            <w:tcBorders>
              <w:tl2br w:val="nil"/>
              <w:tr2bl w:val="nil"/>
            </w:tcBorders>
            <w:noWrap w:val="0"/>
            <w:vAlign w:val="center"/>
          </w:tcPr>
          <w:p w14:paraId="5300BA35">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生活饮用水标准检验方法 第12部分：微生物指标GB/T 5750.12-2023 4</w:t>
            </w:r>
          </w:p>
        </w:tc>
        <w:tc>
          <w:tcPr>
            <w:tcW w:w="907" w:type="pct"/>
            <w:tcBorders>
              <w:tl2br w:val="nil"/>
              <w:tr2bl w:val="nil"/>
            </w:tcBorders>
            <w:noWrap w:val="0"/>
            <w:vAlign w:val="center"/>
          </w:tcPr>
          <w:p w14:paraId="6D81731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电热恒温培养箱</w:t>
            </w:r>
          </w:p>
        </w:tc>
        <w:tc>
          <w:tcPr>
            <w:tcW w:w="796" w:type="pct"/>
            <w:tcBorders>
              <w:tl2br w:val="nil"/>
              <w:tr2bl w:val="nil"/>
            </w:tcBorders>
            <w:noWrap w:val="0"/>
            <w:vAlign w:val="center"/>
          </w:tcPr>
          <w:p w14:paraId="214186C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HN-36BS</w:t>
            </w:r>
          </w:p>
        </w:tc>
        <w:tc>
          <w:tcPr>
            <w:tcW w:w="708" w:type="pct"/>
            <w:tcBorders>
              <w:tl2br w:val="nil"/>
              <w:tr2bl w:val="nil"/>
            </w:tcBorders>
            <w:noWrap w:val="0"/>
            <w:vAlign w:val="center"/>
          </w:tcPr>
          <w:p w14:paraId="79EC70B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HFYQ-1022</w:t>
            </w:r>
          </w:p>
        </w:tc>
      </w:tr>
      <w:tr w14:paraId="1A2F8F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90" w:type="pct"/>
            <w:vMerge w:val="continue"/>
            <w:tcBorders>
              <w:tl2br w:val="nil"/>
              <w:tr2bl w:val="nil"/>
            </w:tcBorders>
            <w:noWrap w:val="0"/>
            <w:vAlign w:val="center"/>
          </w:tcPr>
          <w:p w14:paraId="2272C076">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675" w:type="pct"/>
            <w:vMerge w:val="continue"/>
            <w:tcBorders>
              <w:tl2br w:val="nil"/>
              <w:tr2bl w:val="nil"/>
            </w:tcBorders>
            <w:noWrap w:val="0"/>
            <w:vAlign w:val="center"/>
          </w:tcPr>
          <w:p w14:paraId="642D8898">
            <w:pPr>
              <w:pStyle w:val="146"/>
              <w:ind w:left="0" w:leftChars="0" w:firstLine="0" w:firstLineChars="0"/>
              <w:rPr>
                <w:rFonts w:hint="eastAsia" w:ascii="Times New Roman" w:hAnsi="Times New Roman" w:eastAsia="宋体" w:cs="Times New Roman"/>
                <w:color w:val="auto"/>
                <w:highlight w:val="none"/>
                <w:lang w:val="en-US" w:eastAsia="zh-CN"/>
              </w:rPr>
            </w:pPr>
          </w:p>
        </w:tc>
        <w:tc>
          <w:tcPr>
            <w:tcW w:w="1521" w:type="pct"/>
            <w:vMerge w:val="continue"/>
            <w:tcBorders>
              <w:tl2br w:val="nil"/>
              <w:tr2bl w:val="nil"/>
            </w:tcBorders>
            <w:noWrap w:val="0"/>
            <w:vAlign w:val="center"/>
          </w:tcPr>
          <w:p w14:paraId="596127DE">
            <w:pPr>
              <w:pStyle w:val="146"/>
              <w:ind w:left="0" w:leftChars="0" w:firstLine="0" w:firstLineChars="0"/>
              <w:rPr>
                <w:rFonts w:hint="default" w:ascii="Times New Roman" w:hAnsi="Times New Roman" w:eastAsia="宋体" w:cs="Times New Roman"/>
                <w:color w:val="auto"/>
                <w:highlight w:val="none"/>
              </w:rPr>
            </w:pPr>
          </w:p>
        </w:tc>
        <w:tc>
          <w:tcPr>
            <w:tcW w:w="907" w:type="pct"/>
            <w:tcBorders>
              <w:tl2br w:val="nil"/>
              <w:tr2bl w:val="nil"/>
            </w:tcBorders>
            <w:noWrap w:val="0"/>
            <w:vAlign w:val="center"/>
          </w:tcPr>
          <w:p w14:paraId="427181E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手提式压力蒸汽灭菌器</w:t>
            </w:r>
          </w:p>
        </w:tc>
        <w:tc>
          <w:tcPr>
            <w:tcW w:w="796" w:type="pct"/>
            <w:tcBorders>
              <w:tl2br w:val="nil"/>
              <w:tr2bl w:val="nil"/>
            </w:tcBorders>
            <w:noWrap w:val="0"/>
            <w:vAlign w:val="center"/>
          </w:tcPr>
          <w:p w14:paraId="59B1FFF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JSM280G-18</w:t>
            </w:r>
          </w:p>
        </w:tc>
        <w:tc>
          <w:tcPr>
            <w:tcW w:w="708" w:type="pct"/>
            <w:tcBorders>
              <w:tl2br w:val="nil"/>
              <w:tr2bl w:val="nil"/>
            </w:tcBorders>
            <w:noWrap w:val="0"/>
            <w:vAlign w:val="center"/>
          </w:tcPr>
          <w:p w14:paraId="1F6DF0F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HFYQ-1019</w:t>
            </w:r>
          </w:p>
        </w:tc>
      </w:tr>
    </w:tbl>
    <w:p w14:paraId="399092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（5）监测结果</w:t>
      </w:r>
    </w:p>
    <w:p w14:paraId="5A81CB7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地下水监测结果见下表。</w:t>
      </w:r>
    </w:p>
    <w:p w14:paraId="7EC204AC">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2</w:t>
      </w:r>
      <w:r>
        <w:rPr>
          <w:rFonts w:hint="default" w:ascii="Times New Roman" w:hAnsi="Times New Roman" w:cs="Times New Roman"/>
          <w:color w:val="auto"/>
          <w:highlight w:val="none"/>
        </w:rPr>
        <w:t>地下水监测结果</w:t>
      </w:r>
    </w:p>
    <w:bookmarkEnd w:id="379"/>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1842"/>
        <w:gridCol w:w="1842"/>
        <w:gridCol w:w="1849"/>
        <w:gridCol w:w="1338"/>
      </w:tblGrid>
      <w:tr w14:paraId="560944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874" w:type="pct"/>
            <w:tcBorders>
              <w:tl2br w:val="nil"/>
              <w:tr2bl w:val="nil"/>
            </w:tcBorders>
            <w:noWrap w:val="0"/>
            <w:vAlign w:val="center"/>
          </w:tcPr>
          <w:p w14:paraId="588BE51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检测项目</w:t>
            </w:r>
          </w:p>
        </w:tc>
        <w:tc>
          <w:tcPr>
            <w:tcW w:w="3355" w:type="pct"/>
            <w:gridSpan w:val="3"/>
            <w:tcBorders>
              <w:tl2br w:val="nil"/>
              <w:tr2bl w:val="nil"/>
            </w:tcBorders>
            <w:noWrap w:val="0"/>
            <w:vAlign w:val="center"/>
          </w:tcPr>
          <w:p w14:paraId="40CB5851">
            <w:pPr>
              <w:pStyle w:val="146"/>
              <w:ind w:left="0" w:leftChars="0" w:firstLine="0" w:firstLineChars="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检测结果</w:t>
            </w:r>
            <w:r>
              <w:rPr>
                <w:rFonts w:hint="default" w:ascii="Times New Roman" w:hAnsi="Times New Roman" w:eastAsia="宋体" w:cs="Times New Roman"/>
                <w:color w:val="auto"/>
                <w:highlight w:val="none"/>
                <w:lang w:val="en-US" w:eastAsia="zh-CN"/>
              </w:rPr>
              <w:t>202</w:t>
            </w:r>
            <w:r>
              <w:rPr>
                <w:rFonts w:hint="eastAsia" w:ascii="Times New Roman" w:hAnsi="Times New Roman" w:eastAsia="宋体" w:cs="Times New Roman"/>
                <w:color w:val="auto"/>
                <w:highlight w:val="none"/>
                <w:lang w:val="en-US" w:eastAsia="zh-CN"/>
              </w:rPr>
              <w:t>6.04.08</w:t>
            </w:r>
          </w:p>
        </w:tc>
        <w:tc>
          <w:tcPr>
            <w:tcW w:w="769" w:type="pct"/>
            <w:vMerge w:val="restart"/>
            <w:tcBorders>
              <w:tl2br w:val="nil"/>
              <w:tr2bl w:val="nil"/>
            </w:tcBorders>
            <w:noWrap w:val="0"/>
            <w:vAlign w:val="center"/>
          </w:tcPr>
          <w:p w14:paraId="0CCC52BA">
            <w:pPr>
              <w:pStyle w:val="146"/>
              <w:ind w:left="0" w:leftChars="0" w:firstLine="0"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单位</w:t>
            </w:r>
          </w:p>
        </w:tc>
      </w:tr>
      <w:tr w14:paraId="6DE05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874" w:type="pct"/>
            <w:tcBorders>
              <w:tl2br w:val="nil"/>
              <w:tr2bl w:val="nil"/>
            </w:tcBorders>
            <w:noWrap w:val="0"/>
            <w:vAlign w:val="center"/>
          </w:tcPr>
          <w:p w14:paraId="4421542A">
            <w:pPr>
              <w:pStyle w:val="146"/>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检测</w:t>
            </w:r>
            <w:r>
              <w:rPr>
                <w:rFonts w:hint="eastAsia" w:ascii="Times New Roman" w:hAnsi="Times New Roman" w:eastAsia="宋体" w:cs="Times New Roman"/>
                <w:color w:val="auto"/>
                <w:highlight w:val="none"/>
                <w:lang w:val="en-US" w:eastAsia="zh-CN"/>
              </w:rPr>
              <w:t>点位</w:t>
            </w:r>
          </w:p>
        </w:tc>
        <w:tc>
          <w:tcPr>
            <w:tcW w:w="1117" w:type="pct"/>
            <w:tcBorders>
              <w:tl2br w:val="nil"/>
              <w:tr2bl w:val="nil"/>
            </w:tcBorders>
            <w:noWrap w:val="0"/>
            <w:vAlign w:val="center"/>
          </w:tcPr>
          <w:p w14:paraId="5FAC75FD">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地下水水</w:t>
            </w:r>
            <w:r>
              <w:rPr>
                <w:rFonts w:hint="eastAsia" w:ascii="Times New Roman" w:hAnsi="Times New Roman" w:eastAsia="宋体" w:cs="Times New Roman"/>
                <w:color w:val="auto"/>
                <w:highlight w:val="none"/>
                <w:lang w:val="en-US" w:eastAsia="zh-CN"/>
              </w:rPr>
              <w:t>位、水质</w:t>
            </w:r>
            <w:r>
              <w:rPr>
                <w:rFonts w:hint="default" w:ascii="Times New Roman" w:hAnsi="Times New Roman" w:eastAsia="宋体" w:cs="Times New Roman"/>
                <w:color w:val="auto"/>
                <w:highlight w:val="none"/>
              </w:rPr>
              <w:t>监测点</w:t>
            </w:r>
            <w:r>
              <w:rPr>
                <w:rFonts w:hint="eastAsia" w:ascii="Times New Roman" w:hAnsi="Times New Roman" w:eastAsia="宋体" w:cs="Times New Roman"/>
                <w:color w:val="auto"/>
                <w:highlight w:val="none"/>
                <w:lang w:val="en-US" w:eastAsia="zh-CN"/>
              </w:rPr>
              <w:t>W1</w:t>
            </w:r>
          </w:p>
        </w:tc>
        <w:tc>
          <w:tcPr>
            <w:tcW w:w="1117" w:type="pct"/>
            <w:tcBorders>
              <w:tl2br w:val="nil"/>
              <w:tr2bl w:val="nil"/>
            </w:tcBorders>
            <w:noWrap w:val="0"/>
            <w:vAlign w:val="center"/>
          </w:tcPr>
          <w:p w14:paraId="60BBD3C2">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地下水水</w:t>
            </w:r>
            <w:r>
              <w:rPr>
                <w:rFonts w:hint="eastAsia" w:ascii="Times New Roman" w:hAnsi="Times New Roman" w:eastAsia="宋体" w:cs="Times New Roman"/>
                <w:color w:val="auto"/>
                <w:highlight w:val="none"/>
                <w:lang w:val="en-US" w:eastAsia="zh-CN"/>
              </w:rPr>
              <w:t>位、水质</w:t>
            </w:r>
            <w:r>
              <w:rPr>
                <w:rFonts w:hint="default" w:ascii="Times New Roman" w:hAnsi="Times New Roman" w:eastAsia="宋体" w:cs="Times New Roman"/>
                <w:color w:val="auto"/>
                <w:highlight w:val="none"/>
              </w:rPr>
              <w:t>监测点</w:t>
            </w:r>
            <w:r>
              <w:rPr>
                <w:rFonts w:hint="eastAsia" w:ascii="Times New Roman" w:hAnsi="Times New Roman" w:eastAsia="宋体" w:cs="Times New Roman"/>
                <w:color w:val="auto"/>
                <w:highlight w:val="none"/>
                <w:lang w:val="en-US" w:eastAsia="zh-CN"/>
              </w:rPr>
              <w:t>W2</w:t>
            </w:r>
          </w:p>
        </w:tc>
        <w:tc>
          <w:tcPr>
            <w:tcW w:w="1119" w:type="pct"/>
            <w:tcBorders>
              <w:tl2br w:val="nil"/>
              <w:tr2bl w:val="nil"/>
            </w:tcBorders>
            <w:noWrap w:val="0"/>
            <w:vAlign w:val="center"/>
          </w:tcPr>
          <w:p w14:paraId="4C499DD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地下水水</w:t>
            </w:r>
            <w:r>
              <w:rPr>
                <w:rFonts w:hint="eastAsia" w:ascii="Times New Roman" w:hAnsi="Times New Roman" w:eastAsia="宋体" w:cs="Times New Roman"/>
                <w:color w:val="auto"/>
                <w:highlight w:val="none"/>
                <w:lang w:val="en-US" w:eastAsia="zh-CN"/>
              </w:rPr>
              <w:t>位、水质</w:t>
            </w:r>
            <w:r>
              <w:rPr>
                <w:rFonts w:hint="default" w:ascii="Times New Roman" w:hAnsi="Times New Roman" w:eastAsia="宋体" w:cs="Times New Roman"/>
                <w:color w:val="auto"/>
                <w:highlight w:val="none"/>
              </w:rPr>
              <w:t>监测点</w:t>
            </w:r>
            <w:r>
              <w:rPr>
                <w:rFonts w:hint="eastAsia" w:ascii="Times New Roman" w:hAnsi="Times New Roman" w:eastAsia="宋体" w:cs="Times New Roman"/>
                <w:color w:val="auto"/>
                <w:highlight w:val="none"/>
                <w:lang w:val="en-US" w:eastAsia="zh-CN"/>
              </w:rPr>
              <w:t>W3</w:t>
            </w:r>
          </w:p>
        </w:tc>
        <w:tc>
          <w:tcPr>
            <w:tcW w:w="769" w:type="pct"/>
            <w:vMerge w:val="continue"/>
            <w:tcBorders>
              <w:tl2br w:val="nil"/>
              <w:tr2bl w:val="nil"/>
            </w:tcBorders>
            <w:noWrap w:val="0"/>
            <w:vAlign w:val="center"/>
          </w:tcPr>
          <w:p w14:paraId="23FD6CA6">
            <w:pPr>
              <w:pStyle w:val="146"/>
              <w:ind w:left="0" w:leftChars="0" w:firstLine="0" w:firstLineChars="0"/>
              <w:rPr>
                <w:rFonts w:hint="default" w:ascii="Times New Roman" w:hAnsi="Times New Roman" w:eastAsia="宋体" w:cs="Times New Roman"/>
                <w:color w:val="auto"/>
                <w:highlight w:val="none"/>
              </w:rPr>
            </w:pPr>
          </w:p>
        </w:tc>
      </w:tr>
      <w:tr w14:paraId="1205D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5E6C11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perscript"/>
              </w:rPr>
              <w:t>+</w:t>
            </w:r>
          </w:p>
        </w:tc>
        <w:tc>
          <w:tcPr>
            <w:tcW w:w="1117" w:type="pct"/>
            <w:tcBorders>
              <w:tl2br w:val="nil"/>
              <w:tr2bl w:val="nil"/>
            </w:tcBorders>
            <w:noWrap w:val="0"/>
            <w:vAlign w:val="center"/>
          </w:tcPr>
          <w:p w14:paraId="1DFFD9B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1.14</w:t>
            </w:r>
          </w:p>
        </w:tc>
        <w:tc>
          <w:tcPr>
            <w:tcW w:w="1117" w:type="pct"/>
            <w:tcBorders>
              <w:tl2br w:val="nil"/>
              <w:tr2bl w:val="nil"/>
            </w:tcBorders>
            <w:noWrap w:val="0"/>
            <w:vAlign w:val="center"/>
          </w:tcPr>
          <w:p w14:paraId="05F64AB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1.52</w:t>
            </w:r>
            <w:r>
              <w:rPr>
                <w:rFonts w:hint="default" w:ascii="Times New Roman" w:hAnsi="Times New Roman" w:eastAsia="宋体" w:cs="Times New Roman"/>
                <w:color w:val="auto"/>
                <w:highlight w:val="none"/>
                <w:lang w:val="en-US" w:eastAsia="zh-CN"/>
              </w:rPr>
              <w:t xml:space="preserve"> </w:t>
            </w:r>
          </w:p>
        </w:tc>
        <w:tc>
          <w:tcPr>
            <w:tcW w:w="1119" w:type="pct"/>
            <w:tcBorders>
              <w:tl2br w:val="nil"/>
              <w:tr2bl w:val="nil"/>
            </w:tcBorders>
            <w:noWrap w:val="0"/>
            <w:vAlign w:val="center"/>
          </w:tcPr>
          <w:p w14:paraId="7EF6ECC6">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1.35 </w:t>
            </w:r>
          </w:p>
        </w:tc>
        <w:tc>
          <w:tcPr>
            <w:tcW w:w="769" w:type="pct"/>
            <w:tcBorders>
              <w:tl2br w:val="nil"/>
              <w:tr2bl w:val="nil"/>
            </w:tcBorders>
            <w:noWrap w:val="0"/>
            <w:vAlign w:val="center"/>
          </w:tcPr>
          <w:p w14:paraId="6791A1F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F1DC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28C83A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Na</w:t>
            </w:r>
            <w:r>
              <w:rPr>
                <w:rFonts w:hint="default" w:ascii="Times New Roman" w:hAnsi="Times New Roman" w:eastAsia="宋体" w:cs="Times New Roman"/>
                <w:color w:val="auto"/>
                <w:highlight w:val="none"/>
                <w:vertAlign w:val="superscript"/>
              </w:rPr>
              <w:t>+</w:t>
            </w:r>
          </w:p>
        </w:tc>
        <w:tc>
          <w:tcPr>
            <w:tcW w:w="1117" w:type="pct"/>
            <w:tcBorders>
              <w:tl2br w:val="nil"/>
              <w:tr2bl w:val="nil"/>
            </w:tcBorders>
            <w:noWrap w:val="0"/>
            <w:vAlign w:val="center"/>
          </w:tcPr>
          <w:p w14:paraId="3EDB185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 xml:space="preserve">3.5 </w:t>
            </w:r>
          </w:p>
        </w:tc>
        <w:tc>
          <w:tcPr>
            <w:tcW w:w="1117" w:type="pct"/>
            <w:tcBorders>
              <w:tl2br w:val="nil"/>
              <w:tr2bl w:val="nil"/>
            </w:tcBorders>
            <w:noWrap w:val="0"/>
            <w:vAlign w:val="center"/>
          </w:tcPr>
          <w:p w14:paraId="715B52E6">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w:t>
            </w:r>
            <w:r>
              <w:rPr>
                <w:rFonts w:hint="default" w:ascii="Times New Roman" w:hAnsi="Times New Roman" w:eastAsia="宋体" w:cs="Times New Roman"/>
                <w:color w:val="auto"/>
                <w:highlight w:val="none"/>
                <w:lang w:val="en-US" w:eastAsia="zh-CN"/>
              </w:rPr>
              <w:t xml:space="preserve">.9 </w:t>
            </w:r>
          </w:p>
        </w:tc>
        <w:tc>
          <w:tcPr>
            <w:tcW w:w="1119" w:type="pct"/>
            <w:tcBorders>
              <w:tl2br w:val="nil"/>
              <w:tr2bl w:val="nil"/>
            </w:tcBorders>
            <w:noWrap w:val="0"/>
            <w:vAlign w:val="center"/>
          </w:tcPr>
          <w:p w14:paraId="7DC739AA">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 xml:space="preserve">6.1 </w:t>
            </w:r>
          </w:p>
        </w:tc>
        <w:tc>
          <w:tcPr>
            <w:tcW w:w="769" w:type="pct"/>
            <w:tcBorders>
              <w:tl2br w:val="nil"/>
              <w:tr2bl w:val="nil"/>
            </w:tcBorders>
            <w:noWrap w:val="0"/>
            <w:vAlign w:val="center"/>
          </w:tcPr>
          <w:p w14:paraId="1732D07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2A0C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701F70A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Ca</w:t>
            </w:r>
            <w:r>
              <w:rPr>
                <w:rFonts w:hint="default" w:ascii="Times New Roman" w:hAnsi="Times New Roman" w:eastAsia="宋体" w:cs="Times New Roman"/>
                <w:color w:val="auto"/>
                <w:highlight w:val="none"/>
                <w:vertAlign w:val="superscript"/>
              </w:rPr>
              <w:t>2+</w:t>
            </w:r>
          </w:p>
        </w:tc>
        <w:tc>
          <w:tcPr>
            <w:tcW w:w="1117" w:type="pct"/>
            <w:tcBorders>
              <w:tl2br w:val="nil"/>
              <w:tr2bl w:val="nil"/>
            </w:tcBorders>
            <w:noWrap w:val="0"/>
            <w:vAlign w:val="center"/>
          </w:tcPr>
          <w:p w14:paraId="1DB876B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lang w:val="en-US" w:eastAsia="zh-CN"/>
              </w:rPr>
              <w:t xml:space="preserve">.1 </w:t>
            </w:r>
          </w:p>
        </w:tc>
        <w:tc>
          <w:tcPr>
            <w:tcW w:w="1117" w:type="pct"/>
            <w:tcBorders>
              <w:tl2br w:val="nil"/>
              <w:tr2bl w:val="nil"/>
            </w:tcBorders>
            <w:noWrap w:val="0"/>
            <w:vAlign w:val="center"/>
          </w:tcPr>
          <w:p w14:paraId="037A017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26.8</w:t>
            </w:r>
          </w:p>
        </w:tc>
        <w:tc>
          <w:tcPr>
            <w:tcW w:w="1119" w:type="pct"/>
            <w:tcBorders>
              <w:tl2br w:val="nil"/>
              <w:tr2bl w:val="nil"/>
            </w:tcBorders>
            <w:noWrap w:val="0"/>
            <w:vAlign w:val="center"/>
          </w:tcPr>
          <w:p w14:paraId="4C50872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24.5</w:t>
            </w:r>
          </w:p>
        </w:tc>
        <w:tc>
          <w:tcPr>
            <w:tcW w:w="769" w:type="pct"/>
            <w:tcBorders>
              <w:tl2br w:val="nil"/>
              <w:tr2bl w:val="nil"/>
            </w:tcBorders>
            <w:noWrap w:val="0"/>
            <w:vAlign w:val="center"/>
          </w:tcPr>
          <w:p w14:paraId="6C15AB5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BB4E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759CD2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Mg</w:t>
            </w:r>
            <w:r>
              <w:rPr>
                <w:rFonts w:hint="default" w:ascii="Times New Roman" w:hAnsi="Times New Roman" w:eastAsia="宋体" w:cs="Times New Roman"/>
                <w:color w:val="auto"/>
                <w:highlight w:val="none"/>
                <w:vertAlign w:val="superscript"/>
              </w:rPr>
              <w:t>2+</w:t>
            </w:r>
          </w:p>
        </w:tc>
        <w:tc>
          <w:tcPr>
            <w:tcW w:w="1117" w:type="pct"/>
            <w:tcBorders>
              <w:tl2br w:val="nil"/>
              <w:tr2bl w:val="nil"/>
            </w:tcBorders>
            <w:noWrap w:val="0"/>
            <w:vAlign w:val="center"/>
          </w:tcPr>
          <w:p w14:paraId="1013571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10.9 </w:t>
            </w:r>
          </w:p>
        </w:tc>
        <w:tc>
          <w:tcPr>
            <w:tcW w:w="1117" w:type="pct"/>
            <w:tcBorders>
              <w:tl2br w:val="nil"/>
              <w:tr2bl w:val="nil"/>
            </w:tcBorders>
            <w:noWrap w:val="0"/>
            <w:vAlign w:val="center"/>
          </w:tcPr>
          <w:p w14:paraId="255D7A8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13.1</w:t>
            </w:r>
          </w:p>
        </w:tc>
        <w:tc>
          <w:tcPr>
            <w:tcW w:w="1119" w:type="pct"/>
            <w:tcBorders>
              <w:tl2br w:val="nil"/>
              <w:tr2bl w:val="nil"/>
            </w:tcBorders>
            <w:noWrap w:val="0"/>
            <w:vAlign w:val="center"/>
          </w:tcPr>
          <w:p w14:paraId="3342685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12.5</w:t>
            </w:r>
          </w:p>
        </w:tc>
        <w:tc>
          <w:tcPr>
            <w:tcW w:w="769" w:type="pct"/>
            <w:tcBorders>
              <w:tl2br w:val="nil"/>
              <w:tr2bl w:val="nil"/>
            </w:tcBorders>
            <w:noWrap w:val="0"/>
            <w:vAlign w:val="center"/>
          </w:tcPr>
          <w:p w14:paraId="3EB88A0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EC2A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1A5D2F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vertAlign w:val="superscript"/>
              </w:rPr>
              <w:t>2-</w:t>
            </w:r>
          </w:p>
        </w:tc>
        <w:tc>
          <w:tcPr>
            <w:tcW w:w="1117" w:type="pct"/>
            <w:tcBorders>
              <w:tl2br w:val="nil"/>
              <w:tr2bl w:val="nil"/>
            </w:tcBorders>
            <w:noWrap w:val="0"/>
            <w:vAlign w:val="center"/>
          </w:tcPr>
          <w:p w14:paraId="39E5B79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117" w:type="pct"/>
            <w:tcBorders>
              <w:tl2br w:val="nil"/>
              <w:tr2bl w:val="nil"/>
            </w:tcBorders>
            <w:noWrap w:val="0"/>
            <w:vAlign w:val="center"/>
          </w:tcPr>
          <w:p w14:paraId="126DEF4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1119" w:type="pct"/>
            <w:tcBorders>
              <w:tl2br w:val="nil"/>
              <w:tr2bl w:val="nil"/>
            </w:tcBorders>
            <w:noWrap w:val="0"/>
            <w:vAlign w:val="center"/>
          </w:tcPr>
          <w:p w14:paraId="630CE68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w:t>
            </w:r>
          </w:p>
        </w:tc>
        <w:tc>
          <w:tcPr>
            <w:tcW w:w="769" w:type="pct"/>
            <w:tcBorders>
              <w:tl2br w:val="nil"/>
              <w:tr2bl w:val="nil"/>
            </w:tcBorders>
            <w:noWrap w:val="0"/>
            <w:vAlign w:val="center"/>
          </w:tcPr>
          <w:p w14:paraId="5F9C568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41F45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BEB1020">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perscript"/>
              </w:rPr>
              <w:t>3-</w:t>
            </w:r>
          </w:p>
        </w:tc>
        <w:tc>
          <w:tcPr>
            <w:tcW w:w="1117" w:type="pct"/>
            <w:tcBorders>
              <w:tl2br w:val="nil"/>
              <w:tr2bl w:val="nil"/>
            </w:tcBorders>
            <w:noWrap w:val="0"/>
            <w:vAlign w:val="center"/>
          </w:tcPr>
          <w:p w14:paraId="0AB7EAA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152</w:t>
            </w:r>
          </w:p>
        </w:tc>
        <w:tc>
          <w:tcPr>
            <w:tcW w:w="1117" w:type="pct"/>
            <w:tcBorders>
              <w:tl2br w:val="nil"/>
              <w:tr2bl w:val="nil"/>
            </w:tcBorders>
            <w:noWrap w:val="0"/>
            <w:vAlign w:val="center"/>
          </w:tcPr>
          <w:p w14:paraId="0D78B4C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1119" w:type="pct"/>
            <w:tcBorders>
              <w:tl2br w:val="nil"/>
              <w:tr2bl w:val="nil"/>
            </w:tcBorders>
            <w:noWrap w:val="0"/>
            <w:vAlign w:val="center"/>
          </w:tcPr>
          <w:p w14:paraId="7F84DDF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177</w:t>
            </w:r>
          </w:p>
        </w:tc>
        <w:tc>
          <w:tcPr>
            <w:tcW w:w="769" w:type="pct"/>
            <w:tcBorders>
              <w:tl2br w:val="nil"/>
              <w:tr2bl w:val="nil"/>
            </w:tcBorders>
            <w:noWrap w:val="0"/>
            <w:vAlign w:val="center"/>
          </w:tcPr>
          <w:p w14:paraId="03BF182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6DDEC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38780FD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Cl</w:t>
            </w:r>
            <w:r>
              <w:rPr>
                <w:rFonts w:hint="default" w:ascii="Times New Roman" w:hAnsi="Times New Roman" w:eastAsia="宋体" w:cs="Times New Roman"/>
                <w:color w:val="auto"/>
                <w:highlight w:val="none"/>
                <w:vertAlign w:val="superscript"/>
                <w:lang w:val="en-US" w:eastAsia="zh-CN"/>
              </w:rPr>
              <w:t>-</w:t>
            </w:r>
          </w:p>
        </w:tc>
        <w:tc>
          <w:tcPr>
            <w:tcW w:w="1117" w:type="pct"/>
            <w:tcBorders>
              <w:tl2br w:val="nil"/>
              <w:tr2bl w:val="nil"/>
            </w:tcBorders>
            <w:noWrap w:val="0"/>
            <w:vAlign w:val="center"/>
          </w:tcPr>
          <w:p w14:paraId="5B0CF01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12.6</w:t>
            </w:r>
          </w:p>
        </w:tc>
        <w:tc>
          <w:tcPr>
            <w:tcW w:w="1117" w:type="pct"/>
            <w:tcBorders>
              <w:tl2br w:val="nil"/>
              <w:tr2bl w:val="nil"/>
            </w:tcBorders>
            <w:noWrap w:val="0"/>
            <w:vAlign w:val="center"/>
          </w:tcPr>
          <w:p w14:paraId="311C563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15.2</w:t>
            </w:r>
          </w:p>
        </w:tc>
        <w:tc>
          <w:tcPr>
            <w:tcW w:w="1119" w:type="pct"/>
            <w:tcBorders>
              <w:tl2br w:val="nil"/>
              <w:tr2bl w:val="nil"/>
            </w:tcBorders>
            <w:noWrap w:val="0"/>
            <w:vAlign w:val="center"/>
          </w:tcPr>
          <w:p w14:paraId="27D7DE3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14.9 </w:t>
            </w:r>
          </w:p>
        </w:tc>
        <w:tc>
          <w:tcPr>
            <w:tcW w:w="769" w:type="pct"/>
            <w:tcBorders>
              <w:tl2br w:val="nil"/>
              <w:tr2bl w:val="nil"/>
            </w:tcBorders>
            <w:noWrap w:val="0"/>
            <w:vAlign w:val="center"/>
          </w:tcPr>
          <w:p w14:paraId="0856D11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63679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36FF38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SO</w:t>
            </w:r>
            <w:r>
              <w:rPr>
                <w:rFonts w:hint="default" w:ascii="Times New Roman" w:hAnsi="Times New Roman" w:eastAsia="宋体" w:cs="Times New Roman"/>
                <w:color w:val="auto"/>
                <w:highlight w:val="none"/>
                <w:vertAlign w:val="subscript"/>
                <w:lang w:val="en-US" w:eastAsia="zh-CN"/>
              </w:rPr>
              <w:t>4</w:t>
            </w:r>
            <w:r>
              <w:rPr>
                <w:rFonts w:hint="default" w:ascii="Times New Roman" w:hAnsi="Times New Roman" w:eastAsia="宋体" w:cs="Times New Roman"/>
                <w:color w:val="auto"/>
                <w:highlight w:val="none"/>
                <w:vertAlign w:val="superscript"/>
                <w:lang w:val="en-US" w:eastAsia="zh-CN"/>
              </w:rPr>
              <w:t>2-</w:t>
            </w:r>
          </w:p>
        </w:tc>
        <w:tc>
          <w:tcPr>
            <w:tcW w:w="1117" w:type="pct"/>
            <w:tcBorders>
              <w:tl2br w:val="nil"/>
              <w:tr2bl w:val="nil"/>
            </w:tcBorders>
            <w:noWrap w:val="0"/>
            <w:vAlign w:val="center"/>
          </w:tcPr>
          <w:p w14:paraId="2345424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22.9</w:t>
            </w:r>
          </w:p>
        </w:tc>
        <w:tc>
          <w:tcPr>
            <w:tcW w:w="1117" w:type="pct"/>
            <w:tcBorders>
              <w:tl2br w:val="nil"/>
              <w:tr2bl w:val="nil"/>
            </w:tcBorders>
            <w:noWrap w:val="0"/>
            <w:vAlign w:val="center"/>
          </w:tcPr>
          <w:p w14:paraId="035DA17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28.1</w:t>
            </w:r>
          </w:p>
        </w:tc>
        <w:tc>
          <w:tcPr>
            <w:tcW w:w="1119" w:type="pct"/>
            <w:tcBorders>
              <w:tl2br w:val="nil"/>
              <w:tr2bl w:val="nil"/>
            </w:tcBorders>
            <w:noWrap w:val="0"/>
            <w:vAlign w:val="center"/>
          </w:tcPr>
          <w:p w14:paraId="47795C5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24.5</w:t>
            </w:r>
          </w:p>
        </w:tc>
        <w:tc>
          <w:tcPr>
            <w:tcW w:w="769" w:type="pct"/>
            <w:tcBorders>
              <w:tl2br w:val="nil"/>
              <w:tr2bl w:val="nil"/>
            </w:tcBorders>
            <w:noWrap w:val="0"/>
            <w:vAlign w:val="center"/>
          </w:tcPr>
          <w:p w14:paraId="6334436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1682BF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7993CE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pH</w:t>
            </w:r>
            <w:r>
              <w:rPr>
                <w:rFonts w:hint="eastAsia" w:ascii="Times New Roman" w:hAnsi="Times New Roman" w:eastAsia="宋体" w:cs="Times New Roman"/>
                <w:color w:val="auto"/>
                <w:highlight w:val="none"/>
                <w:lang w:val="en-US" w:eastAsia="zh-CN"/>
              </w:rPr>
              <w:t>值</w:t>
            </w:r>
          </w:p>
        </w:tc>
        <w:tc>
          <w:tcPr>
            <w:tcW w:w="1117" w:type="pct"/>
            <w:tcBorders>
              <w:tl2br w:val="nil"/>
              <w:tr2bl w:val="nil"/>
            </w:tcBorders>
            <w:noWrap w:val="0"/>
            <w:vAlign w:val="center"/>
          </w:tcPr>
          <w:p w14:paraId="7EECCEE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7.3</w:t>
            </w:r>
          </w:p>
        </w:tc>
        <w:tc>
          <w:tcPr>
            <w:tcW w:w="1117" w:type="pct"/>
            <w:tcBorders>
              <w:tl2br w:val="nil"/>
              <w:tr2bl w:val="nil"/>
            </w:tcBorders>
            <w:noWrap w:val="0"/>
            <w:vAlign w:val="center"/>
          </w:tcPr>
          <w:p w14:paraId="0E66D5B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7.5</w:t>
            </w:r>
          </w:p>
        </w:tc>
        <w:tc>
          <w:tcPr>
            <w:tcW w:w="1119" w:type="pct"/>
            <w:tcBorders>
              <w:tl2br w:val="nil"/>
              <w:tr2bl w:val="nil"/>
            </w:tcBorders>
            <w:noWrap w:val="0"/>
            <w:vAlign w:val="center"/>
          </w:tcPr>
          <w:p w14:paraId="12F400E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w:t>
            </w:r>
          </w:p>
        </w:tc>
        <w:tc>
          <w:tcPr>
            <w:tcW w:w="769" w:type="pct"/>
            <w:tcBorders>
              <w:tl2br w:val="nil"/>
              <w:tr2bl w:val="nil"/>
            </w:tcBorders>
            <w:noWrap w:val="0"/>
            <w:vAlign w:val="center"/>
          </w:tcPr>
          <w:p w14:paraId="3B4C961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无量纲</w:t>
            </w:r>
          </w:p>
        </w:tc>
      </w:tr>
      <w:tr w14:paraId="5E0AC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5288E6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高锰酸盐指数</w:t>
            </w:r>
          </w:p>
        </w:tc>
        <w:tc>
          <w:tcPr>
            <w:tcW w:w="1117" w:type="pct"/>
            <w:tcBorders>
              <w:tl2br w:val="nil"/>
              <w:tr2bl w:val="nil"/>
            </w:tcBorders>
            <w:noWrap w:val="0"/>
            <w:vAlign w:val="center"/>
          </w:tcPr>
          <w:p w14:paraId="5968E60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1117" w:type="pct"/>
            <w:tcBorders>
              <w:tl2br w:val="nil"/>
              <w:tr2bl w:val="nil"/>
            </w:tcBorders>
            <w:noWrap w:val="0"/>
            <w:vAlign w:val="center"/>
          </w:tcPr>
          <w:p w14:paraId="55E3017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c>
          <w:tcPr>
            <w:tcW w:w="1119" w:type="pct"/>
            <w:tcBorders>
              <w:tl2br w:val="nil"/>
              <w:tr2bl w:val="nil"/>
            </w:tcBorders>
            <w:noWrap w:val="0"/>
            <w:vAlign w:val="center"/>
          </w:tcPr>
          <w:p w14:paraId="53821D7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769" w:type="pct"/>
            <w:tcBorders>
              <w:tl2br w:val="nil"/>
              <w:tr2bl w:val="nil"/>
            </w:tcBorders>
            <w:noWrap w:val="0"/>
            <w:vAlign w:val="center"/>
          </w:tcPr>
          <w:p w14:paraId="4D92282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3A99C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347418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氨氮</w:t>
            </w:r>
          </w:p>
        </w:tc>
        <w:tc>
          <w:tcPr>
            <w:tcW w:w="1117" w:type="pct"/>
            <w:tcBorders>
              <w:tl2br w:val="nil"/>
              <w:tr2bl w:val="nil"/>
            </w:tcBorders>
            <w:noWrap w:val="0"/>
            <w:vAlign w:val="center"/>
          </w:tcPr>
          <w:p w14:paraId="4034EF3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0.206</w:t>
            </w:r>
          </w:p>
        </w:tc>
        <w:tc>
          <w:tcPr>
            <w:tcW w:w="1117" w:type="pct"/>
            <w:tcBorders>
              <w:tl2br w:val="nil"/>
              <w:tr2bl w:val="nil"/>
            </w:tcBorders>
            <w:noWrap w:val="0"/>
            <w:vAlign w:val="center"/>
          </w:tcPr>
          <w:p w14:paraId="2386CB9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0.286</w:t>
            </w:r>
          </w:p>
        </w:tc>
        <w:tc>
          <w:tcPr>
            <w:tcW w:w="1119" w:type="pct"/>
            <w:tcBorders>
              <w:tl2br w:val="nil"/>
              <w:tr2bl w:val="nil"/>
            </w:tcBorders>
            <w:noWrap w:val="0"/>
            <w:vAlign w:val="center"/>
          </w:tcPr>
          <w:p w14:paraId="67FF5D4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0.222</w:t>
            </w:r>
          </w:p>
        </w:tc>
        <w:tc>
          <w:tcPr>
            <w:tcW w:w="769" w:type="pct"/>
            <w:tcBorders>
              <w:tl2br w:val="nil"/>
              <w:tr2bl w:val="nil"/>
            </w:tcBorders>
            <w:noWrap w:val="0"/>
            <w:vAlign w:val="center"/>
          </w:tcPr>
          <w:p w14:paraId="0866369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73971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31D33B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总硬度</w:t>
            </w:r>
          </w:p>
        </w:tc>
        <w:tc>
          <w:tcPr>
            <w:tcW w:w="1117" w:type="pct"/>
            <w:tcBorders>
              <w:tl2br w:val="nil"/>
              <w:tr2bl w:val="nil"/>
            </w:tcBorders>
            <w:noWrap w:val="0"/>
            <w:vAlign w:val="center"/>
          </w:tcPr>
          <w:p w14:paraId="0D90EC21">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1117" w:type="pct"/>
            <w:tcBorders>
              <w:tl2br w:val="nil"/>
              <w:tr2bl w:val="nil"/>
            </w:tcBorders>
            <w:noWrap w:val="0"/>
            <w:vAlign w:val="center"/>
          </w:tcPr>
          <w:p w14:paraId="244657B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121</w:t>
            </w:r>
          </w:p>
        </w:tc>
        <w:tc>
          <w:tcPr>
            <w:tcW w:w="1119" w:type="pct"/>
            <w:tcBorders>
              <w:tl2br w:val="nil"/>
              <w:tr2bl w:val="nil"/>
            </w:tcBorders>
            <w:noWrap w:val="0"/>
            <w:vAlign w:val="center"/>
          </w:tcPr>
          <w:p w14:paraId="7A038C6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113</w:t>
            </w:r>
          </w:p>
        </w:tc>
        <w:tc>
          <w:tcPr>
            <w:tcW w:w="769" w:type="pct"/>
            <w:tcBorders>
              <w:tl2br w:val="nil"/>
              <w:tr2bl w:val="nil"/>
            </w:tcBorders>
            <w:noWrap w:val="0"/>
            <w:vAlign w:val="center"/>
          </w:tcPr>
          <w:p w14:paraId="60B94EF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C7E8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C5EBE08">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硝酸盐</w:t>
            </w:r>
          </w:p>
          <w:p w14:paraId="01BABC3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（以N计）</w:t>
            </w:r>
          </w:p>
        </w:tc>
        <w:tc>
          <w:tcPr>
            <w:tcW w:w="1117" w:type="pct"/>
            <w:tcBorders>
              <w:tl2br w:val="nil"/>
              <w:tr2bl w:val="nil"/>
            </w:tcBorders>
            <w:noWrap w:val="0"/>
            <w:vAlign w:val="center"/>
          </w:tcPr>
          <w:p w14:paraId="7A63D9C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04</w:t>
            </w:r>
          </w:p>
        </w:tc>
        <w:tc>
          <w:tcPr>
            <w:tcW w:w="1117" w:type="pct"/>
            <w:tcBorders>
              <w:tl2br w:val="nil"/>
              <w:tr2bl w:val="nil"/>
            </w:tcBorders>
            <w:noWrap w:val="0"/>
            <w:vAlign w:val="center"/>
          </w:tcPr>
          <w:p w14:paraId="2D87DA7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12</w:t>
            </w:r>
          </w:p>
        </w:tc>
        <w:tc>
          <w:tcPr>
            <w:tcW w:w="1119" w:type="pct"/>
            <w:tcBorders>
              <w:tl2br w:val="nil"/>
              <w:tr2bl w:val="nil"/>
            </w:tcBorders>
            <w:noWrap w:val="0"/>
            <w:vAlign w:val="center"/>
          </w:tcPr>
          <w:p w14:paraId="29EA55B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10</w:t>
            </w:r>
          </w:p>
        </w:tc>
        <w:tc>
          <w:tcPr>
            <w:tcW w:w="769" w:type="pct"/>
            <w:tcBorders>
              <w:tl2br w:val="nil"/>
              <w:tr2bl w:val="nil"/>
            </w:tcBorders>
            <w:noWrap w:val="0"/>
            <w:vAlign w:val="center"/>
          </w:tcPr>
          <w:p w14:paraId="716BA26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6C095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3C7AA0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亚硝酸盐</w:t>
            </w:r>
          </w:p>
          <w:p w14:paraId="37F2B00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（以N计）</w:t>
            </w:r>
          </w:p>
        </w:tc>
        <w:tc>
          <w:tcPr>
            <w:tcW w:w="1117" w:type="pct"/>
            <w:tcBorders>
              <w:tl2br w:val="nil"/>
              <w:tr2bl w:val="nil"/>
            </w:tcBorders>
            <w:noWrap w:val="0"/>
            <w:vAlign w:val="center"/>
          </w:tcPr>
          <w:p w14:paraId="4A6B7E2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0.003L</w:t>
            </w:r>
          </w:p>
        </w:tc>
        <w:tc>
          <w:tcPr>
            <w:tcW w:w="1117" w:type="pct"/>
            <w:tcBorders>
              <w:tl2br w:val="nil"/>
              <w:tr2bl w:val="nil"/>
            </w:tcBorders>
            <w:noWrap w:val="0"/>
            <w:vAlign w:val="center"/>
          </w:tcPr>
          <w:p w14:paraId="6AA01988">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0.003L</w:t>
            </w:r>
          </w:p>
        </w:tc>
        <w:tc>
          <w:tcPr>
            <w:tcW w:w="1119" w:type="pct"/>
            <w:tcBorders>
              <w:tl2br w:val="nil"/>
              <w:tr2bl w:val="nil"/>
            </w:tcBorders>
            <w:noWrap w:val="0"/>
            <w:vAlign w:val="center"/>
          </w:tcPr>
          <w:p w14:paraId="1C128D11">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0.003L</w:t>
            </w:r>
          </w:p>
        </w:tc>
        <w:tc>
          <w:tcPr>
            <w:tcW w:w="769" w:type="pct"/>
            <w:tcBorders>
              <w:tl2br w:val="nil"/>
              <w:tr2bl w:val="nil"/>
            </w:tcBorders>
            <w:noWrap w:val="0"/>
            <w:vAlign w:val="center"/>
          </w:tcPr>
          <w:p w14:paraId="71574FB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3C217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51428E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硫酸盐</w:t>
            </w:r>
          </w:p>
        </w:tc>
        <w:tc>
          <w:tcPr>
            <w:tcW w:w="1117" w:type="pct"/>
            <w:tcBorders>
              <w:tl2br w:val="nil"/>
              <w:tr2bl w:val="nil"/>
            </w:tcBorders>
            <w:noWrap w:val="0"/>
            <w:vAlign w:val="center"/>
          </w:tcPr>
          <w:p w14:paraId="562EE15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w:t>
            </w:r>
          </w:p>
        </w:tc>
        <w:tc>
          <w:tcPr>
            <w:tcW w:w="1117" w:type="pct"/>
            <w:tcBorders>
              <w:tl2br w:val="nil"/>
              <w:tr2bl w:val="nil"/>
            </w:tcBorders>
            <w:noWrap w:val="0"/>
            <w:vAlign w:val="center"/>
          </w:tcPr>
          <w:p w14:paraId="20EA1A0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w:t>
            </w:r>
          </w:p>
        </w:tc>
        <w:tc>
          <w:tcPr>
            <w:tcW w:w="1119" w:type="pct"/>
            <w:tcBorders>
              <w:tl2br w:val="nil"/>
              <w:tr2bl w:val="nil"/>
            </w:tcBorders>
            <w:noWrap w:val="0"/>
            <w:vAlign w:val="center"/>
          </w:tcPr>
          <w:p w14:paraId="3CA4742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c>
          <w:tcPr>
            <w:tcW w:w="769" w:type="pct"/>
            <w:tcBorders>
              <w:tl2br w:val="nil"/>
              <w:tr2bl w:val="nil"/>
            </w:tcBorders>
            <w:noWrap w:val="0"/>
            <w:vAlign w:val="center"/>
          </w:tcPr>
          <w:p w14:paraId="5F1C9AC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08450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CB91C4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氯化物</w:t>
            </w:r>
          </w:p>
        </w:tc>
        <w:tc>
          <w:tcPr>
            <w:tcW w:w="1117" w:type="pct"/>
            <w:tcBorders>
              <w:tl2br w:val="nil"/>
              <w:tr2bl w:val="nil"/>
            </w:tcBorders>
            <w:noWrap w:val="0"/>
            <w:vAlign w:val="center"/>
          </w:tcPr>
          <w:p w14:paraId="7153B64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12.1</w:t>
            </w:r>
          </w:p>
        </w:tc>
        <w:tc>
          <w:tcPr>
            <w:tcW w:w="1117" w:type="pct"/>
            <w:tcBorders>
              <w:tl2br w:val="nil"/>
              <w:tr2bl w:val="nil"/>
            </w:tcBorders>
            <w:noWrap w:val="0"/>
            <w:vAlign w:val="center"/>
          </w:tcPr>
          <w:p w14:paraId="5FDF8BE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14.6</w:t>
            </w:r>
          </w:p>
        </w:tc>
        <w:tc>
          <w:tcPr>
            <w:tcW w:w="1119" w:type="pct"/>
            <w:tcBorders>
              <w:tl2br w:val="nil"/>
              <w:tr2bl w:val="nil"/>
            </w:tcBorders>
            <w:noWrap w:val="0"/>
            <w:vAlign w:val="center"/>
          </w:tcPr>
          <w:p w14:paraId="675C2E4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14.1</w:t>
            </w:r>
          </w:p>
        </w:tc>
        <w:tc>
          <w:tcPr>
            <w:tcW w:w="769" w:type="pct"/>
            <w:tcBorders>
              <w:tl2br w:val="nil"/>
              <w:tr2bl w:val="nil"/>
            </w:tcBorders>
            <w:noWrap w:val="0"/>
            <w:vAlign w:val="center"/>
          </w:tcPr>
          <w:p w14:paraId="4B81536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08155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76C09C6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铁</w:t>
            </w:r>
          </w:p>
        </w:tc>
        <w:tc>
          <w:tcPr>
            <w:tcW w:w="1117" w:type="pct"/>
            <w:tcBorders>
              <w:tl2br w:val="nil"/>
              <w:tr2bl w:val="nil"/>
            </w:tcBorders>
            <w:noWrap w:val="0"/>
            <w:vAlign w:val="center"/>
          </w:tcPr>
          <w:p w14:paraId="34C56C3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0.19</w:t>
            </w:r>
          </w:p>
        </w:tc>
        <w:tc>
          <w:tcPr>
            <w:tcW w:w="1117" w:type="pct"/>
            <w:tcBorders>
              <w:tl2br w:val="nil"/>
              <w:tr2bl w:val="nil"/>
            </w:tcBorders>
            <w:noWrap w:val="0"/>
            <w:vAlign w:val="center"/>
          </w:tcPr>
          <w:p w14:paraId="1AE6168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0.22</w:t>
            </w:r>
          </w:p>
        </w:tc>
        <w:tc>
          <w:tcPr>
            <w:tcW w:w="1119" w:type="pct"/>
            <w:tcBorders>
              <w:tl2br w:val="nil"/>
              <w:tr2bl w:val="nil"/>
            </w:tcBorders>
            <w:noWrap w:val="0"/>
            <w:vAlign w:val="center"/>
          </w:tcPr>
          <w:p w14:paraId="6CE81D7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0.13</w:t>
            </w:r>
          </w:p>
        </w:tc>
        <w:tc>
          <w:tcPr>
            <w:tcW w:w="769" w:type="pct"/>
            <w:tcBorders>
              <w:tl2br w:val="nil"/>
              <w:tr2bl w:val="nil"/>
            </w:tcBorders>
            <w:noWrap w:val="0"/>
            <w:vAlign w:val="center"/>
          </w:tcPr>
          <w:p w14:paraId="35A12CE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CD8F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5B77D3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锰</w:t>
            </w:r>
          </w:p>
        </w:tc>
        <w:tc>
          <w:tcPr>
            <w:tcW w:w="1117" w:type="pct"/>
            <w:tcBorders>
              <w:tl2br w:val="nil"/>
              <w:tr2bl w:val="nil"/>
            </w:tcBorders>
            <w:noWrap w:val="0"/>
            <w:vAlign w:val="center"/>
          </w:tcPr>
          <w:p w14:paraId="1E4C6D3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0.03</w:t>
            </w:r>
          </w:p>
        </w:tc>
        <w:tc>
          <w:tcPr>
            <w:tcW w:w="1117" w:type="pct"/>
            <w:tcBorders>
              <w:tl2br w:val="nil"/>
              <w:tr2bl w:val="nil"/>
            </w:tcBorders>
            <w:noWrap w:val="0"/>
            <w:vAlign w:val="center"/>
          </w:tcPr>
          <w:p w14:paraId="37C4D61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0.06</w:t>
            </w:r>
          </w:p>
        </w:tc>
        <w:tc>
          <w:tcPr>
            <w:tcW w:w="1119" w:type="pct"/>
            <w:tcBorders>
              <w:tl2br w:val="nil"/>
              <w:tr2bl w:val="nil"/>
            </w:tcBorders>
            <w:noWrap w:val="0"/>
            <w:vAlign w:val="center"/>
          </w:tcPr>
          <w:p w14:paraId="0AB6FCB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0.08</w:t>
            </w:r>
          </w:p>
        </w:tc>
        <w:tc>
          <w:tcPr>
            <w:tcW w:w="769" w:type="pct"/>
            <w:tcBorders>
              <w:tl2br w:val="nil"/>
              <w:tr2bl w:val="nil"/>
            </w:tcBorders>
            <w:noWrap w:val="0"/>
            <w:vAlign w:val="center"/>
          </w:tcPr>
          <w:p w14:paraId="72ED0F6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76E83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AFCD6B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总大肠菌群</w:t>
            </w:r>
          </w:p>
        </w:tc>
        <w:tc>
          <w:tcPr>
            <w:tcW w:w="1117" w:type="pct"/>
            <w:tcBorders>
              <w:tl2br w:val="nil"/>
              <w:tr2bl w:val="nil"/>
            </w:tcBorders>
            <w:noWrap w:val="0"/>
            <w:vAlign w:val="center"/>
          </w:tcPr>
          <w:p w14:paraId="456A16B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2L</w:t>
            </w:r>
          </w:p>
        </w:tc>
        <w:tc>
          <w:tcPr>
            <w:tcW w:w="1117" w:type="pct"/>
            <w:tcBorders>
              <w:tl2br w:val="nil"/>
              <w:tr2bl w:val="nil"/>
            </w:tcBorders>
            <w:noWrap w:val="0"/>
            <w:vAlign w:val="center"/>
          </w:tcPr>
          <w:p w14:paraId="592372C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2L</w:t>
            </w:r>
          </w:p>
        </w:tc>
        <w:tc>
          <w:tcPr>
            <w:tcW w:w="1119" w:type="pct"/>
            <w:tcBorders>
              <w:tl2br w:val="nil"/>
              <w:tr2bl w:val="nil"/>
            </w:tcBorders>
            <w:noWrap w:val="0"/>
            <w:vAlign w:val="center"/>
          </w:tcPr>
          <w:p w14:paraId="63F8826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2L</w:t>
            </w:r>
          </w:p>
        </w:tc>
        <w:tc>
          <w:tcPr>
            <w:tcW w:w="769" w:type="pct"/>
            <w:tcBorders>
              <w:tl2br w:val="nil"/>
              <w:tr2bl w:val="nil"/>
            </w:tcBorders>
            <w:noWrap w:val="0"/>
            <w:vAlign w:val="center"/>
          </w:tcPr>
          <w:p w14:paraId="12769DE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MPN/100mL</w:t>
            </w:r>
          </w:p>
        </w:tc>
      </w:tr>
      <w:tr w14:paraId="0AEFF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B4E544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挥发酚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类</w:t>
            </w:r>
            <w:r>
              <w:rPr>
                <w:rFonts w:hint="default" w:ascii="Times New Roman" w:hAnsi="Times New Roman" w:eastAsia="宋体" w:cs="Times New Roman"/>
                <w:color w:val="auto"/>
                <w:highlight w:val="none"/>
                <w:lang w:eastAsia="zh-CN"/>
              </w:rPr>
              <w:t>）</w:t>
            </w:r>
          </w:p>
        </w:tc>
        <w:tc>
          <w:tcPr>
            <w:tcW w:w="1117" w:type="pct"/>
            <w:tcBorders>
              <w:tl2br w:val="nil"/>
              <w:tr2bl w:val="nil"/>
            </w:tcBorders>
            <w:noWrap w:val="0"/>
            <w:vAlign w:val="center"/>
          </w:tcPr>
          <w:p w14:paraId="29AE4D5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1117" w:type="pct"/>
            <w:tcBorders>
              <w:tl2br w:val="nil"/>
              <w:tr2bl w:val="nil"/>
            </w:tcBorders>
            <w:noWrap w:val="0"/>
            <w:vAlign w:val="center"/>
          </w:tcPr>
          <w:p w14:paraId="794650C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1119" w:type="pct"/>
            <w:tcBorders>
              <w:tl2br w:val="nil"/>
              <w:tr2bl w:val="nil"/>
            </w:tcBorders>
            <w:noWrap w:val="0"/>
            <w:vAlign w:val="center"/>
          </w:tcPr>
          <w:p w14:paraId="68A9F8A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769" w:type="pct"/>
            <w:tcBorders>
              <w:tl2br w:val="nil"/>
              <w:tr2bl w:val="nil"/>
            </w:tcBorders>
            <w:noWrap w:val="0"/>
            <w:vAlign w:val="center"/>
          </w:tcPr>
          <w:p w14:paraId="6FC4482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1C92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CCEDDAE">
            <w:pPr>
              <w:pStyle w:val="146"/>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氰化物</w:t>
            </w:r>
          </w:p>
        </w:tc>
        <w:tc>
          <w:tcPr>
            <w:tcW w:w="1117" w:type="pct"/>
            <w:tcBorders>
              <w:tl2br w:val="nil"/>
              <w:tr2bl w:val="nil"/>
            </w:tcBorders>
            <w:noWrap w:val="0"/>
            <w:vAlign w:val="center"/>
          </w:tcPr>
          <w:p w14:paraId="36216C92">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0.004</w:t>
            </w:r>
            <w:r>
              <w:rPr>
                <w:rFonts w:hint="default" w:ascii="Times New Roman" w:hAnsi="Times New Roman" w:eastAsia="宋体" w:cs="Times New Roman"/>
                <w:color w:val="auto"/>
                <w:highlight w:val="none"/>
                <w:lang w:val="en-US" w:eastAsia="zh-CN"/>
              </w:rPr>
              <w:t>L</w:t>
            </w:r>
          </w:p>
        </w:tc>
        <w:tc>
          <w:tcPr>
            <w:tcW w:w="1117" w:type="pct"/>
            <w:tcBorders>
              <w:tl2br w:val="nil"/>
              <w:tr2bl w:val="nil"/>
            </w:tcBorders>
            <w:noWrap w:val="0"/>
            <w:vAlign w:val="center"/>
          </w:tcPr>
          <w:p w14:paraId="6B1A4E39">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0.004</w:t>
            </w:r>
            <w:r>
              <w:rPr>
                <w:rFonts w:hint="default" w:ascii="Times New Roman" w:hAnsi="Times New Roman" w:eastAsia="宋体" w:cs="Times New Roman"/>
                <w:color w:val="auto"/>
                <w:highlight w:val="none"/>
                <w:lang w:val="en-US" w:eastAsia="zh-CN"/>
              </w:rPr>
              <w:t>L</w:t>
            </w:r>
          </w:p>
        </w:tc>
        <w:tc>
          <w:tcPr>
            <w:tcW w:w="1119" w:type="pct"/>
            <w:tcBorders>
              <w:tl2br w:val="nil"/>
              <w:tr2bl w:val="nil"/>
            </w:tcBorders>
            <w:noWrap w:val="0"/>
            <w:vAlign w:val="center"/>
          </w:tcPr>
          <w:p w14:paraId="734601F3">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0.004</w:t>
            </w:r>
            <w:r>
              <w:rPr>
                <w:rFonts w:hint="default" w:ascii="Times New Roman" w:hAnsi="Times New Roman" w:eastAsia="宋体" w:cs="Times New Roman"/>
                <w:color w:val="auto"/>
                <w:highlight w:val="none"/>
                <w:lang w:val="en-US" w:eastAsia="zh-CN"/>
              </w:rPr>
              <w:t>L</w:t>
            </w:r>
          </w:p>
        </w:tc>
        <w:tc>
          <w:tcPr>
            <w:tcW w:w="769" w:type="pct"/>
            <w:tcBorders>
              <w:tl2br w:val="nil"/>
              <w:tr2bl w:val="nil"/>
            </w:tcBorders>
            <w:noWrap w:val="0"/>
            <w:vAlign w:val="center"/>
          </w:tcPr>
          <w:p w14:paraId="2C16BF7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DCA3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0BBC83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砷</w:t>
            </w:r>
          </w:p>
        </w:tc>
        <w:tc>
          <w:tcPr>
            <w:tcW w:w="1117" w:type="pct"/>
            <w:tcBorders>
              <w:tl2br w:val="nil"/>
              <w:tr2bl w:val="nil"/>
            </w:tcBorders>
            <w:noWrap w:val="0"/>
            <w:vAlign w:val="center"/>
          </w:tcPr>
          <w:p w14:paraId="4E1644C1">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1117" w:type="pct"/>
            <w:tcBorders>
              <w:tl2br w:val="nil"/>
              <w:tr2bl w:val="nil"/>
            </w:tcBorders>
            <w:noWrap w:val="0"/>
            <w:vAlign w:val="center"/>
          </w:tcPr>
          <w:p w14:paraId="5ED966F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1119" w:type="pct"/>
            <w:tcBorders>
              <w:tl2br w:val="nil"/>
              <w:tr2bl w:val="nil"/>
            </w:tcBorders>
            <w:noWrap w:val="0"/>
            <w:vAlign w:val="center"/>
          </w:tcPr>
          <w:p w14:paraId="6B97D55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0.0003L</w:t>
            </w:r>
          </w:p>
        </w:tc>
        <w:tc>
          <w:tcPr>
            <w:tcW w:w="769" w:type="pct"/>
            <w:tcBorders>
              <w:tl2br w:val="nil"/>
              <w:tr2bl w:val="nil"/>
            </w:tcBorders>
            <w:noWrap w:val="0"/>
            <w:vAlign w:val="center"/>
          </w:tcPr>
          <w:p w14:paraId="054492F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0200B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007E4C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汞</w:t>
            </w:r>
          </w:p>
        </w:tc>
        <w:tc>
          <w:tcPr>
            <w:tcW w:w="1117" w:type="pct"/>
            <w:tcBorders>
              <w:tl2br w:val="nil"/>
              <w:tr2bl w:val="nil"/>
            </w:tcBorders>
            <w:noWrap w:val="0"/>
            <w:vAlign w:val="center"/>
          </w:tcPr>
          <w:p w14:paraId="7D514043">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0.00004L</w:t>
            </w:r>
          </w:p>
        </w:tc>
        <w:tc>
          <w:tcPr>
            <w:tcW w:w="1117" w:type="pct"/>
            <w:tcBorders>
              <w:tl2br w:val="nil"/>
              <w:tr2bl w:val="nil"/>
            </w:tcBorders>
            <w:noWrap w:val="0"/>
            <w:vAlign w:val="center"/>
          </w:tcPr>
          <w:p w14:paraId="540AA9B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0.00004L</w:t>
            </w:r>
          </w:p>
        </w:tc>
        <w:tc>
          <w:tcPr>
            <w:tcW w:w="1119" w:type="pct"/>
            <w:tcBorders>
              <w:tl2br w:val="nil"/>
              <w:tr2bl w:val="nil"/>
            </w:tcBorders>
            <w:noWrap w:val="0"/>
            <w:vAlign w:val="center"/>
          </w:tcPr>
          <w:p w14:paraId="04F6670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0.00004L</w:t>
            </w:r>
          </w:p>
        </w:tc>
        <w:tc>
          <w:tcPr>
            <w:tcW w:w="769" w:type="pct"/>
            <w:tcBorders>
              <w:tl2br w:val="nil"/>
              <w:tr2bl w:val="nil"/>
            </w:tcBorders>
            <w:noWrap w:val="0"/>
            <w:vAlign w:val="center"/>
          </w:tcPr>
          <w:p w14:paraId="4BA6AF8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75D87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BDC597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六价铬</w:t>
            </w:r>
          </w:p>
        </w:tc>
        <w:tc>
          <w:tcPr>
            <w:tcW w:w="1117" w:type="pct"/>
            <w:tcBorders>
              <w:tl2br w:val="nil"/>
              <w:tr2bl w:val="nil"/>
            </w:tcBorders>
            <w:noWrap w:val="0"/>
            <w:vAlign w:val="center"/>
          </w:tcPr>
          <w:p w14:paraId="48EE4F9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0.004L</w:t>
            </w:r>
          </w:p>
        </w:tc>
        <w:tc>
          <w:tcPr>
            <w:tcW w:w="1117" w:type="pct"/>
            <w:tcBorders>
              <w:tl2br w:val="nil"/>
              <w:tr2bl w:val="nil"/>
            </w:tcBorders>
            <w:noWrap w:val="0"/>
            <w:vAlign w:val="center"/>
          </w:tcPr>
          <w:p w14:paraId="65D7D62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0.004L</w:t>
            </w:r>
          </w:p>
        </w:tc>
        <w:tc>
          <w:tcPr>
            <w:tcW w:w="1119" w:type="pct"/>
            <w:tcBorders>
              <w:tl2br w:val="nil"/>
              <w:tr2bl w:val="nil"/>
            </w:tcBorders>
            <w:noWrap w:val="0"/>
            <w:vAlign w:val="center"/>
          </w:tcPr>
          <w:p w14:paraId="0130A41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0.004L</w:t>
            </w:r>
          </w:p>
        </w:tc>
        <w:tc>
          <w:tcPr>
            <w:tcW w:w="769" w:type="pct"/>
            <w:tcBorders>
              <w:tl2br w:val="nil"/>
              <w:tr2bl w:val="nil"/>
            </w:tcBorders>
            <w:noWrap w:val="0"/>
            <w:vAlign w:val="center"/>
          </w:tcPr>
          <w:p w14:paraId="2D8A7E0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00B01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AE8286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铅</w:t>
            </w:r>
          </w:p>
        </w:tc>
        <w:tc>
          <w:tcPr>
            <w:tcW w:w="1117" w:type="pct"/>
            <w:tcBorders>
              <w:tl2br w:val="nil"/>
              <w:tr2bl w:val="nil"/>
            </w:tcBorders>
            <w:noWrap w:val="0"/>
            <w:vAlign w:val="center"/>
          </w:tcPr>
          <w:p w14:paraId="39E41AE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0.01L</w:t>
            </w:r>
          </w:p>
        </w:tc>
        <w:tc>
          <w:tcPr>
            <w:tcW w:w="1117" w:type="pct"/>
            <w:tcBorders>
              <w:tl2br w:val="nil"/>
              <w:tr2bl w:val="nil"/>
            </w:tcBorders>
            <w:noWrap w:val="0"/>
            <w:vAlign w:val="center"/>
          </w:tcPr>
          <w:p w14:paraId="2A6508F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0.01L</w:t>
            </w:r>
          </w:p>
        </w:tc>
        <w:tc>
          <w:tcPr>
            <w:tcW w:w="1119" w:type="pct"/>
            <w:tcBorders>
              <w:tl2br w:val="nil"/>
              <w:tr2bl w:val="nil"/>
            </w:tcBorders>
            <w:noWrap w:val="0"/>
            <w:vAlign w:val="center"/>
          </w:tcPr>
          <w:p w14:paraId="31170F8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0.01L</w:t>
            </w:r>
          </w:p>
        </w:tc>
        <w:tc>
          <w:tcPr>
            <w:tcW w:w="769" w:type="pct"/>
            <w:tcBorders>
              <w:tl2br w:val="nil"/>
              <w:tr2bl w:val="nil"/>
            </w:tcBorders>
            <w:noWrap w:val="0"/>
            <w:vAlign w:val="center"/>
          </w:tcPr>
          <w:p w14:paraId="4A55D6E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AE2CF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400804C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镉</w:t>
            </w:r>
          </w:p>
        </w:tc>
        <w:tc>
          <w:tcPr>
            <w:tcW w:w="1117" w:type="pct"/>
            <w:tcBorders>
              <w:tl2br w:val="nil"/>
              <w:tr2bl w:val="nil"/>
            </w:tcBorders>
            <w:noWrap w:val="0"/>
            <w:vAlign w:val="center"/>
          </w:tcPr>
          <w:p w14:paraId="57B35D5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0.001L</w:t>
            </w:r>
          </w:p>
        </w:tc>
        <w:tc>
          <w:tcPr>
            <w:tcW w:w="1117" w:type="pct"/>
            <w:tcBorders>
              <w:tl2br w:val="nil"/>
              <w:tr2bl w:val="nil"/>
            </w:tcBorders>
            <w:noWrap w:val="0"/>
            <w:vAlign w:val="center"/>
          </w:tcPr>
          <w:p w14:paraId="1E7148D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0.001L</w:t>
            </w:r>
          </w:p>
        </w:tc>
        <w:tc>
          <w:tcPr>
            <w:tcW w:w="1119" w:type="pct"/>
            <w:tcBorders>
              <w:tl2br w:val="nil"/>
              <w:tr2bl w:val="nil"/>
            </w:tcBorders>
            <w:noWrap w:val="0"/>
            <w:vAlign w:val="center"/>
          </w:tcPr>
          <w:p w14:paraId="0099509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0.001L</w:t>
            </w:r>
          </w:p>
        </w:tc>
        <w:tc>
          <w:tcPr>
            <w:tcW w:w="769" w:type="pct"/>
            <w:tcBorders>
              <w:tl2br w:val="nil"/>
              <w:tr2bl w:val="nil"/>
            </w:tcBorders>
            <w:noWrap w:val="0"/>
            <w:vAlign w:val="center"/>
          </w:tcPr>
          <w:p w14:paraId="4E2AABF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4398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2DE345F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氟</w:t>
            </w:r>
            <w:r>
              <w:rPr>
                <w:rFonts w:hint="default" w:ascii="Times New Roman" w:hAnsi="Times New Roman" w:eastAsia="宋体" w:cs="Times New Roman"/>
                <w:color w:val="auto"/>
                <w:highlight w:val="none"/>
                <w:lang w:eastAsia="zh-CN"/>
              </w:rPr>
              <w:t>化物</w:t>
            </w:r>
          </w:p>
        </w:tc>
        <w:tc>
          <w:tcPr>
            <w:tcW w:w="1117" w:type="pct"/>
            <w:tcBorders>
              <w:tl2br w:val="nil"/>
              <w:tr2bl w:val="nil"/>
            </w:tcBorders>
            <w:noWrap w:val="0"/>
            <w:vAlign w:val="center"/>
          </w:tcPr>
          <w:p w14:paraId="36E650F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0.37</w:t>
            </w:r>
          </w:p>
        </w:tc>
        <w:tc>
          <w:tcPr>
            <w:tcW w:w="1117" w:type="pct"/>
            <w:tcBorders>
              <w:tl2br w:val="nil"/>
              <w:tr2bl w:val="nil"/>
            </w:tcBorders>
            <w:noWrap w:val="0"/>
            <w:vAlign w:val="center"/>
          </w:tcPr>
          <w:p w14:paraId="0313CCF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0.49</w:t>
            </w:r>
          </w:p>
        </w:tc>
        <w:tc>
          <w:tcPr>
            <w:tcW w:w="1119" w:type="pct"/>
            <w:tcBorders>
              <w:tl2br w:val="nil"/>
              <w:tr2bl w:val="nil"/>
            </w:tcBorders>
            <w:noWrap w:val="0"/>
            <w:vAlign w:val="center"/>
          </w:tcPr>
          <w:p w14:paraId="117A696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0.42</w:t>
            </w:r>
          </w:p>
        </w:tc>
        <w:tc>
          <w:tcPr>
            <w:tcW w:w="769" w:type="pct"/>
            <w:tcBorders>
              <w:tl2br w:val="nil"/>
              <w:tr2bl w:val="nil"/>
            </w:tcBorders>
            <w:noWrap w:val="0"/>
            <w:vAlign w:val="center"/>
          </w:tcPr>
          <w:p w14:paraId="34F5725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658E9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10BE55C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溶解性总固体</w:t>
            </w:r>
          </w:p>
        </w:tc>
        <w:tc>
          <w:tcPr>
            <w:tcW w:w="1117" w:type="pct"/>
            <w:tcBorders>
              <w:tl2br w:val="nil"/>
              <w:tr2bl w:val="nil"/>
            </w:tcBorders>
            <w:noWrap w:val="0"/>
            <w:vAlign w:val="center"/>
          </w:tcPr>
          <w:p w14:paraId="2301A72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187</w:t>
            </w:r>
          </w:p>
        </w:tc>
        <w:tc>
          <w:tcPr>
            <w:tcW w:w="1117" w:type="pct"/>
            <w:tcBorders>
              <w:tl2br w:val="nil"/>
              <w:tr2bl w:val="nil"/>
            </w:tcBorders>
            <w:noWrap w:val="0"/>
            <w:vAlign w:val="center"/>
          </w:tcPr>
          <w:p w14:paraId="196C429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233</w:t>
            </w:r>
          </w:p>
        </w:tc>
        <w:tc>
          <w:tcPr>
            <w:tcW w:w="1119" w:type="pct"/>
            <w:tcBorders>
              <w:tl2br w:val="nil"/>
              <w:tr2bl w:val="nil"/>
            </w:tcBorders>
            <w:noWrap w:val="0"/>
            <w:vAlign w:val="center"/>
          </w:tcPr>
          <w:p w14:paraId="37AB1AD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213</w:t>
            </w:r>
          </w:p>
        </w:tc>
        <w:tc>
          <w:tcPr>
            <w:tcW w:w="769" w:type="pct"/>
            <w:tcBorders>
              <w:tl2br w:val="nil"/>
              <w:tr2bl w:val="nil"/>
            </w:tcBorders>
            <w:noWrap w:val="0"/>
            <w:vAlign w:val="center"/>
          </w:tcPr>
          <w:p w14:paraId="3FC0438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756A7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AAC561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细菌总数</w:t>
            </w:r>
          </w:p>
        </w:tc>
        <w:tc>
          <w:tcPr>
            <w:tcW w:w="1117" w:type="pct"/>
            <w:tcBorders>
              <w:tl2br w:val="nil"/>
              <w:tr2bl w:val="nil"/>
            </w:tcBorders>
            <w:noWrap w:val="0"/>
            <w:vAlign w:val="center"/>
          </w:tcPr>
          <w:p w14:paraId="4D3D064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w:t>
            </w:r>
          </w:p>
        </w:tc>
        <w:tc>
          <w:tcPr>
            <w:tcW w:w="1117" w:type="pct"/>
            <w:tcBorders>
              <w:tl2br w:val="nil"/>
              <w:tr2bl w:val="nil"/>
            </w:tcBorders>
            <w:noWrap w:val="0"/>
            <w:vAlign w:val="center"/>
          </w:tcPr>
          <w:p w14:paraId="664CC1F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46</w:t>
            </w:r>
          </w:p>
        </w:tc>
        <w:tc>
          <w:tcPr>
            <w:tcW w:w="1119" w:type="pct"/>
            <w:tcBorders>
              <w:tl2br w:val="nil"/>
              <w:tr2bl w:val="nil"/>
            </w:tcBorders>
            <w:noWrap w:val="0"/>
            <w:vAlign w:val="center"/>
          </w:tcPr>
          <w:p w14:paraId="225B752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w:t>
            </w:r>
          </w:p>
        </w:tc>
        <w:tc>
          <w:tcPr>
            <w:tcW w:w="769" w:type="pct"/>
            <w:tcBorders>
              <w:tl2br w:val="nil"/>
              <w:tr2bl w:val="nil"/>
            </w:tcBorders>
            <w:noWrap w:val="0"/>
            <w:vAlign w:val="center"/>
          </w:tcPr>
          <w:p w14:paraId="160154D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CFU/mL</w:t>
            </w:r>
          </w:p>
        </w:tc>
      </w:tr>
      <w:tr w14:paraId="5CDB5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831A3C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石油类</w:t>
            </w:r>
          </w:p>
        </w:tc>
        <w:tc>
          <w:tcPr>
            <w:tcW w:w="1117" w:type="pct"/>
            <w:tcBorders>
              <w:tl2br w:val="nil"/>
              <w:tr2bl w:val="nil"/>
            </w:tcBorders>
            <w:noWrap w:val="0"/>
            <w:vAlign w:val="center"/>
          </w:tcPr>
          <w:p w14:paraId="5A252E44">
            <w:pPr>
              <w:pStyle w:val="146"/>
              <w:ind w:left="0" w:leftChars="0" w:firstLine="0" w:firstLineChars="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w:t>
            </w:r>
            <w:r>
              <w:rPr>
                <w:rFonts w:hint="eastAsia" w:ascii="Times New Roman" w:hAnsi="Times New Roman" w:eastAsia="宋体" w:cs="Times New Roman"/>
                <w:color w:val="auto"/>
                <w:highlight w:val="none"/>
                <w:lang w:val="en-US" w:eastAsia="zh-CN"/>
              </w:rPr>
              <w:t>1L</w:t>
            </w:r>
          </w:p>
        </w:tc>
        <w:tc>
          <w:tcPr>
            <w:tcW w:w="1117" w:type="pct"/>
            <w:tcBorders>
              <w:tl2br w:val="nil"/>
              <w:tr2bl w:val="nil"/>
            </w:tcBorders>
            <w:noWrap w:val="0"/>
            <w:vAlign w:val="center"/>
          </w:tcPr>
          <w:p w14:paraId="3C8076E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w:t>
            </w:r>
            <w:r>
              <w:rPr>
                <w:rFonts w:hint="eastAsia" w:ascii="Times New Roman" w:hAnsi="Times New Roman" w:eastAsia="宋体" w:cs="Times New Roman"/>
                <w:color w:val="auto"/>
                <w:highlight w:val="none"/>
                <w:lang w:val="en-US" w:eastAsia="zh-CN"/>
              </w:rPr>
              <w:t>1L</w:t>
            </w:r>
          </w:p>
        </w:tc>
        <w:tc>
          <w:tcPr>
            <w:tcW w:w="1119" w:type="pct"/>
            <w:tcBorders>
              <w:tl2br w:val="nil"/>
              <w:tr2bl w:val="nil"/>
            </w:tcBorders>
            <w:noWrap w:val="0"/>
            <w:vAlign w:val="center"/>
          </w:tcPr>
          <w:p w14:paraId="32425EB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w:t>
            </w:r>
            <w:r>
              <w:rPr>
                <w:rFonts w:hint="eastAsia" w:ascii="Times New Roman" w:hAnsi="Times New Roman" w:eastAsia="宋体" w:cs="Times New Roman"/>
                <w:color w:val="auto"/>
                <w:highlight w:val="none"/>
                <w:lang w:val="en-US" w:eastAsia="zh-CN"/>
              </w:rPr>
              <w:t>1L</w:t>
            </w:r>
          </w:p>
        </w:tc>
        <w:tc>
          <w:tcPr>
            <w:tcW w:w="769" w:type="pct"/>
            <w:tcBorders>
              <w:tl2br w:val="nil"/>
              <w:tr2bl w:val="nil"/>
            </w:tcBorders>
            <w:noWrap w:val="0"/>
            <w:vAlign w:val="center"/>
          </w:tcPr>
          <w:p w14:paraId="555098E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57FA3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0740FDF1">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总磷</w:t>
            </w:r>
          </w:p>
        </w:tc>
        <w:tc>
          <w:tcPr>
            <w:tcW w:w="1117" w:type="pct"/>
            <w:tcBorders>
              <w:tl2br w:val="nil"/>
              <w:tr2bl w:val="nil"/>
            </w:tcBorders>
            <w:noWrap w:val="0"/>
            <w:vAlign w:val="center"/>
          </w:tcPr>
          <w:p w14:paraId="186E51F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0.01L</w:t>
            </w:r>
          </w:p>
        </w:tc>
        <w:tc>
          <w:tcPr>
            <w:tcW w:w="1117" w:type="pct"/>
            <w:tcBorders>
              <w:tl2br w:val="nil"/>
              <w:tr2bl w:val="nil"/>
            </w:tcBorders>
            <w:noWrap w:val="0"/>
            <w:vAlign w:val="center"/>
          </w:tcPr>
          <w:p w14:paraId="034B8E5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0.01L</w:t>
            </w:r>
          </w:p>
        </w:tc>
        <w:tc>
          <w:tcPr>
            <w:tcW w:w="1119" w:type="pct"/>
            <w:tcBorders>
              <w:tl2br w:val="nil"/>
              <w:tr2bl w:val="nil"/>
            </w:tcBorders>
            <w:noWrap w:val="0"/>
            <w:vAlign w:val="center"/>
          </w:tcPr>
          <w:p w14:paraId="20B6341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0.01L</w:t>
            </w:r>
          </w:p>
        </w:tc>
        <w:tc>
          <w:tcPr>
            <w:tcW w:w="769" w:type="pct"/>
            <w:tcBorders>
              <w:tl2br w:val="nil"/>
              <w:tr2bl w:val="nil"/>
            </w:tcBorders>
            <w:noWrap w:val="0"/>
            <w:vAlign w:val="center"/>
          </w:tcPr>
          <w:p w14:paraId="0F0BB77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14630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73052802">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总氮</w:t>
            </w:r>
          </w:p>
        </w:tc>
        <w:tc>
          <w:tcPr>
            <w:tcW w:w="1117" w:type="pct"/>
            <w:tcBorders>
              <w:tl2br w:val="nil"/>
              <w:tr2bl w:val="nil"/>
            </w:tcBorders>
            <w:noWrap w:val="0"/>
            <w:vAlign w:val="center"/>
          </w:tcPr>
          <w:p w14:paraId="2F198B9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w:t>
            </w:r>
          </w:p>
        </w:tc>
        <w:tc>
          <w:tcPr>
            <w:tcW w:w="1117" w:type="pct"/>
            <w:tcBorders>
              <w:tl2br w:val="nil"/>
              <w:tr2bl w:val="nil"/>
            </w:tcBorders>
            <w:noWrap w:val="0"/>
            <w:vAlign w:val="center"/>
          </w:tcPr>
          <w:p w14:paraId="523AAB3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1.22</w:t>
            </w:r>
          </w:p>
        </w:tc>
        <w:tc>
          <w:tcPr>
            <w:tcW w:w="1119" w:type="pct"/>
            <w:tcBorders>
              <w:tl2br w:val="nil"/>
              <w:tr2bl w:val="nil"/>
            </w:tcBorders>
            <w:noWrap w:val="0"/>
            <w:vAlign w:val="center"/>
          </w:tcPr>
          <w:p w14:paraId="17FF855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1.16</w:t>
            </w:r>
          </w:p>
        </w:tc>
        <w:tc>
          <w:tcPr>
            <w:tcW w:w="769" w:type="pct"/>
            <w:tcBorders>
              <w:tl2br w:val="nil"/>
              <w:tr2bl w:val="nil"/>
            </w:tcBorders>
            <w:noWrap w:val="0"/>
            <w:vAlign w:val="center"/>
          </w:tcPr>
          <w:p w14:paraId="2B6BEFF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4E918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63309701">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化学需氧量</w:t>
            </w:r>
          </w:p>
        </w:tc>
        <w:tc>
          <w:tcPr>
            <w:tcW w:w="1117" w:type="pct"/>
            <w:tcBorders>
              <w:tl2br w:val="nil"/>
              <w:tr2bl w:val="nil"/>
            </w:tcBorders>
            <w:noWrap w:val="0"/>
            <w:vAlign w:val="center"/>
          </w:tcPr>
          <w:p w14:paraId="4A3657F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4L</w:t>
            </w:r>
          </w:p>
        </w:tc>
        <w:tc>
          <w:tcPr>
            <w:tcW w:w="1117" w:type="pct"/>
            <w:tcBorders>
              <w:tl2br w:val="nil"/>
              <w:tr2bl w:val="nil"/>
            </w:tcBorders>
            <w:noWrap w:val="0"/>
            <w:vAlign w:val="center"/>
          </w:tcPr>
          <w:p w14:paraId="1CE793F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4L</w:t>
            </w:r>
          </w:p>
        </w:tc>
        <w:tc>
          <w:tcPr>
            <w:tcW w:w="1119" w:type="pct"/>
            <w:tcBorders>
              <w:tl2br w:val="nil"/>
              <w:tr2bl w:val="nil"/>
            </w:tcBorders>
            <w:noWrap w:val="0"/>
            <w:vAlign w:val="center"/>
          </w:tcPr>
          <w:p w14:paraId="65F8F51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rPr>
              <w:t>4L</w:t>
            </w:r>
          </w:p>
        </w:tc>
        <w:tc>
          <w:tcPr>
            <w:tcW w:w="769" w:type="pct"/>
            <w:tcBorders>
              <w:tl2br w:val="nil"/>
              <w:tr2bl w:val="nil"/>
            </w:tcBorders>
            <w:noWrap w:val="0"/>
            <w:vAlign w:val="center"/>
          </w:tcPr>
          <w:p w14:paraId="50FE0AC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r w14:paraId="2AB45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874" w:type="pct"/>
            <w:tcBorders>
              <w:tl2br w:val="nil"/>
              <w:tr2bl w:val="nil"/>
            </w:tcBorders>
            <w:noWrap w:val="0"/>
            <w:vAlign w:val="center"/>
          </w:tcPr>
          <w:p w14:paraId="54FA7508">
            <w:pPr>
              <w:pStyle w:val="146"/>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生化需氧量</w:t>
            </w:r>
          </w:p>
        </w:tc>
        <w:tc>
          <w:tcPr>
            <w:tcW w:w="1117" w:type="pct"/>
            <w:tcBorders>
              <w:tl2br w:val="nil"/>
              <w:tr2bl w:val="nil"/>
            </w:tcBorders>
            <w:noWrap w:val="0"/>
            <w:vAlign w:val="center"/>
          </w:tcPr>
          <w:p w14:paraId="41B850E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r>
              <w:rPr>
                <w:rFonts w:hint="eastAsia" w:ascii="Times New Roman" w:hAnsi="Times New Roman" w:eastAsia="宋体" w:cs="Times New Roman"/>
                <w:color w:val="auto"/>
                <w:highlight w:val="none"/>
              </w:rPr>
              <w:t>L</w:t>
            </w:r>
          </w:p>
        </w:tc>
        <w:tc>
          <w:tcPr>
            <w:tcW w:w="1117" w:type="pct"/>
            <w:tcBorders>
              <w:tl2br w:val="nil"/>
              <w:tr2bl w:val="nil"/>
            </w:tcBorders>
            <w:noWrap w:val="0"/>
            <w:vAlign w:val="center"/>
          </w:tcPr>
          <w:p w14:paraId="1734137C">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r>
              <w:rPr>
                <w:rFonts w:hint="eastAsia" w:ascii="Times New Roman" w:hAnsi="Times New Roman" w:eastAsia="宋体" w:cs="Times New Roman"/>
                <w:color w:val="auto"/>
                <w:highlight w:val="none"/>
              </w:rPr>
              <w:t>L</w:t>
            </w:r>
          </w:p>
        </w:tc>
        <w:tc>
          <w:tcPr>
            <w:tcW w:w="1119" w:type="pct"/>
            <w:tcBorders>
              <w:tl2br w:val="nil"/>
              <w:tr2bl w:val="nil"/>
            </w:tcBorders>
            <w:noWrap w:val="0"/>
            <w:vAlign w:val="center"/>
          </w:tcPr>
          <w:p w14:paraId="04ED411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r>
              <w:rPr>
                <w:rFonts w:hint="eastAsia" w:ascii="Times New Roman" w:hAnsi="Times New Roman" w:eastAsia="宋体" w:cs="Times New Roman"/>
                <w:color w:val="auto"/>
                <w:highlight w:val="none"/>
              </w:rPr>
              <w:t>L</w:t>
            </w:r>
          </w:p>
        </w:tc>
        <w:tc>
          <w:tcPr>
            <w:tcW w:w="769" w:type="pct"/>
            <w:tcBorders>
              <w:tl2br w:val="nil"/>
              <w:tr2bl w:val="nil"/>
            </w:tcBorders>
            <w:noWrap w:val="0"/>
            <w:vAlign w:val="center"/>
          </w:tcPr>
          <w:p w14:paraId="61F180E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mg/L</w:t>
            </w:r>
          </w:p>
        </w:tc>
      </w:tr>
    </w:tbl>
    <w:p w14:paraId="1A7FF7A8">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4.2.3.2地下水环境现状评价</w:t>
      </w:r>
    </w:p>
    <w:p w14:paraId="2E5EACD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（1）评价标准</w:t>
      </w:r>
    </w:p>
    <w:p w14:paraId="474B2DD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项目区域地下水</w:t>
      </w:r>
      <w:r>
        <w:rPr>
          <w:rFonts w:hint="eastAsia" w:eastAsia="宋体" w:cs="Times New Roman"/>
          <w:color w:val="auto"/>
          <w:highlight w:val="none"/>
          <w:lang w:val="en-US" w:eastAsia="zh-CN"/>
        </w:rPr>
        <w:t>各项指标</w:t>
      </w:r>
      <w:r>
        <w:rPr>
          <w:rFonts w:hint="default" w:ascii="Times New Roman" w:hAnsi="Times New Roman" w:eastAsia="宋体" w:cs="Times New Roman"/>
          <w:color w:val="auto"/>
          <w:highlight w:val="none"/>
        </w:rPr>
        <w:t>环境质量现状评价执行《地下水质量标准》（GB/T14848-2017）中的</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r>
        <w:rPr>
          <w:rFonts w:hint="eastAsia" w:eastAsia="宋体" w:cs="Times New Roman"/>
          <w:color w:val="auto"/>
          <w:highlight w:val="none"/>
          <w:lang w:val="en-US" w:eastAsia="zh-CN"/>
        </w:rPr>
        <w:t>石油类执行</w:t>
      </w:r>
      <w:r>
        <w:rPr>
          <w:rFonts w:hint="default" w:ascii="Times New Roman" w:hAnsi="Times New Roman" w:eastAsia="宋体" w:cs="Times New Roman"/>
          <w:color w:val="auto"/>
          <w:highlight w:val="none"/>
        </w:rPr>
        <w:t>《地表水环境质量标准》（GB3838-2002）</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r>
        <w:rPr>
          <w:rFonts w:hint="eastAsia" w:eastAsia="宋体" w:cs="Times New Roman"/>
          <w:color w:val="auto"/>
          <w:highlight w:val="none"/>
          <w:lang w:val="en-US" w:eastAsia="zh-CN"/>
        </w:rPr>
        <w:t>限值，</w:t>
      </w:r>
      <w:r>
        <w:rPr>
          <w:rFonts w:hint="default" w:ascii="Times New Roman" w:hAnsi="Times New Roman" w:eastAsia="宋体" w:cs="Times New Roman"/>
          <w:color w:val="auto"/>
          <w:highlight w:val="none"/>
        </w:rPr>
        <w:t>评价标准限值见下表。</w:t>
      </w:r>
    </w:p>
    <w:p w14:paraId="2BBA862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3</w:t>
      </w:r>
      <w:r>
        <w:rPr>
          <w:rFonts w:hint="default" w:ascii="Times New Roman" w:hAnsi="Times New Roman" w:cs="Times New Roman"/>
          <w:color w:val="auto"/>
          <w:highlight w:val="none"/>
        </w:rPr>
        <w:t>地下水评价因子及执行标准</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2646"/>
        <w:gridCol w:w="1956"/>
        <w:gridCol w:w="1590"/>
        <w:gridCol w:w="1365"/>
      </w:tblGrid>
      <w:tr w14:paraId="6F85E0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54" w:type="pct"/>
            <w:shd w:val="clear" w:color="auto" w:fill="auto"/>
            <w:vAlign w:val="center"/>
          </w:tcPr>
          <w:p w14:paraId="04D1E9E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类别</w:t>
            </w:r>
          </w:p>
        </w:tc>
        <w:tc>
          <w:tcPr>
            <w:tcW w:w="1591" w:type="pct"/>
            <w:shd w:val="clear" w:color="auto" w:fill="auto"/>
            <w:vAlign w:val="center"/>
          </w:tcPr>
          <w:p w14:paraId="7B3E18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标准名称及级（类）别</w:t>
            </w:r>
          </w:p>
        </w:tc>
        <w:tc>
          <w:tcPr>
            <w:tcW w:w="1176" w:type="pct"/>
            <w:shd w:val="clear" w:color="auto" w:fill="auto"/>
            <w:vAlign w:val="center"/>
          </w:tcPr>
          <w:p w14:paraId="1E210E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污染因子</w:t>
            </w:r>
          </w:p>
        </w:tc>
        <w:tc>
          <w:tcPr>
            <w:tcW w:w="956" w:type="pct"/>
            <w:shd w:val="clear" w:color="auto" w:fill="auto"/>
            <w:vAlign w:val="center"/>
          </w:tcPr>
          <w:p w14:paraId="7E08C1B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单位</w:t>
            </w:r>
          </w:p>
        </w:tc>
        <w:tc>
          <w:tcPr>
            <w:tcW w:w="821" w:type="pct"/>
            <w:shd w:val="clear" w:color="auto" w:fill="auto"/>
            <w:vAlign w:val="center"/>
          </w:tcPr>
          <w:p w14:paraId="14BAB49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标准值</w:t>
            </w:r>
          </w:p>
        </w:tc>
      </w:tr>
      <w:tr w14:paraId="64D89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54" w:type="pct"/>
            <w:vMerge w:val="restart"/>
            <w:shd w:val="clear" w:color="auto" w:fill="auto"/>
            <w:textDirection w:val="tbRlV"/>
            <w:vAlign w:val="center"/>
          </w:tcPr>
          <w:p w14:paraId="5195371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地下水环境</w:t>
            </w:r>
          </w:p>
        </w:tc>
        <w:tc>
          <w:tcPr>
            <w:tcW w:w="1591" w:type="pct"/>
            <w:vMerge w:val="restart"/>
            <w:shd w:val="clear" w:color="auto" w:fill="auto"/>
            <w:vAlign w:val="center"/>
          </w:tcPr>
          <w:p w14:paraId="2DF3FD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《地下水质量标准》（GB/T14848-2017）中</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类标准</w:t>
            </w:r>
          </w:p>
        </w:tc>
        <w:tc>
          <w:tcPr>
            <w:tcW w:w="1176" w:type="pct"/>
            <w:shd w:val="clear" w:color="auto" w:fill="auto"/>
            <w:vAlign w:val="center"/>
          </w:tcPr>
          <w:p w14:paraId="489B4C4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pH值</w:t>
            </w:r>
          </w:p>
        </w:tc>
        <w:tc>
          <w:tcPr>
            <w:tcW w:w="956" w:type="pct"/>
            <w:shd w:val="clear" w:color="auto" w:fill="auto"/>
            <w:vAlign w:val="center"/>
          </w:tcPr>
          <w:p w14:paraId="204E75D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无量纲</w:t>
            </w:r>
          </w:p>
        </w:tc>
        <w:tc>
          <w:tcPr>
            <w:tcW w:w="821" w:type="pct"/>
            <w:shd w:val="clear" w:color="auto" w:fill="auto"/>
            <w:vAlign w:val="center"/>
          </w:tcPr>
          <w:p w14:paraId="0BB2C0D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6.5～8.5</w:t>
            </w:r>
          </w:p>
        </w:tc>
      </w:tr>
      <w:tr w14:paraId="2CD58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54" w:type="pct"/>
            <w:vMerge w:val="continue"/>
            <w:shd w:val="clear" w:color="auto" w:fill="auto"/>
            <w:textDirection w:val="tbRlV"/>
            <w:vAlign w:val="center"/>
          </w:tcPr>
          <w:p w14:paraId="215272D5">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79D53DD2">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0A43175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色度</w:t>
            </w:r>
          </w:p>
        </w:tc>
        <w:tc>
          <w:tcPr>
            <w:tcW w:w="956" w:type="pct"/>
            <w:shd w:val="clear" w:color="auto" w:fill="auto"/>
            <w:vAlign w:val="center"/>
          </w:tcPr>
          <w:p w14:paraId="2571574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度</w:t>
            </w:r>
          </w:p>
        </w:tc>
        <w:tc>
          <w:tcPr>
            <w:tcW w:w="821" w:type="pct"/>
            <w:shd w:val="clear" w:color="auto" w:fill="auto"/>
            <w:vAlign w:val="center"/>
          </w:tcPr>
          <w:p w14:paraId="0FE9E3D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15</w:t>
            </w:r>
          </w:p>
        </w:tc>
      </w:tr>
      <w:tr w14:paraId="72274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454" w:type="pct"/>
            <w:vMerge w:val="continue"/>
            <w:shd w:val="clear" w:color="auto" w:fill="auto"/>
            <w:textDirection w:val="tbRlV"/>
            <w:vAlign w:val="center"/>
          </w:tcPr>
          <w:p w14:paraId="5BC4D1F2">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1D929E86">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6154C3F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浑浊度</w:t>
            </w:r>
          </w:p>
        </w:tc>
        <w:tc>
          <w:tcPr>
            <w:tcW w:w="956" w:type="pct"/>
            <w:shd w:val="clear" w:color="auto" w:fill="auto"/>
            <w:vAlign w:val="center"/>
          </w:tcPr>
          <w:p w14:paraId="52A6CB8D">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NTU/L</w:t>
            </w:r>
          </w:p>
        </w:tc>
        <w:tc>
          <w:tcPr>
            <w:tcW w:w="821" w:type="pct"/>
            <w:shd w:val="clear" w:color="auto" w:fill="auto"/>
            <w:vAlign w:val="center"/>
          </w:tcPr>
          <w:p w14:paraId="03691114">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3</w:t>
            </w:r>
          </w:p>
        </w:tc>
      </w:tr>
      <w:tr w14:paraId="472813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089EC4F6">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2A8495B0">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89317B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总硬度</w:t>
            </w:r>
          </w:p>
        </w:tc>
        <w:tc>
          <w:tcPr>
            <w:tcW w:w="956" w:type="pct"/>
            <w:vMerge w:val="restart"/>
            <w:shd w:val="clear" w:color="auto" w:fill="auto"/>
            <w:vAlign w:val="center"/>
          </w:tcPr>
          <w:p w14:paraId="32C28AD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mg/L</w:t>
            </w:r>
          </w:p>
        </w:tc>
        <w:tc>
          <w:tcPr>
            <w:tcW w:w="821" w:type="pct"/>
            <w:shd w:val="clear" w:color="auto" w:fill="auto"/>
            <w:vAlign w:val="center"/>
          </w:tcPr>
          <w:p w14:paraId="40823CD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r>
      <w:tr w14:paraId="21B76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3A2C6E9B">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43EF4F57">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6DD37A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铁</w:t>
            </w:r>
          </w:p>
        </w:tc>
        <w:tc>
          <w:tcPr>
            <w:tcW w:w="956" w:type="pct"/>
            <w:vMerge w:val="continue"/>
            <w:shd w:val="clear" w:color="auto" w:fill="auto"/>
            <w:vAlign w:val="center"/>
          </w:tcPr>
          <w:p w14:paraId="4748C5E8">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1328F4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r>
      <w:tr w14:paraId="1C15C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2F0EAC7B">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5E12164D">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6C5859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锰</w:t>
            </w:r>
          </w:p>
        </w:tc>
        <w:tc>
          <w:tcPr>
            <w:tcW w:w="956" w:type="pct"/>
            <w:vMerge w:val="continue"/>
            <w:shd w:val="clear" w:color="auto" w:fill="auto"/>
            <w:vAlign w:val="center"/>
          </w:tcPr>
          <w:p w14:paraId="22B77897">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15204AE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r>
      <w:tr w14:paraId="776A7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5FF8068D">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2C9517E5">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205DDBC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溶解性总固体</w:t>
            </w:r>
          </w:p>
        </w:tc>
        <w:tc>
          <w:tcPr>
            <w:tcW w:w="956" w:type="pct"/>
            <w:vMerge w:val="continue"/>
            <w:shd w:val="clear" w:color="auto" w:fill="auto"/>
            <w:vAlign w:val="center"/>
          </w:tcPr>
          <w:p w14:paraId="215C80AD">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241469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≤1000</w:t>
            </w:r>
          </w:p>
        </w:tc>
      </w:tr>
      <w:tr w14:paraId="43E25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433B62BD">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6908EAE5">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6405C1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挥发酚类</w:t>
            </w:r>
          </w:p>
        </w:tc>
        <w:tc>
          <w:tcPr>
            <w:tcW w:w="956" w:type="pct"/>
            <w:vMerge w:val="continue"/>
            <w:shd w:val="clear" w:color="auto" w:fill="auto"/>
            <w:vAlign w:val="center"/>
          </w:tcPr>
          <w:p w14:paraId="1663F035">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54E2C36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≤0.002</w:t>
            </w:r>
          </w:p>
        </w:tc>
      </w:tr>
      <w:tr w14:paraId="2CBC0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212BA3F9">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DC3C629">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1DCABFD">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阴离子表面活性剂</w:t>
            </w:r>
          </w:p>
        </w:tc>
        <w:tc>
          <w:tcPr>
            <w:tcW w:w="956" w:type="pct"/>
            <w:vMerge w:val="continue"/>
            <w:shd w:val="clear" w:color="auto" w:fill="auto"/>
            <w:vAlign w:val="center"/>
          </w:tcPr>
          <w:p w14:paraId="4B2DD357">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2D53E88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r>
      <w:tr w14:paraId="3B952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3D68E189">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31E6C600">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36926E0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硫化物</w:t>
            </w:r>
          </w:p>
        </w:tc>
        <w:tc>
          <w:tcPr>
            <w:tcW w:w="956" w:type="pct"/>
            <w:vMerge w:val="continue"/>
            <w:shd w:val="clear" w:color="auto" w:fill="auto"/>
            <w:vAlign w:val="center"/>
          </w:tcPr>
          <w:p w14:paraId="30CEA6CB">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540EF91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0.02</w:t>
            </w:r>
          </w:p>
        </w:tc>
      </w:tr>
      <w:tr w14:paraId="7CA7E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3FCC561C">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6A60E58D">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09156D8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rPr>
              <w:t>高</w:t>
            </w:r>
            <w:r>
              <w:rPr>
                <w:rFonts w:hint="default" w:ascii="Times New Roman" w:hAnsi="Times New Roman" w:eastAsia="宋体" w:cs="Times New Roman"/>
                <w:color w:val="auto"/>
                <w:sz w:val="21"/>
                <w:szCs w:val="21"/>
                <w:highlight w:val="none"/>
                <w:lang w:val="en-US" w:eastAsia="zh-CN"/>
              </w:rPr>
              <w:t>锰</w:t>
            </w:r>
            <w:r>
              <w:rPr>
                <w:rFonts w:hint="default" w:ascii="Times New Roman" w:hAnsi="Times New Roman" w:eastAsia="宋体" w:cs="Times New Roman"/>
                <w:color w:val="auto"/>
                <w:sz w:val="21"/>
                <w:szCs w:val="21"/>
                <w:highlight w:val="none"/>
              </w:rPr>
              <w:t>酸盐指数（以O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计）</w:t>
            </w:r>
          </w:p>
        </w:tc>
        <w:tc>
          <w:tcPr>
            <w:tcW w:w="956" w:type="pct"/>
            <w:shd w:val="clear" w:color="auto" w:fill="auto"/>
            <w:vAlign w:val="center"/>
          </w:tcPr>
          <w:p w14:paraId="14F6DF5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（mg/L）</w:t>
            </w:r>
          </w:p>
        </w:tc>
        <w:tc>
          <w:tcPr>
            <w:tcW w:w="821" w:type="pct"/>
            <w:shd w:val="clear" w:color="auto" w:fill="auto"/>
            <w:vAlign w:val="center"/>
          </w:tcPr>
          <w:p w14:paraId="700E00A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r w14:paraId="570A7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3948E7A6">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66A4F9AE">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528E10B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铅</w:t>
            </w:r>
          </w:p>
        </w:tc>
        <w:tc>
          <w:tcPr>
            <w:tcW w:w="956" w:type="pct"/>
            <w:vMerge w:val="restart"/>
            <w:shd w:val="clear" w:color="auto" w:fill="auto"/>
            <w:vAlign w:val="center"/>
          </w:tcPr>
          <w:p w14:paraId="09FDF11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mg/L</w:t>
            </w:r>
          </w:p>
        </w:tc>
        <w:tc>
          <w:tcPr>
            <w:tcW w:w="821" w:type="pct"/>
            <w:shd w:val="clear" w:color="auto" w:fill="auto"/>
            <w:vAlign w:val="center"/>
          </w:tcPr>
          <w:p w14:paraId="2F44E9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w:t>
            </w:r>
          </w:p>
        </w:tc>
      </w:tr>
      <w:tr w14:paraId="1EDA6A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71331663">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33D2B3D4">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48E03BB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六价铬</w:t>
            </w:r>
          </w:p>
        </w:tc>
        <w:tc>
          <w:tcPr>
            <w:tcW w:w="956" w:type="pct"/>
            <w:vMerge w:val="continue"/>
            <w:shd w:val="clear" w:color="auto" w:fill="auto"/>
            <w:vAlign w:val="center"/>
          </w:tcPr>
          <w:p w14:paraId="3445E293">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52A0FC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577EB1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6A95AC86">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1AC58BF2">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4F5A4C0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镉</w:t>
            </w:r>
          </w:p>
        </w:tc>
        <w:tc>
          <w:tcPr>
            <w:tcW w:w="956" w:type="pct"/>
            <w:vMerge w:val="continue"/>
            <w:shd w:val="clear" w:color="auto" w:fill="auto"/>
            <w:vAlign w:val="center"/>
          </w:tcPr>
          <w:p w14:paraId="37A5EAE8">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C8438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≤0.005</w:t>
            </w:r>
          </w:p>
        </w:tc>
      </w:tr>
      <w:tr w14:paraId="39C0A4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7939927E">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E5C3C78">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6CA79C0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砷</w:t>
            </w:r>
          </w:p>
        </w:tc>
        <w:tc>
          <w:tcPr>
            <w:tcW w:w="956" w:type="pct"/>
            <w:vMerge w:val="continue"/>
            <w:shd w:val="clear" w:color="auto" w:fill="auto"/>
            <w:vAlign w:val="center"/>
          </w:tcPr>
          <w:p w14:paraId="7D658F4A">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56CD15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w:t>
            </w:r>
          </w:p>
        </w:tc>
      </w:tr>
      <w:tr w14:paraId="3D077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5FDED255">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1E6F2D83">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1F6544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汞</w:t>
            </w:r>
          </w:p>
        </w:tc>
        <w:tc>
          <w:tcPr>
            <w:tcW w:w="956" w:type="pct"/>
            <w:vMerge w:val="continue"/>
            <w:shd w:val="clear" w:color="auto" w:fill="auto"/>
            <w:vAlign w:val="center"/>
          </w:tcPr>
          <w:p w14:paraId="6523EAB0">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60E17A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≤0.001</w:t>
            </w:r>
          </w:p>
        </w:tc>
      </w:tr>
      <w:tr w14:paraId="6B4CF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46426C80">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3343740F">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2FBD2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硝酸盐氮</w:t>
            </w:r>
          </w:p>
        </w:tc>
        <w:tc>
          <w:tcPr>
            <w:tcW w:w="956" w:type="pct"/>
            <w:vMerge w:val="continue"/>
            <w:shd w:val="clear" w:color="auto" w:fill="auto"/>
            <w:vAlign w:val="center"/>
          </w:tcPr>
          <w:p w14:paraId="28BEF8C7">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B0A7D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r>
      <w:tr w14:paraId="1DD33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3BD45D92">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15F65A8C">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0A1904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亚硝酸盐氮</w:t>
            </w:r>
          </w:p>
        </w:tc>
        <w:tc>
          <w:tcPr>
            <w:tcW w:w="956" w:type="pct"/>
            <w:vMerge w:val="continue"/>
            <w:shd w:val="clear" w:color="auto" w:fill="auto"/>
            <w:vAlign w:val="center"/>
          </w:tcPr>
          <w:p w14:paraId="6B58A9D1">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3F1699F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1778A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22D57E7E">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AD316CA">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553936E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956" w:type="pct"/>
            <w:vMerge w:val="continue"/>
            <w:shd w:val="clear" w:color="auto" w:fill="auto"/>
            <w:vAlign w:val="center"/>
          </w:tcPr>
          <w:p w14:paraId="7EBEC65D">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B3B78B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r>
      <w:tr w14:paraId="0BA6F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225A0DFF">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343718D5">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5ED074A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氟化物</w:t>
            </w:r>
          </w:p>
        </w:tc>
        <w:tc>
          <w:tcPr>
            <w:tcW w:w="956" w:type="pct"/>
            <w:vMerge w:val="continue"/>
            <w:shd w:val="clear" w:color="auto" w:fill="auto"/>
            <w:vAlign w:val="center"/>
          </w:tcPr>
          <w:p w14:paraId="760BB38D">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F6FEA1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442D59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0ADA1A6B">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1A3CA27A">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0A0C01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氰化物</w:t>
            </w:r>
          </w:p>
        </w:tc>
        <w:tc>
          <w:tcPr>
            <w:tcW w:w="956" w:type="pct"/>
            <w:vMerge w:val="continue"/>
            <w:shd w:val="clear" w:color="auto" w:fill="auto"/>
            <w:vAlign w:val="center"/>
          </w:tcPr>
          <w:p w14:paraId="4DA367A9">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6DBEBE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0A403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4" w:hRule="atLeast"/>
        </w:trPr>
        <w:tc>
          <w:tcPr>
            <w:tcW w:w="454" w:type="pct"/>
            <w:vMerge w:val="continue"/>
            <w:shd w:val="clear" w:color="auto" w:fill="auto"/>
            <w:vAlign w:val="center"/>
          </w:tcPr>
          <w:p w14:paraId="098AAD0A">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273892BE">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2F0C87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氯化物</w:t>
            </w:r>
          </w:p>
        </w:tc>
        <w:tc>
          <w:tcPr>
            <w:tcW w:w="956" w:type="pct"/>
            <w:vMerge w:val="continue"/>
            <w:shd w:val="clear" w:color="auto" w:fill="auto"/>
            <w:vAlign w:val="center"/>
          </w:tcPr>
          <w:p w14:paraId="0CE5970B">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307A778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3E554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68161CBF">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7EA20DB6">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0D832402">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铜</w:t>
            </w:r>
          </w:p>
        </w:tc>
        <w:tc>
          <w:tcPr>
            <w:tcW w:w="956" w:type="pct"/>
            <w:vMerge w:val="continue"/>
            <w:shd w:val="clear" w:color="auto" w:fill="auto"/>
            <w:vAlign w:val="center"/>
          </w:tcPr>
          <w:p w14:paraId="60B8C2B0">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17EF3E6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1.00</w:t>
            </w:r>
          </w:p>
        </w:tc>
      </w:tr>
      <w:tr w14:paraId="021C3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6EF995A9">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160071F">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010117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锌</w:t>
            </w:r>
          </w:p>
        </w:tc>
        <w:tc>
          <w:tcPr>
            <w:tcW w:w="956" w:type="pct"/>
            <w:vMerge w:val="continue"/>
            <w:shd w:val="clear" w:color="auto" w:fill="auto"/>
            <w:vAlign w:val="center"/>
          </w:tcPr>
          <w:p w14:paraId="5FBB37BC">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0B20823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1.00</w:t>
            </w:r>
          </w:p>
        </w:tc>
      </w:tr>
      <w:tr w14:paraId="5F0179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20AD8FD6">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46E53DCD">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2218D92D">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钠</w:t>
            </w:r>
          </w:p>
        </w:tc>
        <w:tc>
          <w:tcPr>
            <w:tcW w:w="956" w:type="pct"/>
            <w:vMerge w:val="continue"/>
            <w:shd w:val="clear" w:color="auto" w:fill="auto"/>
            <w:vAlign w:val="center"/>
          </w:tcPr>
          <w:p w14:paraId="26E31380">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52EE51D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200</w:t>
            </w:r>
          </w:p>
        </w:tc>
      </w:tr>
      <w:tr w14:paraId="2B9C6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42996E37">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20072C4B">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394F372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铁</w:t>
            </w:r>
          </w:p>
        </w:tc>
        <w:tc>
          <w:tcPr>
            <w:tcW w:w="956" w:type="pct"/>
            <w:vMerge w:val="continue"/>
            <w:shd w:val="clear" w:color="auto" w:fill="auto"/>
            <w:vAlign w:val="center"/>
          </w:tcPr>
          <w:p w14:paraId="4BC4E61E">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259E1395">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0.3</w:t>
            </w:r>
          </w:p>
        </w:tc>
      </w:tr>
      <w:tr w14:paraId="60E48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420F731E">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40D79028">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7522795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硫酸盐</w:t>
            </w:r>
          </w:p>
        </w:tc>
        <w:tc>
          <w:tcPr>
            <w:tcW w:w="956" w:type="pct"/>
            <w:vMerge w:val="continue"/>
            <w:shd w:val="clear" w:color="auto" w:fill="auto"/>
            <w:vAlign w:val="center"/>
          </w:tcPr>
          <w:p w14:paraId="742D12E2">
            <w:pPr>
              <w:pStyle w:val="146"/>
              <w:rPr>
                <w:rFonts w:hint="default" w:ascii="Times New Roman" w:hAnsi="Times New Roman" w:eastAsia="宋体" w:cs="Times New Roman"/>
                <w:snapToGrid w:val="0"/>
                <w:color w:val="auto"/>
                <w:highlight w:val="none"/>
              </w:rPr>
            </w:pPr>
          </w:p>
        </w:tc>
        <w:tc>
          <w:tcPr>
            <w:tcW w:w="821" w:type="pct"/>
            <w:shd w:val="clear" w:color="auto" w:fill="auto"/>
            <w:vAlign w:val="center"/>
          </w:tcPr>
          <w:p w14:paraId="71F3BA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7B063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140C476B">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6AAB8CA">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5A6F6D3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菌落总数</w:t>
            </w:r>
          </w:p>
        </w:tc>
        <w:tc>
          <w:tcPr>
            <w:tcW w:w="956" w:type="pct"/>
            <w:shd w:val="clear" w:color="auto" w:fill="auto"/>
            <w:vAlign w:val="center"/>
          </w:tcPr>
          <w:p w14:paraId="532A8DC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CFU/mL</w:t>
            </w:r>
          </w:p>
        </w:tc>
        <w:tc>
          <w:tcPr>
            <w:tcW w:w="821" w:type="pct"/>
            <w:shd w:val="clear" w:color="auto" w:fill="auto"/>
            <w:vAlign w:val="center"/>
          </w:tcPr>
          <w:p w14:paraId="20E5F24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r>
      <w:tr w14:paraId="29F4D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454" w:type="pct"/>
            <w:vMerge w:val="continue"/>
            <w:shd w:val="clear" w:color="auto" w:fill="auto"/>
            <w:vAlign w:val="center"/>
          </w:tcPr>
          <w:p w14:paraId="6BC769A9">
            <w:pPr>
              <w:pStyle w:val="146"/>
              <w:rPr>
                <w:rFonts w:hint="default" w:ascii="Times New Roman" w:hAnsi="Times New Roman" w:eastAsia="宋体" w:cs="Times New Roman"/>
                <w:snapToGrid w:val="0"/>
                <w:color w:val="auto"/>
                <w:highlight w:val="none"/>
              </w:rPr>
            </w:pPr>
          </w:p>
        </w:tc>
        <w:tc>
          <w:tcPr>
            <w:tcW w:w="1591" w:type="pct"/>
            <w:vMerge w:val="continue"/>
            <w:shd w:val="clear" w:color="auto" w:fill="auto"/>
            <w:vAlign w:val="center"/>
          </w:tcPr>
          <w:p w14:paraId="0171D42E">
            <w:pPr>
              <w:pStyle w:val="146"/>
              <w:rPr>
                <w:rFonts w:hint="default" w:ascii="Times New Roman" w:hAnsi="Times New Roman" w:eastAsia="宋体" w:cs="Times New Roman"/>
                <w:snapToGrid w:val="0"/>
                <w:color w:val="auto"/>
                <w:highlight w:val="none"/>
              </w:rPr>
            </w:pPr>
          </w:p>
        </w:tc>
        <w:tc>
          <w:tcPr>
            <w:tcW w:w="1176" w:type="pct"/>
            <w:shd w:val="clear" w:color="auto" w:fill="auto"/>
            <w:vAlign w:val="center"/>
          </w:tcPr>
          <w:p w14:paraId="080D482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总大肠菌群</w:t>
            </w:r>
          </w:p>
        </w:tc>
        <w:tc>
          <w:tcPr>
            <w:tcW w:w="956" w:type="pct"/>
            <w:shd w:val="clear" w:color="auto" w:fill="auto"/>
            <w:vAlign w:val="center"/>
          </w:tcPr>
          <w:p w14:paraId="255EBE1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MPN/100mL</w:t>
            </w:r>
          </w:p>
        </w:tc>
        <w:tc>
          <w:tcPr>
            <w:tcW w:w="821" w:type="pct"/>
            <w:shd w:val="clear" w:color="auto" w:fill="auto"/>
            <w:vAlign w:val="center"/>
          </w:tcPr>
          <w:p w14:paraId="5DBA5A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bl>
    <w:p w14:paraId="7041450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（2）评价方法</w:t>
      </w:r>
    </w:p>
    <w:p w14:paraId="7EC4A1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采用单项标准指数法对地表水现状监测结果进行评价，评价模式如下：</w:t>
      </w:r>
    </w:p>
    <w:p w14:paraId="5F3F83A5">
      <w:pPr>
        <w:adjustRightInd/>
        <w:snapToGrid/>
        <w:spacing w:line="500" w:lineRule="exact"/>
        <w:jc w:val="center"/>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P</w:t>
      </w:r>
      <w:r>
        <w:rPr>
          <w:rFonts w:hint="default" w:ascii="Times New Roman" w:hAnsi="Times New Roman" w:eastAsia="宋体" w:cs="Times New Roman"/>
          <w:snapToGrid w:val="0"/>
          <w:color w:val="auto"/>
          <w:kern w:val="0"/>
          <w:highlight w:val="none"/>
          <w:vertAlign w:val="subscript"/>
        </w:rPr>
        <w:t>i</w:t>
      </w:r>
      <w:r>
        <w:rPr>
          <w:rFonts w:hint="default" w:ascii="Times New Roman" w:hAnsi="Times New Roman" w:eastAsia="宋体" w:cs="Times New Roman"/>
          <w:snapToGrid w:val="0"/>
          <w:color w:val="auto"/>
          <w:kern w:val="0"/>
          <w:highlight w:val="none"/>
        </w:rPr>
        <w:t>=C</w:t>
      </w:r>
      <w:r>
        <w:rPr>
          <w:rFonts w:hint="default" w:ascii="Times New Roman" w:hAnsi="Times New Roman" w:eastAsia="宋体" w:cs="Times New Roman"/>
          <w:snapToGrid w:val="0"/>
          <w:color w:val="auto"/>
          <w:kern w:val="0"/>
          <w:highlight w:val="none"/>
          <w:vertAlign w:val="subscript"/>
        </w:rPr>
        <w:t>i</w:t>
      </w:r>
      <w:r>
        <w:rPr>
          <w:rFonts w:hint="default" w:ascii="Times New Roman" w:hAnsi="Times New Roman" w:eastAsia="宋体" w:cs="Times New Roman"/>
          <w:snapToGrid w:val="0"/>
          <w:color w:val="auto"/>
          <w:kern w:val="0"/>
          <w:highlight w:val="none"/>
        </w:rPr>
        <w:t>/C</w:t>
      </w:r>
      <w:r>
        <w:rPr>
          <w:rFonts w:hint="default" w:ascii="Times New Roman" w:hAnsi="Times New Roman" w:eastAsia="宋体" w:cs="Times New Roman"/>
          <w:snapToGrid w:val="0"/>
          <w:color w:val="auto"/>
          <w:kern w:val="0"/>
          <w:highlight w:val="none"/>
          <w:vertAlign w:val="subscript"/>
        </w:rPr>
        <w:t>si</w:t>
      </w:r>
    </w:p>
    <w:p w14:paraId="1D44540D">
      <w:pPr>
        <w:adjustRightInd/>
        <w:snapToGrid/>
        <w:spacing w:line="500" w:lineRule="exact"/>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式中：P</w:t>
      </w:r>
      <w:r>
        <w:rPr>
          <w:rFonts w:hint="default" w:ascii="Times New Roman" w:hAnsi="Times New Roman" w:eastAsia="宋体" w:cs="Times New Roman"/>
          <w:snapToGrid w:val="0"/>
          <w:color w:val="auto"/>
          <w:kern w:val="0"/>
          <w:highlight w:val="none"/>
          <w:vertAlign w:val="subscript"/>
        </w:rPr>
        <w:t>i</w:t>
      </w:r>
      <w:r>
        <w:rPr>
          <w:rFonts w:hint="default" w:ascii="Times New Roman" w:hAnsi="Times New Roman" w:eastAsia="宋体" w:cs="Times New Roman"/>
          <w:snapToGrid w:val="0"/>
          <w:color w:val="auto"/>
          <w:kern w:val="0"/>
          <w:highlight w:val="none"/>
        </w:rPr>
        <w:t>—第i个水质因子的标准指数，量纲为一；</w:t>
      </w:r>
    </w:p>
    <w:p w14:paraId="3E7E7A9B">
      <w:pPr>
        <w:adjustRightInd/>
        <w:snapToGrid/>
        <w:spacing w:line="500" w:lineRule="exact"/>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 xml:space="preserve">      C</w:t>
      </w:r>
      <w:r>
        <w:rPr>
          <w:rFonts w:hint="default" w:ascii="Times New Roman" w:hAnsi="Times New Roman" w:eastAsia="宋体" w:cs="Times New Roman"/>
          <w:snapToGrid w:val="0"/>
          <w:color w:val="auto"/>
          <w:kern w:val="0"/>
          <w:highlight w:val="none"/>
          <w:vertAlign w:val="subscript"/>
        </w:rPr>
        <w:t>i</w:t>
      </w:r>
      <w:r>
        <w:rPr>
          <w:rFonts w:hint="default" w:ascii="Times New Roman" w:hAnsi="Times New Roman" w:eastAsia="宋体" w:cs="Times New Roman"/>
          <w:snapToGrid w:val="0"/>
          <w:color w:val="auto"/>
          <w:kern w:val="0"/>
          <w:highlight w:val="none"/>
        </w:rPr>
        <w:t>—第i个水质因子的监测质量浓度值，mg/L；</w:t>
      </w:r>
    </w:p>
    <w:p w14:paraId="17B47743">
      <w:pPr>
        <w:adjustRightInd/>
        <w:snapToGrid/>
        <w:spacing w:line="500" w:lineRule="exact"/>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 xml:space="preserve">      C</w:t>
      </w:r>
      <w:r>
        <w:rPr>
          <w:rFonts w:hint="default" w:ascii="Times New Roman" w:hAnsi="Times New Roman" w:eastAsia="宋体" w:cs="Times New Roman"/>
          <w:snapToGrid w:val="0"/>
          <w:color w:val="auto"/>
          <w:kern w:val="0"/>
          <w:highlight w:val="none"/>
          <w:vertAlign w:val="subscript"/>
        </w:rPr>
        <w:t>si</w:t>
      </w:r>
      <w:r>
        <w:rPr>
          <w:rFonts w:hint="default" w:ascii="Times New Roman" w:hAnsi="Times New Roman" w:eastAsia="宋体" w:cs="Times New Roman"/>
          <w:snapToGrid w:val="0"/>
          <w:color w:val="auto"/>
          <w:kern w:val="0"/>
          <w:highlight w:val="none"/>
        </w:rPr>
        <w:t>—第i个水质因子的标准质量浓度值，mg/L。</w:t>
      </w:r>
    </w:p>
    <w:p w14:paraId="2BA9F164">
      <w:pPr>
        <w:adjustRightInd/>
        <w:snapToGrid/>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position w:val="-28"/>
          <w:highlight w:val="none"/>
        </w:rPr>
        <w:drawing>
          <wp:inline distT="0" distB="0" distL="0" distR="0">
            <wp:extent cx="1009650" cy="457200"/>
            <wp:effectExtent l="0" t="0" r="0" b="0"/>
            <wp:docPr id="12" name="对象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对象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009650" cy="4572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zh-CN"/>
        </w:rPr>
        <w:t xml:space="preserve">          pH≤7.0时</w:t>
      </w:r>
    </w:p>
    <w:p w14:paraId="29D80A66">
      <w:pPr>
        <w:adjustRightInd/>
        <w:snapToGrid/>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position w:val="-28"/>
          <w:highlight w:val="none"/>
        </w:rPr>
        <w:drawing>
          <wp:inline distT="0" distB="0" distL="0" distR="0">
            <wp:extent cx="1009650" cy="457200"/>
            <wp:effectExtent l="0" t="0" r="0" b="0"/>
            <wp:docPr id="13" name="对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对象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009650" cy="45720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zh-CN"/>
        </w:rPr>
        <w:t xml:space="preserve">            pH＞7.0时</w:t>
      </w:r>
    </w:p>
    <w:p w14:paraId="6996C882">
      <w:pPr>
        <w:adjustRightInd/>
        <w:snapToGrid/>
        <w:spacing w:line="500" w:lineRule="exact"/>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式中：P</w:t>
      </w:r>
      <w:r>
        <w:rPr>
          <w:rFonts w:hint="default" w:ascii="Times New Roman" w:hAnsi="Times New Roman" w:eastAsia="宋体" w:cs="Times New Roman"/>
          <w:color w:val="auto"/>
          <w:highlight w:val="none"/>
          <w:vertAlign w:val="subscript"/>
          <w:lang w:val="zh-CN"/>
        </w:rPr>
        <w:t>pH</w:t>
      </w:r>
      <w:r>
        <w:rPr>
          <w:rFonts w:hint="default" w:ascii="Times New Roman" w:hAnsi="Times New Roman" w:eastAsia="宋体" w:cs="Times New Roman"/>
          <w:color w:val="auto"/>
          <w:highlight w:val="none"/>
          <w:lang w:val="zh-CN"/>
        </w:rPr>
        <w:t>——pH的标准指数，量纲为一；</w:t>
      </w:r>
    </w:p>
    <w:p w14:paraId="70B901C3">
      <w:pPr>
        <w:adjustRightInd/>
        <w:snapToGrid/>
        <w:spacing w:line="500" w:lineRule="exact"/>
        <w:ind w:firstLine="1200" w:firstLineChars="50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pH——pH监测值；</w:t>
      </w:r>
    </w:p>
    <w:p w14:paraId="5B955091">
      <w:pPr>
        <w:adjustRightInd/>
        <w:snapToGrid/>
        <w:spacing w:line="500" w:lineRule="exact"/>
        <w:ind w:firstLine="1200" w:firstLineChars="50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pH</w:t>
      </w:r>
      <w:r>
        <w:rPr>
          <w:rFonts w:hint="default" w:ascii="Times New Roman" w:hAnsi="Times New Roman" w:eastAsia="宋体" w:cs="Times New Roman"/>
          <w:color w:val="auto"/>
          <w:highlight w:val="none"/>
          <w:vertAlign w:val="subscript"/>
          <w:lang w:val="zh-CN"/>
        </w:rPr>
        <w:t>su</w:t>
      </w:r>
      <w:r>
        <w:rPr>
          <w:rFonts w:hint="default" w:ascii="Times New Roman" w:hAnsi="Times New Roman" w:eastAsia="宋体" w:cs="Times New Roman"/>
          <w:color w:val="auto"/>
          <w:highlight w:val="none"/>
          <w:lang w:val="zh-CN"/>
        </w:rPr>
        <w:t>——标准中pH的上限值；</w:t>
      </w:r>
    </w:p>
    <w:p w14:paraId="54FA7876">
      <w:pPr>
        <w:adjustRightInd/>
        <w:snapToGrid/>
        <w:spacing w:line="500" w:lineRule="exact"/>
        <w:ind w:firstLine="1200" w:firstLineChars="50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pH</w:t>
      </w:r>
      <w:r>
        <w:rPr>
          <w:rFonts w:hint="default" w:ascii="Times New Roman" w:hAnsi="Times New Roman" w:eastAsia="宋体" w:cs="Times New Roman"/>
          <w:color w:val="auto"/>
          <w:highlight w:val="none"/>
          <w:vertAlign w:val="subscript"/>
          <w:lang w:val="zh-CN"/>
        </w:rPr>
        <w:t>sd</w:t>
      </w:r>
      <w:r>
        <w:rPr>
          <w:rFonts w:hint="default" w:ascii="Times New Roman" w:hAnsi="Times New Roman" w:eastAsia="宋体" w:cs="Times New Roman"/>
          <w:color w:val="auto"/>
          <w:highlight w:val="none"/>
          <w:lang w:val="zh-CN"/>
        </w:rPr>
        <w:t>——标准中pH的下限值。</w:t>
      </w:r>
    </w:p>
    <w:p w14:paraId="79BE3562">
      <w:pPr>
        <w:adjustRightInd/>
        <w:snapToGrid/>
        <w:spacing w:line="500" w:lineRule="exact"/>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当标准指数＞1时，表示该水质参数所表征的污染物已满足不了标准要求，水体已受到污染；反之，则满足标准要求。</w:t>
      </w:r>
    </w:p>
    <w:p w14:paraId="13A94C7F">
      <w:pPr>
        <w:adjustRightInd/>
        <w:snapToGrid/>
        <w:spacing w:line="500" w:lineRule="exac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（3）评价结果</w:t>
      </w:r>
    </w:p>
    <w:p w14:paraId="7403035D">
      <w:pPr>
        <w:adjustRightInd/>
        <w:snapToGrid/>
        <w:spacing w:line="500" w:lineRule="exac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单项水质参数计算结果见下表。</w:t>
      </w:r>
    </w:p>
    <w:p w14:paraId="497C75F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表4-2-1</w:t>
      </w:r>
      <w:r>
        <w:rPr>
          <w:rFonts w:hint="eastAsia" w:cs="Times New Roman"/>
          <w:color w:val="auto"/>
          <w:highlight w:val="none"/>
          <w:lang w:val="en-US" w:eastAsia="zh-CN"/>
        </w:rPr>
        <w:t>4</w:t>
      </w:r>
      <w:r>
        <w:rPr>
          <w:rFonts w:hint="default" w:ascii="Times New Roman" w:hAnsi="Times New Roman" w:cs="Times New Roman"/>
          <w:color w:val="auto"/>
          <w:highlight w:val="none"/>
        </w:rPr>
        <w:t>地下水评价结果</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72"/>
        <w:gridCol w:w="1619"/>
        <w:gridCol w:w="1905"/>
        <w:gridCol w:w="1913"/>
      </w:tblGrid>
      <w:tr w14:paraId="2F0DB4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23F7CFA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检测点位</w:t>
            </w:r>
          </w:p>
        </w:tc>
        <w:tc>
          <w:tcPr>
            <w:tcW w:w="974" w:type="pct"/>
            <w:vAlign w:val="center"/>
          </w:tcPr>
          <w:p w14:paraId="00097A4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W1</w:t>
            </w:r>
          </w:p>
        </w:tc>
        <w:tc>
          <w:tcPr>
            <w:tcW w:w="1146" w:type="pct"/>
            <w:vAlign w:val="center"/>
          </w:tcPr>
          <w:p w14:paraId="226B049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W2</w:t>
            </w:r>
          </w:p>
        </w:tc>
        <w:tc>
          <w:tcPr>
            <w:tcW w:w="1151" w:type="pct"/>
            <w:vAlign w:val="center"/>
          </w:tcPr>
          <w:p w14:paraId="3275F17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W3</w:t>
            </w:r>
          </w:p>
        </w:tc>
      </w:tr>
      <w:tr w14:paraId="1D37C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738DBF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检测项目</w:t>
            </w:r>
          </w:p>
        </w:tc>
        <w:tc>
          <w:tcPr>
            <w:tcW w:w="3271" w:type="pct"/>
            <w:gridSpan w:val="3"/>
            <w:vAlign w:val="center"/>
          </w:tcPr>
          <w:p w14:paraId="19C92BC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评价结果</w:t>
            </w:r>
          </w:p>
        </w:tc>
      </w:tr>
      <w:tr w14:paraId="3B683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7828512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w:t>
            </w:r>
          </w:p>
        </w:tc>
        <w:tc>
          <w:tcPr>
            <w:tcW w:w="974" w:type="pct"/>
            <w:vAlign w:val="center"/>
          </w:tcPr>
          <w:p w14:paraId="099CDEC6">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0.15</w:t>
            </w:r>
          </w:p>
        </w:tc>
        <w:tc>
          <w:tcPr>
            <w:tcW w:w="1146" w:type="pct"/>
            <w:vAlign w:val="center"/>
          </w:tcPr>
          <w:p w14:paraId="5DAA94E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0.25</w:t>
            </w:r>
          </w:p>
        </w:tc>
        <w:tc>
          <w:tcPr>
            <w:tcW w:w="1151" w:type="pct"/>
            <w:vAlign w:val="center"/>
          </w:tcPr>
          <w:p w14:paraId="548AC65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w:t>
            </w:r>
          </w:p>
        </w:tc>
      </w:tr>
      <w:tr w14:paraId="0DC94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49B8FDB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974" w:type="pct"/>
            <w:vAlign w:val="center"/>
          </w:tcPr>
          <w:p w14:paraId="6670B5D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0.41 </w:t>
            </w:r>
          </w:p>
        </w:tc>
        <w:tc>
          <w:tcPr>
            <w:tcW w:w="1146" w:type="pct"/>
            <w:vAlign w:val="center"/>
          </w:tcPr>
          <w:p w14:paraId="562D98EA">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0.57 </w:t>
            </w:r>
          </w:p>
        </w:tc>
        <w:tc>
          <w:tcPr>
            <w:tcW w:w="1151" w:type="pct"/>
            <w:vAlign w:val="center"/>
          </w:tcPr>
          <w:p w14:paraId="2D578C48">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0.44 </w:t>
            </w:r>
          </w:p>
        </w:tc>
      </w:tr>
      <w:tr w14:paraId="2022A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4BB02BF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硝酸盐</w:t>
            </w:r>
          </w:p>
        </w:tc>
        <w:tc>
          <w:tcPr>
            <w:tcW w:w="974" w:type="pct"/>
            <w:vAlign w:val="center"/>
          </w:tcPr>
          <w:p w14:paraId="6B6C831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0.00 </w:t>
            </w:r>
          </w:p>
        </w:tc>
        <w:tc>
          <w:tcPr>
            <w:tcW w:w="1146" w:type="pct"/>
            <w:vAlign w:val="center"/>
          </w:tcPr>
          <w:p w14:paraId="589CA9B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0.01 </w:t>
            </w:r>
          </w:p>
        </w:tc>
        <w:tc>
          <w:tcPr>
            <w:tcW w:w="1151" w:type="pct"/>
            <w:vAlign w:val="center"/>
          </w:tcPr>
          <w:p w14:paraId="1459ECD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0.01 </w:t>
            </w:r>
          </w:p>
        </w:tc>
      </w:tr>
      <w:tr w14:paraId="52347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2D995A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亚硝酸盐</w:t>
            </w:r>
          </w:p>
        </w:tc>
        <w:tc>
          <w:tcPr>
            <w:tcW w:w="974" w:type="pct"/>
            <w:vAlign w:val="center"/>
          </w:tcPr>
          <w:p w14:paraId="44A3D7C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c>
          <w:tcPr>
            <w:tcW w:w="1146" w:type="pct"/>
            <w:vAlign w:val="center"/>
          </w:tcPr>
          <w:p w14:paraId="7593A3B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c>
          <w:tcPr>
            <w:tcW w:w="1151" w:type="pct"/>
            <w:vAlign w:val="center"/>
          </w:tcPr>
          <w:p w14:paraId="553F3C3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r>
      <w:tr w14:paraId="7B600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1C6798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氰化物</w:t>
            </w:r>
          </w:p>
        </w:tc>
        <w:tc>
          <w:tcPr>
            <w:tcW w:w="974" w:type="pct"/>
            <w:vAlign w:val="center"/>
          </w:tcPr>
          <w:p w14:paraId="35D27D2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433AF57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7185437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61D60A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1017B0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挥发性酚类</w:t>
            </w:r>
          </w:p>
        </w:tc>
        <w:tc>
          <w:tcPr>
            <w:tcW w:w="974" w:type="pct"/>
            <w:vAlign w:val="center"/>
          </w:tcPr>
          <w:p w14:paraId="7B4D6016">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0FC9E71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3A43756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22F0D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6205A2D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974" w:type="pct"/>
            <w:vAlign w:val="center"/>
          </w:tcPr>
          <w:p w14:paraId="490209F9">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5023C73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71A5C27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603BAF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7BA79C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974" w:type="pct"/>
            <w:vAlign w:val="center"/>
          </w:tcPr>
          <w:p w14:paraId="123B495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4E3B05DA">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30F36C9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1D31A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01CE000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铬（六价）</w:t>
            </w:r>
          </w:p>
        </w:tc>
        <w:tc>
          <w:tcPr>
            <w:tcW w:w="974" w:type="pct"/>
            <w:vAlign w:val="center"/>
          </w:tcPr>
          <w:p w14:paraId="153A7F7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4CF0127E">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3629C96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7D7DC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67569A7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总硬度</w:t>
            </w:r>
          </w:p>
        </w:tc>
        <w:tc>
          <w:tcPr>
            <w:tcW w:w="974" w:type="pct"/>
            <w:vAlign w:val="center"/>
          </w:tcPr>
          <w:p w14:paraId="1B7ADB8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0.22 </w:t>
            </w:r>
          </w:p>
        </w:tc>
        <w:tc>
          <w:tcPr>
            <w:tcW w:w="1146" w:type="pct"/>
            <w:vAlign w:val="center"/>
          </w:tcPr>
          <w:p w14:paraId="113E966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0.27 </w:t>
            </w:r>
          </w:p>
        </w:tc>
        <w:tc>
          <w:tcPr>
            <w:tcW w:w="1151" w:type="pct"/>
            <w:vAlign w:val="center"/>
          </w:tcPr>
          <w:p w14:paraId="406CB5D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0.25 </w:t>
            </w:r>
          </w:p>
        </w:tc>
      </w:tr>
      <w:tr w14:paraId="6875C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132B351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氟</w:t>
            </w:r>
            <w:r>
              <w:rPr>
                <w:rFonts w:hint="default" w:ascii="Times New Roman" w:hAnsi="Times New Roman" w:eastAsia="宋体" w:cs="Times New Roman"/>
                <w:color w:val="auto"/>
                <w:highlight w:val="none"/>
                <w:lang w:val="en-US" w:eastAsia="zh-CN"/>
              </w:rPr>
              <w:t>化物</w:t>
            </w:r>
          </w:p>
        </w:tc>
        <w:tc>
          <w:tcPr>
            <w:tcW w:w="974" w:type="pct"/>
            <w:vAlign w:val="center"/>
          </w:tcPr>
          <w:p w14:paraId="6A8EB25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0.37 </w:t>
            </w:r>
          </w:p>
        </w:tc>
        <w:tc>
          <w:tcPr>
            <w:tcW w:w="1146" w:type="pct"/>
            <w:vAlign w:val="center"/>
          </w:tcPr>
          <w:p w14:paraId="3AB6A51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0.49 </w:t>
            </w:r>
          </w:p>
        </w:tc>
        <w:tc>
          <w:tcPr>
            <w:tcW w:w="1151" w:type="pct"/>
            <w:vAlign w:val="center"/>
          </w:tcPr>
          <w:p w14:paraId="7DA69C0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0.42 </w:t>
            </w:r>
          </w:p>
        </w:tc>
      </w:tr>
      <w:tr w14:paraId="23F710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1EFAEF2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974" w:type="pct"/>
            <w:vAlign w:val="center"/>
          </w:tcPr>
          <w:p w14:paraId="066F38F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3037094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1083E15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3647D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4EC0D5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974" w:type="pct"/>
            <w:vAlign w:val="center"/>
          </w:tcPr>
          <w:p w14:paraId="05053F13">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67E56DE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4231751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1D175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7B587DA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铁</w:t>
            </w:r>
          </w:p>
        </w:tc>
        <w:tc>
          <w:tcPr>
            <w:tcW w:w="974" w:type="pct"/>
            <w:vAlign w:val="center"/>
          </w:tcPr>
          <w:p w14:paraId="6432066C">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0.63 </w:t>
            </w:r>
          </w:p>
        </w:tc>
        <w:tc>
          <w:tcPr>
            <w:tcW w:w="1146" w:type="pct"/>
            <w:vAlign w:val="center"/>
          </w:tcPr>
          <w:p w14:paraId="4F5BE4C4">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0.73 </w:t>
            </w:r>
          </w:p>
        </w:tc>
        <w:tc>
          <w:tcPr>
            <w:tcW w:w="1151" w:type="pct"/>
            <w:vAlign w:val="center"/>
          </w:tcPr>
          <w:p w14:paraId="364DE1D7">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0.43 </w:t>
            </w:r>
          </w:p>
        </w:tc>
      </w:tr>
      <w:tr w14:paraId="33526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2914203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锰</w:t>
            </w:r>
          </w:p>
        </w:tc>
        <w:tc>
          <w:tcPr>
            <w:tcW w:w="974" w:type="pct"/>
            <w:vAlign w:val="center"/>
          </w:tcPr>
          <w:p w14:paraId="616CC5A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0.30 </w:t>
            </w:r>
          </w:p>
        </w:tc>
        <w:tc>
          <w:tcPr>
            <w:tcW w:w="1146" w:type="pct"/>
            <w:vAlign w:val="center"/>
          </w:tcPr>
          <w:p w14:paraId="465B5889">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0.60 </w:t>
            </w:r>
          </w:p>
        </w:tc>
        <w:tc>
          <w:tcPr>
            <w:tcW w:w="1151" w:type="pct"/>
            <w:vAlign w:val="center"/>
          </w:tcPr>
          <w:p w14:paraId="1A6889A2">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0.80 </w:t>
            </w:r>
          </w:p>
        </w:tc>
      </w:tr>
      <w:tr w14:paraId="4C4D9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15D6F15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溶解性总固体</w:t>
            </w:r>
          </w:p>
        </w:tc>
        <w:tc>
          <w:tcPr>
            <w:tcW w:w="974" w:type="pct"/>
            <w:vAlign w:val="center"/>
          </w:tcPr>
          <w:p w14:paraId="1A6A590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0.19 </w:t>
            </w:r>
          </w:p>
        </w:tc>
        <w:tc>
          <w:tcPr>
            <w:tcW w:w="1146" w:type="pct"/>
            <w:vAlign w:val="center"/>
          </w:tcPr>
          <w:p w14:paraId="07EA9B1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0.23 </w:t>
            </w:r>
          </w:p>
        </w:tc>
        <w:tc>
          <w:tcPr>
            <w:tcW w:w="1151" w:type="pct"/>
            <w:vAlign w:val="center"/>
          </w:tcPr>
          <w:p w14:paraId="61ACB89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0.21 </w:t>
            </w:r>
          </w:p>
        </w:tc>
      </w:tr>
      <w:tr w14:paraId="009E5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25C95639">
            <w:pPr>
              <w:pStyle w:val="146"/>
              <w:rPr>
                <w:rFonts w:hint="default" w:ascii="Times New Roman" w:hAnsi="Times New Roman" w:eastAsia="宋体" w:cs="Times New Roman"/>
                <w:b/>
                <w:color w:val="auto"/>
                <w:highlight w:val="none"/>
              </w:rPr>
            </w:pPr>
            <w:r>
              <w:rPr>
                <w:rFonts w:hint="default" w:ascii="Times New Roman" w:hAnsi="Times New Roman" w:eastAsia="宋体" w:cs="Times New Roman"/>
                <w:color w:val="auto"/>
                <w:sz w:val="21"/>
                <w:szCs w:val="21"/>
                <w:highlight w:val="none"/>
              </w:rPr>
              <w:t>高</w:t>
            </w:r>
            <w:r>
              <w:rPr>
                <w:rFonts w:hint="default" w:ascii="Times New Roman" w:hAnsi="Times New Roman" w:eastAsia="宋体" w:cs="Times New Roman"/>
                <w:color w:val="auto"/>
                <w:sz w:val="21"/>
                <w:szCs w:val="21"/>
                <w:highlight w:val="none"/>
                <w:lang w:val="en-US" w:eastAsia="zh-CN"/>
              </w:rPr>
              <w:t>锰</w:t>
            </w:r>
            <w:r>
              <w:rPr>
                <w:rFonts w:hint="default" w:ascii="Times New Roman" w:hAnsi="Times New Roman" w:eastAsia="宋体" w:cs="Times New Roman"/>
                <w:color w:val="auto"/>
                <w:sz w:val="21"/>
                <w:szCs w:val="21"/>
                <w:highlight w:val="none"/>
              </w:rPr>
              <w:t>酸盐指数（以O2计）</w:t>
            </w:r>
          </w:p>
        </w:tc>
        <w:tc>
          <w:tcPr>
            <w:tcW w:w="974" w:type="pct"/>
            <w:vAlign w:val="center"/>
          </w:tcPr>
          <w:p w14:paraId="4D958B2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0.37 </w:t>
            </w:r>
          </w:p>
        </w:tc>
        <w:tc>
          <w:tcPr>
            <w:tcW w:w="1146" w:type="pct"/>
            <w:vAlign w:val="center"/>
          </w:tcPr>
          <w:p w14:paraId="7AF07AB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0.50 </w:t>
            </w:r>
          </w:p>
        </w:tc>
        <w:tc>
          <w:tcPr>
            <w:tcW w:w="1151" w:type="pct"/>
            <w:vAlign w:val="center"/>
          </w:tcPr>
          <w:p w14:paraId="6902662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0.40 </w:t>
            </w:r>
          </w:p>
        </w:tc>
      </w:tr>
      <w:tr w14:paraId="62EA6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02597330">
            <w:pPr>
              <w:pStyle w:val="146"/>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highlight w:val="none"/>
              </w:rPr>
              <w:t>氯化物</w:t>
            </w:r>
          </w:p>
        </w:tc>
        <w:tc>
          <w:tcPr>
            <w:tcW w:w="974" w:type="pct"/>
            <w:vAlign w:val="center"/>
          </w:tcPr>
          <w:p w14:paraId="6D4F9EFD">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0.05 </w:t>
            </w:r>
          </w:p>
        </w:tc>
        <w:tc>
          <w:tcPr>
            <w:tcW w:w="1146" w:type="pct"/>
            <w:vAlign w:val="center"/>
          </w:tcPr>
          <w:p w14:paraId="0DF1350F">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0.06 </w:t>
            </w:r>
          </w:p>
        </w:tc>
        <w:tc>
          <w:tcPr>
            <w:tcW w:w="1151" w:type="pct"/>
            <w:vAlign w:val="center"/>
          </w:tcPr>
          <w:p w14:paraId="7DD803A0">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0.06 </w:t>
            </w:r>
          </w:p>
        </w:tc>
      </w:tr>
      <w:tr w14:paraId="01E9E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4BB8C203">
            <w:pPr>
              <w:pStyle w:val="146"/>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highlight w:val="none"/>
              </w:rPr>
              <w:t>总大肠菌群</w:t>
            </w:r>
          </w:p>
        </w:tc>
        <w:tc>
          <w:tcPr>
            <w:tcW w:w="974" w:type="pct"/>
            <w:vAlign w:val="center"/>
          </w:tcPr>
          <w:p w14:paraId="3095D655">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4DDCB73B">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041404A2">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65314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25EDE48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细菌</w:t>
            </w:r>
            <w:r>
              <w:rPr>
                <w:rFonts w:hint="default" w:ascii="Times New Roman" w:hAnsi="Times New Roman" w:eastAsia="宋体" w:cs="Times New Roman"/>
                <w:color w:val="auto"/>
                <w:highlight w:val="none"/>
              </w:rPr>
              <w:t>总数</w:t>
            </w:r>
          </w:p>
        </w:tc>
        <w:tc>
          <w:tcPr>
            <w:tcW w:w="974" w:type="pct"/>
            <w:vAlign w:val="center"/>
          </w:tcPr>
          <w:p w14:paraId="52D9A92E">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0.34 </w:t>
            </w:r>
          </w:p>
        </w:tc>
        <w:tc>
          <w:tcPr>
            <w:tcW w:w="1146" w:type="pct"/>
            <w:vAlign w:val="center"/>
          </w:tcPr>
          <w:p w14:paraId="5816F565">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0.46 </w:t>
            </w:r>
          </w:p>
        </w:tc>
        <w:tc>
          <w:tcPr>
            <w:tcW w:w="1151" w:type="pct"/>
            <w:vAlign w:val="center"/>
          </w:tcPr>
          <w:p w14:paraId="4B5E224B">
            <w:pPr>
              <w:pStyle w:val="146"/>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0.40 </w:t>
            </w:r>
          </w:p>
        </w:tc>
      </w:tr>
      <w:tr w14:paraId="57E0E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50B02725">
            <w:pPr>
              <w:pStyle w:val="146"/>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硫酸盐</w:t>
            </w:r>
          </w:p>
        </w:tc>
        <w:tc>
          <w:tcPr>
            <w:tcW w:w="974" w:type="pct"/>
            <w:vAlign w:val="center"/>
          </w:tcPr>
          <w:p w14:paraId="5AE56734">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46" w:type="pct"/>
            <w:vAlign w:val="center"/>
          </w:tcPr>
          <w:p w14:paraId="0C69A627">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c>
          <w:tcPr>
            <w:tcW w:w="1151" w:type="pct"/>
            <w:vAlign w:val="center"/>
          </w:tcPr>
          <w:p w14:paraId="52382378">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7037AC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pct"/>
            <w:vAlign w:val="center"/>
          </w:tcPr>
          <w:p w14:paraId="34861E19">
            <w:pPr>
              <w:pStyle w:val="146"/>
              <w:rPr>
                <w:rFonts w:hint="default" w:ascii="Times New Roman" w:hAnsi="Times New Roman" w:eastAsia="宋体" w:cs="Times New Roman"/>
                <w:color w:val="auto"/>
                <w:szCs w:val="21"/>
                <w:highlight w:val="none"/>
                <w:lang w:val="en-US" w:eastAsia="zh-CN"/>
              </w:rPr>
            </w:pPr>
            <w:r>
              <w:rPr>
                <w:rFonts w:hint="eastAsia" w:eastAsia="宋体" w:cs="Times New Roman"/>
                <w:color w:val="auto"/>
                <w:szCs w:val="21"/>
                <w:highlight w:val="none"/>
                <w:lang w:val="en-US" w:eastAsia="zh-CN"/>
              </w:rPr>
              <w:t>石油类</w:t>
            </w:r>
          </w:p>
        </w:tc>
        <w:tc>
          <w:tcPr>
            <w:tcW w:w="974" w:type="pct"/>
            <w:vAlign w:val="center"/>
          </w:tcPr>
          <w:p w14:paraId="76D6FF7D">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c>
          <w:tcPr>
            <w:tcW w:w="1146" w:type="pct"/>
            <w:vAlign w:val="center"/>
          </w:tcPr>
          <w:p w14:paraId="5856A13F">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c>
          <w:tcPr>
            <w:tcW w:w="1151" w:type="pct"/>
            <w:vAlign w:val="center"/>
          </w:tcPr>
          <w:p w14:paraId="74143900">
            <w:pPr>
              <w:pStyle w:val="146"/>
              <w:ind w:left="0" w:leftChars="0"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0.5</w:t>
            </w:r>
          </w:p>
        </w:tc>
      </w:tr>
    </w:tbl>
    <w:p w14:paraId="54BF52C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（4）评价结论</w:t>
      </w:r>
    </w:p>
    <w:p w14:paraId="44AD5760">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根据地下水标准指数分析可知，在监测时段内，本项目地下水各项水质指标</w:t>
      </w:r>
      <w:r>
        <w:rPr>
          <w:rFonts w:hint="default" w:ascii="Times New Roman" w:hAnsi="Times New Roman" w:eastAsia="宋体" w:cs="Times New Roman"/>
          <w:color w:val="auto"/>
          <w:highlight w:val="none"/>
          <w:lang w:val="en-US" w:eastAsia="zh-CN"/>
        </w:rPr>
        <w:t>均</w:t>
      </w:r>
      <w:r>
        <w:rPr>
          <w:rFonts w:hint="default" w:ascii="Times New Roman" w:hAnsi="Times New Roman" w:eastAsia="宋体" w:cs="Times New Roman"/>
          <w:color w:val="auto"/>
          <w:highlight w:val="none"/>
        </w:rPr>
        <w:t>满足《地下水质量标准》（GB/T14848-2017）中的Ⅲ类标准要求。</w:t>
      </w:r>
      <w:r>
        <w:rPr>
          <w:rFonts w:hint="eastAsia" w:eastAsia="宋体" w:cs="Times New Roman"/>
          <w:color w:val="auto"/>
          <w:highlight w:val="none"/>
          <w:lang w:val="en-US" w:eastAsia="zh-CN"/>
        </w:rPr>
        <w:t>石油类满足</w:t>
      </w:r>
      <w:r>
        <w:rPr>
          <w:rFonts w:hint="default" w:ascii="Times New Roman" w:hAnsi="Times New Roman" w:eastAsia="宋体" w:cs="Times New Roman"/>
          <w:color w:val="auto"/>
          <w:highlight w:val="none"/>
        </w:rPr>
        <w:t>《地表水环境质量标准》（GB3838-2002）</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r>
        <w:rPr>
          <w:rFonts w:hint="eastAsia" w:eastAsia="宋体" w:cs="Times New Roman"/>
          <w:color w:val="auto"/>
          <w:highlight w:val="none"/>
          <w:lang w:val="en-US" w:eastAsia="zh-CN"/>
        </w:rPr>
        <w:t>限值要求。</w:t>
      </w:r>
    </w:p>
    <w:p w14:paraId="222FBD1D">
      <w:pPr>
        <w:pStyle w:val="6"/>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eastAsia="黑体" w:cs="Times New Roman"/>
          <w:snapToGrid w:val="0"/>
          <w:color w:val="auto"/>
          <w:highlight w:val="none"/>
          <w:lang w:val="en-US" w:eastAsia="zh-CN"/>
        </w:rPr>
      </w:pPr>
      <w:r>
        <w:rPr>
          <w:rFonts w:hint="default" w:ascii="Times New Roman" w:hAnsi="Times New Roman" w:cs="Times New Roman"/>
          <w:snapToGrid w:val="0"/>
          <w:color w:val="auto"/>
          <w:highlight w:val="none"/>
        </w:rPr>
        <w:t>4.2.3.3地下水化学类型评价</w:t>
      </w:r>
    </w:p>
    <w:p w14:paraId="6EC00D0F">
      <w:pPr>
        <w:pageBreakBefore w:val="0"/>
        <w:widowControl w:val="0"/>
        <w:kinsoku/>
        <w:wordWrap/>
        <w:overflowPunct/>
        <w:topLinePunct w:val="0"/>
        <w:autoSpaceDE/>
        <w:autoSpaceDN/>
        <w:bidi w:val="0"/>
        <w:adjustRightInd w:val="0"/>
        <w:snapToGrid w:val="0"/>
        <w:spacing w:line="500" w:lineRule="atLeast"/>
        <w:ind w:firstLine="528" w:firstLineChars="0"/>
        <w:textAlignment w:val="auto"/>
        <w:rPr>
          <w:rFonts w:cs="Times New Roman"/>
          <w:color w:val="auto"/>
          <w:spacing w:val="12"/>
          <w:highlight w:val="none"/>
        </w:rPr>
      </w:pPr>
      <w:bookmarkStart w:id="381" w:name="_Toc57713664"/>
      <w:bookmarkStart w:id="382" w:name="_Toc7338897"/>
      <w:r>
        <w:rPr>
          <w:rFonts w:cs="Times New Roman"/>
          <w:color w:val="auto"/>
          <w:spacing w:val="12"/>
          <w:highlight w:val="none"/>
        </w:rPr>
        <w:t>用舒卡列夫分类法对地下水化学类型进行评价，其主要作用有两点，一是查明地下水化学类型，二是查验检测结果的准确性。地下水化学类型的舒卡列夫分类是根据地下水中7种主要离子（Na</w:t>
      </w:r>
      <w:r>
        <w:rPr>
          <w:rFonts w:cs="Times New Roman"/>
          <w:color w:val="auto"/>
          <w:spacing w:val="12"/>
          <w:highlight w:val="none"/>
          <w:vertAlign w:val="superscript"/>
        </w:rPr>
        <w:t>+</w:t>
      </w:r>
      <w:r>
        <w:rPr>
          <w:rFonts w:cs="Times New Roman"/>
          <w:color w:val="auto"/>
          <w:spacing w:val="12"/>
          <w:highlight w:val="none"/>
        </w:rPr>
        <w:t>、C</w:t>
      </w:r>
      <w:r>
        <w:rPr>
          <w:rFonts w:cs="Times New Roman"/>
          <w:color w:val="auto"/>
          <w:spacing w:val="12"/>
          <w:highlight w:val="none"/>
          <w:vertAlign w:val="subscript"/>
        </w:rPr>
        <w:t>a</w:t>
      </w:r>
      <w:r>
        <w:rPr>
          <w:rFonts w:cs="Times New Roman"/>
          <w:color w:val="auto"/>
          <w:spacing w:val="12"/>
          <w:highlight w:val="none"/>
          <w:vertAlign w:val="superscript"/>
        </w:rPr>
        <w:t>2+</w:t>
      </w:r>
      <w:r>
        <w:rPr>
          <w:rFonts w:cs="Times New Roman"/>
          <w:color w:val="auto"/>
          <w:spacing w:val="12"/>
          <w:highlight w:val="none"/>
        </w:rPr>
        <w:t>、Mg</w:t>
      </w:r>
      <w:r>
        <w:rPr>
          <w:rFonts w:cs="Times New Roman"/>
          <w:color w:val="auto"/>
          <w:spacing w:val="12"/>
          <w:highlight w:val="none"/>
          <w:vertAlign w:val="superscript"/>
        </w:rPr>
        <w:t>2+</w:t>
      </w:r>
      <w:r>
        <w:rPr>
          <w:rFonts w:cs="Times New Roman"/>
          <w:color w:val="auto"/>
          <w:spacing w:val="12"/>
          <w:highlight w:val="none"/>
        </w:rPr>
        <w:t>、HCO</w:t>
      </w:r>
      <w:r>
        <w:rPr>
          <w:rFonts w:cs="Times New Roman"/>
          <w:color w:val="auto"/>
          <w:spacing w:val="12"/>
          <w:highlight w:val="none"/>
          <w:vertAlign w:val="subscript"/>
        </w:rPr>
        <w:t>3</w:t>
      </w:r>
      <w:r>
        <w:rPr>
          <w:rFonts w:cs="Times New Roman"/>
          <w:color w:val="auto"/>
          <w:spacing w:val="12"/>
          <w:highlight w:val="none"/>
          <w:vertAlign w:val="superscript"/>
        </w:rPr>
        <w:t>-</w:t>
      </w:r>
      <w:r>
        <w:rPr>
          <w:rFonts w:cs="Times New Roman"/>
          <w:color w:val="auto"/>
          <w:spacing w:val="12"/>
          <w:highlight w:val="none"/>
        </w:rPr>
        <w:t>、SO</w:t>
      </w:r>
      <w:r>
        <w:rPr>
          <w:rFonts w:cs="Times New Roman"/>
          <w:color w:val="auto"/>
          <w:spacing w:val="12"/>
          <w:highlight w:val="none"/>
          <w:vertAlign w:val="subscript"/>
        </w:rPr>
        <w:t>4</w:t>
      </w:r>
      <w:r>
        <w:rPr>
          <w:rFonts w:cs="Times New Roman"/>
          <w:color w:val="auto"/>
          <w:spacing w:val="12"/>
          <w:highlight w:val="none"/>
          <w:vertAlign w:val="superscript"/>
        </w:rPr>
        <w:t>2-</w:t>
      </w:r>
      <w:r>
        <w:rPr>
          <w:rFonts w:cs="Times New Roman"/>
          <w:color w:val="auto"/>
          <w:spacing w:val="12"/>
          <w:highlight w:val="none"/>
        </w:rPr>
        <w:t>、Cl</w:t>
      </w:r>
      <w:r>
        <w:rPr>
          <w:rFonts w:cs="Times New Roman"/>
          <w:color w:val="auto"/>
          <w:spacing w:val="12"/>
          <w:highlight w:val="none"/>
          <w:vertAlign w:val="superscript"/>
        </w:rPr>
        <w:t>-</w:t>
      </w:r>
      <w:r>
        <w:rPr>
          <w:rFonts w:cs="Times New Roman"/>
          <w:color w:val="auto"/>
          <w:spacing w:val="12"/>
          <w:highlight w:val="none"/>
        </w:rPr>
        <w:t>，K</w:t>
      </w:r>
      <w:r>
        <w:rPr>
          <w:rFonts w:cs="Times New Roman"/>
          <w:color w:val="auto"/>
          <w:spacing w:val="12"/>
          <w:highlight w:val="none"/>
          <w:vertAlign w:val="superscript"/>
        </w:rPr>
        <w:t>+</w:t>
      </w:r>
      <w:r>
        <w:rPr>
          <w:rFonts w:cs="Times New Roman"/>
          <w:color w:val="auto"/>
          <w:spacing w:val="12"/>
          <w:highlight w:val="none"/>
        </w:rPr>
        <w:t>合并于Na</w:t>
      </w:r>
      <w:r>
        <w:rPr>
          <w:rFonts w:cs="Times New Roman"/>
          <w:color w:val="auto"/>
          <w:spacing w:val="12"/>
          <w:highlight w:val="none"/>
          <w:vertAlign w:val="superscript"/>
        </w:rPr>
        <w:t>+</w:t>
      </w:r>
      <w:r>
        <w:rPr>
          <w:rFonts w:cs="Times New Roman"/>
          <w:color w:val="auto"/>
          <w:spacing w:val="12"/>
          <w:highlight w:val="none"/>
        </w:rPr>
        <w:t>）。具体步骤如下：</w:t>
      </w:r>
    </w:p>
    <w:p w14:paraId="5F56A73D">
      <w:pPr>
        <w:keepNext w:val="0"/>
        <w:keepLines w:val="0"/>
        <w:pageBreakBefore w:val="0"/>
        <w:widowControl w:val="0"/>
        <w:kinsoku/>
        <w:wordWrap/>
        <w:overflowPunct/>
        <w:topLinePunct w:val="0"/>
        <w:autoSpaceDE/>
        <w:autoSpaceDN/>
        <w:bidi w:val="0"/>
        <w:adjustRightInd w:val="0"/>
        <w:snapToGrid w:val="0"/>
        <w:spacing w:line="500" w:lineRule="atLeast"/>
        <w:ind w:firstLine="528" w:firstLineChars="0"/>
        <w:textAlignment w:val="auto"/>
        <w:rPr>
          <w:rFonts w:cs="Times New Roman"/>
          <w:color w:val="auto"/>
          <w:spacing w:val="12"/>
          <w:highlight w:val="none"/>
        </w:rPr>
      </w:pPr>
      <w:r>
        <w:rPr>
          <w:rFonts w:cs="Times New Roman"/>
          <w:color w:val="auto"/>
          <w:spacing w:val="12"/>
          <w:highlight w:val="none"/>
        </w:rPr>
        <w:t>将7种主要离子中含量大于25</w:t>
      </w:r>
      <w:r>
        <w:rPr>
          <w:rFonts w:hint="eastAsia" w:cs="Times New Roman"/>
          <w:color w:val="auto"/>
          <w:spacing w:val="12"/>
          <w:highlight w:val="none"/>
        </w:rPr>
        <w:t>%</w:t>
      </w:r>
      <w:r>
        <w:rPr>
          <w:rFonts w:cs="Times New Roman"/>
          <w:color w:val="auto"/>
          <w:spacing w:val="12"/>
          <w:highlight w:val="none"/>
        </w:rPr>
        <w:t>毫克当量的阴离子和阳离子进行组合，可组合出49型水，并将每型用一个阿拉伯数字作为代号，见下表。</w:t>
      </w:r>
    </w:p>
    <w:p w14:paraId="48CF6989">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4-2-15</w:t>
      </w:r>
      <w:r>
        <w:rPr>
          <w:rFonts w:hint="default" w:ascii="Times New Roman" w:hAnsi="Times New Roman" w:cs="Times New Roman"/>
          <w:color w:val="auto"/>
          <w:highlight w:val="none"/>
        </w:rPr>
        <w:t xml:space="preserve">  舒卡列夫分类图表</w:t>
      </w:r>
    </w:p>
    <w:tbl>
      <w:tblPr>
        <w:tblStyle w:val="47"/>
        <w:tblW w:w="507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2"/>
        <w:gridCol w:w="853"/>
        <w:gridCol w:w="975"/>
        <w:gridCol w:w="976"/>
        <w:gridCol w:w="975"/>
        <w:gridCol w:w="978"/>
        <w:gridCol w:w="978"/>
        <w:gridCol w:w="980"/>
      </w:tblGrid>
      <w:tr w14:paraId="30BF4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368582D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超过25%毫克当量的离子</w:t>
            </w:r>
          </w:p>
        </w:tc>
        <w:tc>
          <w:tcPr>
            <w:tcW w:w="501" w:type="pct"/>
            <w:vAlign w:val="center"/>
          </w:tcPr>
          <w:p w14:paraId="14934D2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perscript"/>
              </w:rPr>
              <w:t>3-</w:t>
            </w:r>
          </w:p>
        </w:tc>
        <w:tc>
          <w:tcPr>
            <w:tcW w:w="578" w:type="pct"/>
            <w:vAlign w:val="center"/>
          </w:tcPr>
          <w:p w14:paraId="58FC6283">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vertAlign w:val="superscript"/>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695DE023">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579" w:type="pct"/>
            <w:vAlign w:val="center"/>
          </w:tcPr>
          <w:p w14:paraId="583BA7C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72BDB14A">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p w14:paraId="57BE0A24">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78" w:type="pct"/>
            <w:vAlign w:val="center"/>
          </w:tcPr>
          <w:p w14:paraId="0BA16885">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vertAlign w:val="superscript"/>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p w14:paraId="22C07D4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80" w:type="pct"/>
            <w:vAlign w:val="center"/>
          </w:tcPr>
          <w:p w14:paraId="2D2B3EF4">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580" w:type="pct"/>
            <w:vAlign w:val="center"/>
          </w:tcPr>
          <w:p w14:paraId="7CBBE7A8">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p w14:paraId="42739B4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581" w:type="pct"/>
            <w:vAlign w:val="center"/>
          </w:tcPr>
          <w:p w14:paraId="6FFE7BF8">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r>
      <w:tr w14:paraId="204EA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29DC6DD7">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501" w:type="pct"/>
            <w:vAlign w:val="center"/>
          </w:tcPr>
          <w:p w14:paraId="77B6F065">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w:t>
            </w:r>
          </w:p>
        </w:tc>
        <w:tc>
          <w:tcPr>
            <w:tcW w:w="578" w:type="pct"/>
            <w:vAlign w:val="center"/>
          </w:tcPr>
          <w:p w14:paraId="0DB18CB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8</w:t>
            </w:r>
          </w:p>
        </w:tc>
        <w:tc>
          <w:tcPr>
            <w:tcW w:w="579" w:type="pct"/>
            <w:vAlign w:val="center"/>
          </w:tcPr>
          <w:p w14:paraId="30D3078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15</w:t>
            </w:r>
          </w:p>
        </w:tc>
        <w:tc>
          <w:tcPr>
            <w:tcW w:w="578" w:type="pct"/>
            <w:vAlign w:val="center"/>
          </w:tcPr>
          <w:p w14:paraId="11442E72">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22</w:t>
            </w:r>
          </w:p>
        </w:tc>
        <w:tc>
          <w:tcPr>
            <w:tcW w:w="580" w:type="pct"/>
            <w:vAlign w:val="center"/>
          </w:tcPr>
          <w:p w14:paraId="34F8BA92">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29</w:t>
            </w:r>
          </w:p>
        </w:tc>
        <w:tc>
          <w:tcPr>
            <w:tcW w:w="580" w:type="pct"/>
            <w:vAlign w:val="center"/>
          </w:tcPr>
          <w:p w14:paraId="63D5DFD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36</w:t>
            </w:r>
          </w:p>
        </w:tc>
        <w:tc>
          <w:tcPr>
            <w:tcW w:w="581" w:type="pct"/>
            <w:vAlign w:val="center"/>
          </w:tcPr>
          <w:p w14:paraId="51622A09">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43</w:t>
            </w:r>
          </w:p>
        </w:tc>
      </w:tr>
      <w:tr w14:paraId="3CA5E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4D872693">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161F72DD">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w:t>
            </w:r>
          </w:p>
        </w:tc>
        <w:tc>
          <w:tcPr>
            <w:tcW w:w="578" w:type="pct"/>
            <w:vAlign w:val="center"/>
          </w:tcPr>
          <w:p w14:paraId="4EFFA731">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9</w:t>
            </w:r>
          </w:p>
        </w:tc>
        <w:tc>
          <w:tcPr>
            <w:tcW w:w="579" w:type="pct"/>
            <w:vAlign w:val="center"/>
          </w:tcPr>
          <w:p w14:paraId="2B276359">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16</w:t>
            </w:r>
          </w:p>
        </w:tc>
        <w:tc>
          <w:tcPr>
            <w:tcW w:w="578" w:type="pct"/>
            <w:vAlign w:val="center"/>
          </w:tcPr>
          <w:p w14:paraId="3C44A542">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23</w:t>
            </w:r>
          </w:p>
        </w:tc>
        <w:tc>
          <w:tcPr>
            <w:tcW w:w="580" w:type="pct"/>
            <w:vAlign w:val="center"/>
          </w:tcPr>
          <w:p w14:paraId="4EB6020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30</w:t>
            </w:r>
          </w:p>
        </w:tc>
        <w:tc>
          <w:tcPr>
            <w:tcW w:w="580" w:type="pct"/>
            <w:vAlign w:val="center"/>
          </w:tcPr>
          <w:p w14:paraId="1C28B76A">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37</w:t>
            </w:r>
          </w:p>
        </w:tc>
        <w:tc>
          <w:tcPr>
            <w:tcW w:w="581" w:type="pct"/>
            <w:vAlign w:val="center"/>
          </w:tcPr>
          <w:p w14:paraId="5D895D1A">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44</w:t>
            </w:r>
          </w:p>
        </w:tc>
      </w:tr>
      <w:tr w14:paraId="7D8F1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2C528D4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4772982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w:t>
            </w:r>
          </w:p>
        </w:tc>
        <w:tc>
          <w:tcPr>
            <w:tcW w:w="578" w:type="pct"/>
            <w:vAlign w:val="center"/>
          </w:tcPr>
          <w:p w14:paraId="5C4F5F7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10</w:t>
            </w:r>
          </w:p>
        </w:tc>
        <w:tc>
          <w:tcPr>
            <w:tcW w:w="579" w:type="pct"/>
            <w:vAlign w:val="center"/>
          </w:tcPr>
          <w:p w14:paraId="4716A6E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17</w:t>
            </w:r>
          </w:p>
        </w:tc>
        <w:tc>
          <w:tcPr>
            <w:tcW w:w="578" w:type="pct"/>
            <w:vAlign w:val="center"/>
          </w:tcPr>
          <w:p w14:paraId="00F2C70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24</w:t>
            </w:r>
          </w:p>
        </w:tc>
        <w:tc>
          <w:tcPr>
            <w:tcW w:w="580" w:type="pct"/>
            <w:vAlign w:val="center"/>
          </w:tcPr>
          <w:p w14:paraId="0D10778B">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31</w:t>
            </w:r>
          </w:p>
        </w:tc>
        <w:tc>
          <w:tcPr>
            <w:tcW w:w="580" w:type="pct"/>
            <w:vAlign w:val="center"/>
          </w:tcPr>
          <w:p w14:paraId="30CB660D">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38</w:t>
            </w:r>
          </w:p>
        </w:tc>
        <w:tc>
          <w:tcPr>
            <w:tcW w:w="581" w:type="pct"/>
            <w:vAlign w:val="center"/>
          </w:tcPr>
          <w:p w14:paraId="2319689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45</w:t>
            </w:r>
          </w:p>
        </w:tc>
      </w:tr>
      <w:tr w14:paraId="2AE51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38F1D740">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501" w:type="pct"/>
            <w:vAlign w:val="center"/>
          </w:tcPr>
          <w:p w14:paraId="08402FC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w:t>
            </w:r>
          </w:p>
        </w:tc>
        <w:tc>
          <w:tcPr>
            <w:tcW w:w="578" w:type="pct"/>
            <w:vAlign w:val="center"/>
          </w:tcPr>
          <w:p w14:paraId="00D6F67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11</w:t>
            </w:r>
          </w:p>
        </w:tc>
        <w:tc>
          <w:tcPr>
            <w:tcW w:w="579" w:type="pct"/>
            <w:vAlign w:val="center"/>
          </w:tcPr>
          <w:p w14:paraId="02F2FAC3">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18</w:t>
            </w:r>
          </w:p>
        </w:tc>
        <w:tc>
          <w:tcPr>
            <w:tcW w:w="578" w:type="pct"/>
            <w:vAlign w:val="center"/>
          </w:tcPr>
          <w:p w14:paraId="42FD4A2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25</w:t>
            </w:r>
          </w:p>
        </w:tc>
        <w:tc>
          <w:tcPr>
            <w:tcW w:w="580" w:type="pct"/>
            <w:vAlign w:val="center"/>
          </w:tcPr>
          <w:p w14:paraId="10517AE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32</w:t>
            </w:r>
          </w:p>
        </w:tc>
        <w:tc>
          <w:tcPr>
            <w:tcW w:w="580" w:type="pct"/>
            <w:vAlign w:val="center"/>
          </w:tcPr>
          <w:p w14:paraId="13EBA968">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39</w:t>
            </w:r>
          </w:p>
        </w:tc>
        <w:tc>
          <w:tcPr>
            <w:tcW w:w="581" w:type="pct"/>
            <w:vAlign w:val="center"/>
          </w:tcPr>
          <w:p w14:paraId="238EEBC2">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46</w:t>
            </w:r>
          </w:p>
        </w:tc>
      </w:tr>
      <w:tr w14:paraId="7A4D6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038B6BD1">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1924DC81">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5</w:t>
            </w:r>
          </w:p>
        </w:tc>
        <w:tc>
          <w:tcPr>
            <w:tcW w:w="578" w:type="pct"/>
            <w:vAlign w:val="center"/>
          </w:tcPr>
          <w:p w14:paraId="340C262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12</w:t>
            </w:r>
          </w:p>
        </w:tc>
        <w:tc>
          <w:tcPr>
            <w:tcW w:w="579" w:type="pct"/>
            <w:vAlign w:val="center"/>
          </w:tcPr>
          <w:p w14:paraId="37F3B0F5">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19</w:t>
            </w:r>
          </w:p>
        </w:tc>
        <w:tc>
          <w:tcPr>
            <w:tcW w:w="578" w:type="pct"/>
            <w:vAlign w:val="center"/>
          </w:tcPr>
          <w:p w14:paraId="77EAB343">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26</w:t>
            </w:r>
          </w:p>
        </w:tc>
        <w:tc>
          <w:tcPr>
            <w:tcW w:w="580" w:type="pct"/>
            <w:vAlign w:val="center"/>
          </w:tcPr>
          <w:p w14:paraId="408CE0A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33</w:t>
            </w:r>
          </w:p>
        </w:tc>
        <w:tc>
          <w:tcPr>
            <w:tcW w:w="580" w:type="pct"/>
            <w:vAlign w:val="center"/>
          </w:tcPr>
          <w:p w14:paraId="0E7CD4A8">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40</w:t>
            </w:r>
          </w:p>
        </w:tc>
        <w:tc>
          <w:tcPr>
            <w:tcW w:w="581" w:type="pct"/>
            <w:vAlign w:val="center"/>
          </w:tcPr>
          <w:p w14:paraId="3C7380C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47</w:t>
            </w:r>
          </w:p>
        </w:tc>
      </w:tr>
      <w:tr w14:paraId="15059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7C9455C1">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501" w:type="pct"/>
            <w:vAlign w:val="center"/>
          </w:tcPr>
          <w:p w14:paraId="71FF35D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6</w:t>
            </w:r>
          </w:p>
        </w:tc>
        <w:tc>
          <w:tcPr>
            <w:tcW w:w="578" w:type="pct"/>
            <w:vAlign w:val="center"/>
          </w:tcPr>
          <w:p w14:paraId="18F71EA6">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13</w:t>
            </w:r>
          </w:p>
        </w:tc>
        <w:tc>
          <w:tcPr>
            <w:tcW w:w="579" w:type="pct"/>
            <w:vAlign w:val="center"/>
          </w:tcPr>
          <w:p w14:paraId="7462EA0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20</w:t>
            </w:r>
          </w:p>
        </w:tc>
        <w:tc>
          <w:tcPr>
            <w:tcW w:w="578" w:type="pct"/>
            <w:vAlign w:val="center"/>
          </w:tcPr>
          <w:p w14:paraId="33F44634">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27</w:t>
            </w:r>
          </w:p>
        </w:tc>
        <w:tc>
          <w:tcPr>
            <w:tcW w:w="580" w:type="pct"/>
            <w:vAlign w:val="center"/>
          </w:tcPr>
          <w:p w14:paraId="326CD6A1">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34</w:t>
            </w:r>
          </w:p>
        </w:tc>
        <w:tc>
          <w:tcPr>
            <w:tcW w:w="580" w:type="pct"/>
            <w:vAlign w:val="center"/>
          </w:tcPr>
          <w:p w14:paraId="7282A04D">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41</w:t>
            </w:r>
          </w:p>
        </w:tc>
        <w:tc>
          <w:tcPr>
            <w:tcW w:w="581" w:type="pct"/>
            <w:vAlign w:val="center"/>
          </w:tcPr>
          <w:p w14:paraId="2D08C677">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48</w:t>
            </w:r>
          </w:p>
        </w:tc>
      </w:tr>
      <w:tr w14:paraId="6B1B7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pct"/>
            <w:vAlign w:val="center"/>
          </w:tcPr>
          <w:p w14:paraId="5013F604">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p>
        </w:tc>
        <w:tc>
          <w:tcPr>
            <w:tcW w:w="501" w:type="pct"/>
            <w:vAlign w:val="center"/>
          </w:tcPr>
          <w:p w14:paraId="02CC86EA">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7</w:t>
            </w:r>
          </w:p>
        </w:tc>
        <w:tc>
          <w:tcPr>
            <w:tcW w:w="578" w:type="pct"/>
            <w:vAlign w:val="center"/>
          </w:tcPr>
          <w:p w14:paraId="7A11B287">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14</w:t>
            </w:r>
          </w:p>
        </w:tc>
        <w:tc>
          <w:tcPr>
            <w:tcW w:w="579" w:type="pct"/>
            <w:vAlign w:val="center"/>
          </w:tcPr>
          <w:p w14:paraId="5BAE364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21</w:t>
            </w:r>
          </w:p>
        </w:tc>
        <w:tc>
          <w:tcPr>
            <w:tcW w:w="578" w:type="pct"/>
            <w:vAlign w:val="center"/>
          </w:tcPr>
          <w:p w14:paraId="5FB799A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28</w:t>
            </w:r>
          </w:p>
        </w:tc>
        <w:tc>
          <w:tcPr>
            <w:tcW w:w="580" w:type="pct"/>
            <w:vAlign w:val="center"/>
          </w:tcPr>
          <w:p w14:paraId="47A3882E">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35</w:t>
            </w:r>
          </w:p>
        </w:tc>
        <w:tc>
          <w:tcPr>
            <w:tcW w:w="580" w:type="pct"/>
            <w:vAlign w:val="center"/>
          </w:tcPr>
          <w:p w14:paraId="29DDC96F">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42</w:t>
            </w:r>
          </w:p>
        </w:tc>
        <w:tc>
          <w:tcPr>
            <w:tcW w:w="581" w:type="pct"/>
            <w:vAlign w:val="center"/>
          </w:tcPr>
          <w:p w14:paraId="38D1E47C">
            <w:pPr>
              <w:autoSpaceDE w:val="0"/>
              <w:autoSpaceDN w:val="0"/>
              <w:snapToGrid/>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49</w:t>
            </w:r>
          </w:p>
        </w:tc>
      </w:tr>
    </w:tbl>
    <w:p w14:paraId="6DE82B1A">
      <w:pPr>
        <w:keepNext w:val="0"/>
        <w:keepLines w:val="0"/>
        <w:pageBreakBefore w:val="0"/>
        <w:widowControl w:val="0"/>
        <w:kinsoku/>
        <w:wordWrap/>
        <w:overflowPunct/>
        <w:topLinePunct w:val="0"/>
        <w:autoSpaceDE/>
        <w:autoSpaceDN/>
        <w:bidi w:val="0"/>
        <w:adjustRightInd/>
        <w:snapToGrid/>
        <w:spacing w:line="520" w:lineRule="atLeast"/>
        <w:ind w:firstLine="528" w:firstLineChars="0"/>
        <w:textAlignment w:val="auto"/>
        <w:rPr>
          <w:rFonts w:cs="Times New Roman"/>
          <w:color w:val="auto"/>
          <w:spacing w:val="12"/>
          <w:highlight w:val="none"/>
        </w:rPr>
      </w:pPr>
      <w:r>
        <w:rPr>
          <w:rFonts w:cs="Times New Roman"/>
          <w:color w:val="auto"/>
          <w:spacing w:val="12"/>
          <w:highlight w:val="none"/>
        </w:rPr>
        <w:t>离子毫克当量百分比计算结果见下表。</w:t>
      </w:r>
    </w:p>
    <w:p w14:paraId="63E0018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4-2-16</w:t>
      </w:r>
      <w:r>
        <w:rPr>
          <w:rFonts w:hint="default" w:ascii="Times New Roman" w:hAnsi="Times New Roman" w:cs="Times New Roman"/>
          <w:color w:val="auto"/>
          <w:highlight w:val="none"/>
        </w:rPr>
        <w:t xml:space="preserve"> 离子毫克当量百分比计算结果</w:t>
      </w:r>
    </w:p>
    <w:tbl>
      <w:tblPr>
        <w:tblStyle w:val="47"/>
        <w:tblW w:w="96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52"/>
        <w:gridCol w:w="668"/>
        <w:gridCol w:w="567"/>
        <w:gridCol w:w="640"/>
        <w:gridCol w:w="644"/>
        <w:gridCol w:w="669"/>
        <w:gridCol w:w="752"/>
        <w:gridCol w:w="705"/>
        <w:gridCol w:w="750"/>
        <w:gridCol w:w="690"/>
        <w:gridCol w:w="690"/>
        <w:gridCol w:w="975"/>
        <w:gridCol w:w="1554"/>
      </w:tblGrid>
      <w:tr w14:paraId="4CAEE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352" w:type="dxa"/>
            <w:vAlign w:val="center"/>
          </w:tcPr>
          <w:p w14:paraId="4E5A9D94">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监测点</w:t>
            </w:r>
          </w:p>
        </w:tc>
        <w:tc>
          <w:tcPr>
            <w:tcW w:w="668" w:type="dxa"/>
            <w:vAlign w:val="center"/>
          </w:tcPr>
          <w:p w14:paraId="77460F92">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浓度</w:t>
            </w:r>
          </w:p>
        </w:tc>
        <w:tc>
          <w:tcPr>
            <w:tcW w:w="567" w:type="dxa"/>
            <w:vAlign w:val="center"/>
          </w:tcPr>
          <w:p w14:paraId="6866218B">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K</w:t>
            </w:r>
            <w:r>
              <w:rPr>
                <w:rFonts w:cs="Times New Roman"/>
                <w:snapToGrid w:val="0"/>
                <w:color w:val="auto"/>
                <w:spacing w:val="16"/>
                <w:sz w:val="21"/>
                <w:szCs w:val="21"/>
                <w:highlight w:val="none"/>
                <w:vertAlign w:val="superscript"/>
              </w:rPr>
              <w:t>+</w:t>
            </w:r>
          </w:p>
        </w:tc>
        <w:tc>
          <w:tcPr>
            <w:tcW w:w="640" w:type="dxa"/>
            <w:vAlign w:val="center"/>
          </w:tcPr>
          <w:p w14:paraId="1DE1391C">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Na</w:t>
            </w:r>
            <w:r>
              <w:rPr>
                <w:rFonts w:cs="Times New Roman"/>
                <w:snapToGrid w:val="0"/>
                <w:color w:val="auto"/>
                <w:spacing w:val="16"/>
                <w:sz w:val="21"/>
                <w:szCs w:val="21"/>
                <w:highlight w:val="none"/>
                <w:vertAlign w:val="superscript"/>
              </w:rPr>
              <w:t>+</w:t>
            </w:r>
          </w:p>
        </w:tc>
        <w:tc>
          <w:tcPr>
            <w:tcW w:w="644" w:type="dxa"/>
            <w:vAlign w:val="center"/>
          </w:tcPr>
          <w:p w14:paraId="34D1D9C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Ca</w:t>
            </w:r>
            <w:r>
              <w:rPr>
                <w:rFonts w:cs="Times New Roman"/>
                <w:snapToGrid w:val="0"/>
                <w:color w:val="auto"/>
                <w:spacing w:val="16"/>
                <w:sz w:val="21"/>
                <w:szCs w:val="21"/>
                <w:highlight w:val="none"/>
                <w:vertAlign w:val="superscript"/>
              </w:rPr>
              <w:t>2+</w:t>
            </w:r>
          </w:p>
        </w:tc>
        <w:tc>
          <w:tcPr>
            <w:tcW w:w="669" w:type="dxa"/>
            <w:vAlign w:val="center"/>
          </w:tcPr>
          <w:p w14:paraId="51D46368">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w:t>
            </w:r>
            <w:r>
              <w:rPr>
                <w:rFonts w:cs="Times New Roman"/>
                <w:snapToGrid w:val="0"/>
                <w:color w:val="auto"/>
                <w:spacing w:val="16"/>
                <w:sz w:val="21"/>
                <w:szCs w:val="21"/>
                <w:highlight w:val="none"/>
                <w:vertAlign w:val="superscript"/>
              </w:rPr>
              <w:t>2+</w:t>
            </w:r>
          </w:p>
        </w:tc>
        <w:tc>
          <w:tcPr>
            <w:tcW w:w="752" w:type="dxa"/>
            <w:vAlign w:val="center"/>
          </w:tcPr>
          <w:p w14:paraId="0916C902">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总计</w:t>
            </w:r>
          </w:p>
        </w:tc>
        <w:tc>
          <w:tcPr>
            <w:tcW w:w="705" w:type="dxa"/>
            <w:vAlign w:val="center"/>
          </w:tcPr>
          <w:p w14:paraId="1A751FE5">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2-</w:t>
            </w:r>
          </w:p>
        </w:tc>
        <w:tc>
          <w:tcPr>
            <w:tcW w:w="750" w:type="dxa"/>
            <w:vAlign w:val="center"/>
          </w:tcPr>
          <w:p w14:paraId="49728BA3">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HCO</w:t>
            </w:r>
            <w:r>
              <w:rPr>
                <w:rFonts w:cs="Times New Roman"/>
                <w:snapToGrid w:val="0"/>
                <w:color w:val="auto"/>
                <w:spacing w:val="16"/>
                <w:sz w:val="21"/>
                <w:szCs w:val="21"/>
                <w:highlight w:val="none"/>
                <w:vertAlign w:val="subscript"/>
              </w:rPr>
              <w:t>3</w:t>
            </w:r>
            <w:r>
              <w:rPr>
                <w:rFonts w:cs="Times New Roman"/>
                <w:snapToGrid w:val="0"/>
                <w:color w:val="auto"/>
                <w:spacing w:val="16"/>
                <w:sz w:val="21"/>
                <w:szCs w:val="21"/>
                <w:highlight w:val="none"/>
                <w:vertAlign w:val="superscript"/>
              </w:rPr>
              <w:t>-</w:t>
            </w:r>
          </w:p>
        </w:tc>
        <w:tc>
          <w:tcPr>
            <w:tcW w:w="690" w:type="dxa"/>
            <w:vAlign w:val="center"/>
          </w:tcPr>
          <w:p w14:paraId="51F9EEE4">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Cl</w:t>
            </w:r>
            <w:r>
              <w:rPr>
                <w:rFonts w:cs="Times New Roman"/>
                <w:snapToGrid w:val="0"/>
                <w:color w:val="auto"/>
                <w:spacing w:val="16"/>
                <w:sz w:val="21"/>
                <w:szCs w:val="21"/>
                <w:highlight w:val="none"/>
                <w:vertAlign w:val="superscript"/>
              </w:rPr>
              <w:t>-</w:t>
            </w:r>
          </w:p>
        </w:tc>
        <w:tc>
          <w:tcPr>
            <w:tcW w:w="690" w:type="dxa"/>
            <w:vAlign w:val="center"/>
          </w:tcPr>
          <w:p w14:paraId="11502087">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SO</w:t>
            </w:r>
            <w:r>
              <w:rPr>
                <w:rFonts w:cs="Times New Roman"/>
                <w:snapToGrid w:val="0"/>
                <w:color w:val="auto"/>
                <w:spacing w:val="16"/>
                <w:sz w:val="21"/>
                <w:szCs w:val="21"/>
                <w:highlight w:val="none"/>
                <w:vertAlign w:val="subscript"/>
              </w:rPr>
              <w:t>4</w:t>
            </w:r>
            <w:r>
              <w:rPr>
                <w:rFonts w:cs="Times New Roman"/>
                <w:snapToGrid w:val="0"/>
                <w:color w:val="auto"/>
                <w:spacing w:val="16"/>
                <w:sz w:val="21"/>
                <w:szCs w:val="21"/>
                <w:highlight w:val="none"/>
                <w:vertAlign w:val="superscript"/>
              </w:rPr>
              <w:t>2-</w:t>
            </w:r>
          </w:p>
        </w:tc>
        <w:tc>
          <w:tcPr>
            <w:tcW w:w="975" w:type="dxa"/>
            <w:vAlign w:val="center"/>
          </w:tcPr>
          <w:p w14:paraId="4CBA54F2">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总计</w:t>
            </w:r>
          </w:p>
        </w:tc>
        <w:tc>
          <w:tcPr>
            <w:tcW w:w="1554" w:type="dxa"/>
            <w:vAlign w:val="center"/>
          </w:tcPr>
          <w:p w14:paraId="3787BE44">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水化学类型</w:t>
            </w:r>
          </w:p>
        </w:tc>
      </w:tr>
      <w:tr w14:paraId="10772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restart"/>
            <w:vAlign w:val="center"/>
          </w:tcPr>
          <w:p w14:paraId="773E95EC">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1#</w:t>
            </w:r>
          </w:p>
        </w:tc>
        <w:tc>
          <w:tcPr>
            <w:tcW w:w="668" w:type="dxa"/>
            <w:vAlign w:val="center"/>
          </w:tcPr>
          <w:p w14:paraId="78EFDFB3">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5473545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1.14</w:t>
            </w:r>
          </w:p>
        </w:tc>
        <w:tc>
          <w:tcPr>
            <w:tcW w:w="640" w:type="dxa"/>
            <w:vAlign w:val="center"/>
          </w:tcPr>
          <w:p w14:paraId="2F67DEB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33.5</w:t>
            </w:r>
          </w:p>
        </w:tc>
        <w:tc>
          <w:tcPr>
            <w:tcW w:w="644" w:type="dxa"/>
            <w:vAlign w:val="center"/>
          </w:tcPr>
          <w:p w14:paraId="2209052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20.1</w:t>
            </w:r>
          </w:p>
        </w:tc>
        <w:tc>
          <w:tcPr>
            <w:tcW w:w="669" w:type="dxa"/>
            <w:vAlign w:val="center"/>
          </w:tcPr>
          <w:p w14:paraId="50319204">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10.9</w:t>
            </w:r>
          </w:p>
        </w:tc>
        <w:tc>
          <w:tcPr>
            <w:tcW w:w="752" w:type="dxa"/>
            <w:vAlign w:val="center"/>
          </w:tcPr>
          <w:p w14:paraId="3E97F5FB">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65.64</w:t>
            </w:r>
          </w:p>
        </w:tc>
        <w:tc>
          <w:tcPr>
            <w:tcW w:w="705" w:type="dxa"/>
            <w:vAlign w:val="center"/>
          </w:tcPr>
          <w:p w14:paraId="5BC30B66">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0.00</w:t>
            </w:r>
          </w:p>
        </w:tc>
        <w:tc>
          <w:tcPr>
            <w:tcW w:w="750" w:type="dxa"/>
            <w:vAlign w:val="center"/>
          </w:tcPr>
          <w:p w14:paraId="55D0972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152</w:t>
            </w:r>
          </w:p>
        </w:tc>
        <w:tc>
          <w:tcPr>
            <w:tcW w:w="690" w:type="dxa"/>
            <w:vAlign w:val="center"/>
          </w:tcPr>
          <w:p w14:paraId="14898BD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12.6</w:t>
            </w:r>
          </w:p>
        </w:tc>
        <w:tc>
          <w:tcPr>
            <w:tcW w:w="690" w:type="dxa"/>
            <w:vAlign w:val="center"/>
          </w:tcPr>
          <w:p w14:paraId="7E80F3C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22.9</w:t>
            </w:r>
          </w:p>
        </w:tc>
        <w:tc>
          <w:tcPr>
            <w:tcW w:w="975" w:type="dxa"/>
            <w:vAlign w:val="center"/>
          </w:tcPr>
          <w:p w14:paraId="0FB1146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187.5</w:t>
            </w:r>
          </w:p>
        </w:tc>
        <w:tc>
          <w:tcPr>
            <w:tcW w:w="1554" w:type="dxa"/>
            <w:vMerge w:val="restart"/>
            <w:vAlign w:val="center"/>
          </w:tcPr>
          <w:p w14:paraId="123F05CB">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ascii="Times New Roman" w:hAnsi="Times New Roman" w:eastAsia="宋体" w:cs="Times New Roman"/>
                <w:color w:val="auto"/>
                <w:kern w:val="0"/>
                <w:sz w:val="21"/>
                <w:szCs w:val="21"/>
                <w:highlight w:val="none"/>
              </w:rPr>
              <w:t>HCO₃-Na·Ca·Mg</w:t>
            </w:r>
          </w:p>
        </w:tc>
      </w:tr>
      <w:tr w14:paraId="5E3CC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69597999">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1004FD6F">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28923FA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0.029</w:t>
            </w:r>
          </w:p>
        </w:tc>
        <w:tc>
          <w:tcPr>
            <w:tcW w:w="640" w:type="dxa"/>
            <w:vAlign w:val="center"/>
          </w:tcPr>
          <w:p w14:paraId="20C7E44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1.457</w:t>
            </w:r>
          </w:p>
        </w:tc>
        <w:tc>
          <w:tcPr>
            <w:tcW w:w="644" w:type="dxa"/>
            <w:vAlign w:val="center"/>
          </w:tcPr>
          <w:p w14:paraId="07F4A14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1.002</w:t>
            </w:r>
          </w:p>
        </w:tc>
        <w:tc>
          <w:tcPr>
            <w:tcW w:w="669" w:type="dxa"/>
            <w:vAlign w:val="center"/>
          </w:tcPr>
          <w:p w14:paraId="62368068">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0.897</w:t>
            </w:r>
          </w:p>
        </w:tc>
        <w:tc>
          <w:tcPr>
            <w:tcW w:w="752" w:type="dxa"/>
            <w:vAlign w:val="center"/>
          </w:tcPr>
          <w:p w14:paraId="7CDA192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3.385</w:t>
            </w:r>
          </w:p>
        </w:tc>
        <w:tc>
          <w:tcPr>
            <w:tcW w:w="705" w:type="dxa"/>
            <w:vAlign w:val="center"/>
          </w:tcPr>
          <w:p w14:paraId="04DA46FF">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0.00</w:t>
            </w:r>
          </w:p>
        </w:tc>
        <w:tc>
          <w:tcPr>
            <w:tcW w:w="750" w:type="dxa"/>
            <w:vAlign w:val="center"/>
          </w:tcPr>
          <w:p w14:paraId="562B5D4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2.492</w:t>
            </w:r>
          </w:p>
        </w:tc>
        <w:tc>
          <w:tcPr>
            <w:tcW w:w="690" w:type="dxa"/>
            <w:vAlign w:val="center"/>
          </w:tcPr>
          <w:p w14:paraId="379EED55">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0.355</w:t>
            </w:r>
          </w:p>
        </w:tc>
        <w:tc>
          <w:tcPr>
            <w:tcW w:w="690" w:type="dxa"/>
            <w:vAlign w:val="center"/>
          </w:tcPr>
          <w:p w14:paraId="730F8DE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0.477</w:t>
            </w:r>
          </w:p>
        </w:tc>
        <w:tc>
          <w:tcPr>
            <w:tcW w:w="975" w:type="dxa"/>
            <w:vAlign w:val="center"/>
          </w:tcPr>
          <w:p w14:paraId="37104CF3">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3.324</w:t>
            </w:r>
          </w:p>
        </w:tc>
        <w:tc>
          <w:tcPr>
            <w:tcW w:w="1554" w:type="dxa"/>
            <w:vMerge w:val="continue"/>
            <w:vAlign w:val="center"/>
          </w:tcPr>
          <w:p w14:paraId="50C6E152">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r w14:paraId="6DC7C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27C114A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56E0C87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6381F23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0.9</w:t>
            </w:r>
          </w:p>
        </w:tc>
        <w:tc>
          <w:tcPr>
            <w:tcW w:w="640" w:type="dxa"/>
            <w:vAlign w:val="center"/>
          </w:tcPr>
          <w:p w14:paraId="1E656C4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43.0</w:t>
            </w:r>
          </w:p>
        </w:tc>
        <w:tc>
          <w:tcPr>
            <w:tcW w:w="644" w:type="dxa"/>
            <w:vAlign w:val="center"/>
          </w:tcPr>
          <w:p w14:paraId="10E4FEE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29.6</w:t>
            </w:r>
          </w:p>
        </w:tc>
        <w:tc>
          <w:tcPr>
            <w:tcW w:w="669" w:type="dxa"/>
            <w:vAlign w:val="center"/>
          </w:tcPr>
          <w:p w14:paraId="7F11E21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26.5</w:t>
            </w:r>
          </w:p>
        </w:tc>
        <w:tc>
          <w:tcPr>
            <w:tcW w:w="752" w:type="dxa"/>
            <w:vAlign w:val="center"/>
          </w:tcPr>
          <w:p w14:paraId="2B129D8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34814635">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1E433A5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75.0</w:t>
            </w:r>
          </w:p>
        </w:tc>
        <w:tc>
          <w:tcPr>
            <w:tcW w:w="690" w:type="dxa"/>
            <w:vAlign w:val="center"/>
          </w:tcPr>
          <w:p w14:paraId="6E0B22C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10.7</w:t>
            </w:r>
          </w:p>
        </w:tc>
        <w:tc>
          <w:tcPr>
            <w:tcW w:w="690" w:type="dxa"/>
            <w:vAlign w:val="center"/>
          </w:tcPr>
          <w:p w14:paraId="373A30A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14.3</w:t>
            </w:r>
          </w:p>
        </w:tc>
        <w:tc>
          <w:tcPr>
            <w:tcW w:w="975" w:type="dxa"/>
            <w:vAlign w:val="center"/>
          </w:tcPr>
          <w:p w14:paraId="44EC5D95">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4322DBA3">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r w14:paraId="170BF0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restart"/>
            <w:vAlign w:val="center"/>
          </w:tcPr>
          <w:p w14:paraId="2EAD6948">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2#</w:t>
            </w:r>
          </w:p>
        </w:tc>
        <w:tc>
          <w:tcPr>
            <w:tcW w:w="668" w:type="dxa"/>
            <w:vAlign w:val="center"/>
          </w:tcPr>
          <w:p w14:paraId="4C59114F">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55B0E8E3">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1.52</w:t>
            </w:r>
          </w:p>
        </w:tc>
        <w:tc>
          <w:tcPr>
            <w:tcW w:w="640" w:type="dxa"/>
            <w:vAlign w:val="center"/>
          </w:tcPr>
          <w:p w14:paraId="012AE1B6">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37.9</w:t>
            </w:r>
          </w:p>
        </w:tc>
        <w:tc>
          <w:tcPr>
            <w:tcW w:w="644" w:type="dxa"/>
            <w:vAlign w:val="center"/>
          </w:tcPr>
          <w:p w14:paraId="2FEB4874">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26.8</w:t>
            </w:r>
          </w:p>
        </w:tc>
        <w:tc>
          <w:tcPr>
            <w:tcW w:w="669" w:type="dxa"/>
            <w:vAlign w:val="center"/>
          </w:tcPr>
          <w:p w14:paraId="2CFF6B9B">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13.1</w:t>
            </w:r>
          </w:p>
        </w:tc>
        <w:tc>
          <w:tcPr>
            <w:tcW w:w="752" w:type="dxa"/>
            <w:vAlign w:val="center"/>
          </w:tcPr>
          <w:p w14:paraId="3701C5D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78.32</w:t>
            </w:r>
          </w:p>
        </w:tc>
        <w:tc>
          <w:tcPr>
            <w:tcW w:w="705" w:type="dxa"/>
            <w:vAlign w:val="center"/>
          </w:tcPr>
          <w:p w14:paraId="40E7C3C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2BFADB75">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188</w:t>
            </w:r>
          </w:p>
        </w:tc>
        <w:tc>
          <w:tcPr>
            <w:tcW w:w="690" w:type="dxa"/>
            <w:vAlign w:val="center"/>
          </w:tcPr>
          <w:p w14:paraId="0089E6A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15.2</w:t>
            </w:r>
          </w:p>
        </w:tc>
        <w:tc>
          <w:tcPr>
            <w:tcW w:w="690" w:type="dxa"/>
            <w:vAlign w:val="center"/>
          </w:tcPr>
          <w:p w14:paraId="6A29986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28.1</w:t>
            </w:r>
          </w:p>
        </w:tc>
        <w:tc>
          <w:tcPr>
            <w:tcW w:w="975" w:type="dxa"/>
            <w:vAlign w:val="center"/>
          </w:tcPr>
          <w:p w14:paraId="0B411D1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231.3</w:t>
            </w:r>
          </w:p>
        </w:tc>
        <w:tc>
          <w:tcPr>
            <w:tcW w:w="1554" w:type="dxa"/>
            <w:vMerge w:val="restart"/>
            <w:vAlign w:val="center"/>
          </w:tcPr>
          <w:p w14:paraId="25D2237D">
            <w:pPr>
              <w:autoSpaceDE w:val="0"/>
              <w:autoSpaceDN w:val="0"/>
              <w:spacing w:line="240" w:lineRule="auto"/>
              <w:ind w:left="0" w:leftChars="0" w:firstLine="0" w:firstLineChars="0"/>
              <w:jc w:val="both"/>
              <w:textAlignment w:val="bottom"/>
              <w:rPr>
                <w:rFonts w:ascii="Times New Roman" w:hAnsi="Times New Roman" w:eastAsia="宋体" w:cs="Times New Roman"/>
                <w:color w:val="auto"/>
                <w:kern w:val="0"/>
                <w:sz w:val="21"/>
                <w:szCs w:val="21"/>
                <w:highlight w:val="none"/>
              </w:rPr>
            </w:pPr>
            <w:r>
              <w:rPr>
                <w:rFonts w:ascii="Times New Roman" w:hAnsi="Times New Roman" w:eastAsia="宋体" w:cs="Times New Roman"/>
                <w:color w:val="auto"/>
                <w:kern w:val="0"/>
                <w:sz w:val="21"/>
                <w:szCs w:val="21"/>
                <w:highlight w:val="none"/>
              </w:rPr>
              <w:t>HCO₃-Na·Ca·Mg</w:t>
            </w:r>
          </w:p>
          <w:p w14:paraId="164A6289">
            <w:pPr>
              <w:autoSpaceDE w:val="0"/>
              <w:autoSpaceDN w:val="0"/>
              <w:spacing w:line="240" w:lineRule="auto"/>
              <w:ind w:firstLine="420" w:firstLineChars="200"/>
              <w:jc w:val="center"/>
              <w:textAlignment w:val="bottom"/>
              <w:rPr>
                <w:rFonts w:ascii="Times New Roman" w:hAnsi="Times New Roman" w:eastAsia="宋体" w:cs="Times New Roman"/>
                <w:color w:val="auto"/>
                <w:kern w:val="0"/>
                <w:sz w:val="21"/>
                <w:szCs w:val="21"/>
                <w:highlight w:val="none"/>
              </w:rPr>
            </w:pPr>
          </w:p>
        </w:tc>
      </w:tr>
      <w:tr w14:paraId="1A28F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4F9BB341">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3E22B34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6337261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0.039</w:t>
            </w:r>
          </w:p>
        </w:tc>
        <w:tc>
          <w:tcPr>
            <w:tcW w:w="640" w:type="dxa"/>
            <w:vAlign w:val="center"/>
          </w:tcPr>
          <w:p w14:paraId="11A21A3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1.648</w:t>
            </w:r>
          </w:p>
        </w:tc>
        <w:tc>
          <w:tcPr>
            <w:tcW w:w="644" w:type="dxa"/>
            <w:vAlign w:val="center"/>
          </w:tcPr>
          <w:p w14:paraId="30FA9AA9">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1.337</w:t>
            </w:r>
          </w:p>
        </w:tc>
        <w:tc>
          <w:tcPr>
            <w:tcW w:w="669" w:type="dxa"/>
            <w:vAlign w:val="center"/>
          </w:tcPr>
          <w:p w14:paraId="216F286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1.078</w:t>
            </w:r>
          </w:p>
        </w:tc>
        <w:tc>
          <w:tcPr>
            <w:tcW w:w="752" w:type="dxa"/>
            <w:vAlign w:val="center"/>
          </w:tcPr>
          <w:p w14:paraId="307948C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4.102</w:t>
            </w:r>
          </w:p>
        </w:tc>
        <w:tc>
          <w:tcPr>
            <w:tcW w:w="705" w:type="dxa"/>
            <w:vAlign w:val="center"/>
          </w:tcPr>
          <w:p w14:paraId="0F9CBA4B">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890A95E">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3.082</w:t>
            </w:r>
          </w:p>
        </w:tc>
        <w:tc>
          <w:tcPr>
            <w:tcW w:w="690" w:type="dxa"/>
            <w:vAlign w:val="center"/>
          </w:tcPr>
          <w:p w14:paraId="7707C3F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0.429</w:t>
            </w:r>
          </w:p>
        </w:tc>
        <w:tc>
          <w:tcPr>
            <w:tcW w:w="690" w:type="dxa"/>
            <w:vAlign w:val="center"/>
          </w:tcPr>
          <w:p w14:paraId="472D1B4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0.585</w:t>
            </w:r>
          </w:p>
        </w:tc>
        <w:tc>
          <w:tcPr>
            <w:tcW w:w="975" w:type="dxa"/>
            <w:vAlign w:val="center"/>
          </w:tcPr>
          <w:p w14:paraId="76C8BCA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4.096</w:t>
            </w:r>
          </w:p>
        </w:tc>
        <w:tc>
          <w:tcPr>
            <w:tcW w:w="1554" w:type="dxa"/>
            <w:vMerge w:val="continue"/>
            <w:vAlign w:val="center"/>
          </w:tcPr>
          <w:p w14:paraId="2CBD97F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r w14:paraId="6F914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3A901C4C">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2B390400">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1649C0DD">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0.7</w:t>
            </w:r>
          </w:p>
        </w:tc>
        <w:tc>
          <w:tcPr>
            <w:tcW w:w="640" w:type="dxa"/>
            <w:vAlign w:val="center"/>
          </w:tcPr>
          <w:p w14:paraId="31F8119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40.3</w:t>
            </w:r>
          </w:p>
        </w:tc>
        <w:tc>
          <w:tcPr>
            <w:tcW w:w="644" w:type="dxa"/>
            <w:vAlign w:val="center"/>
          </w:tcPr>
          <w:p w14:paraId="0F412CA9">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32.6</w:t>
            </w:r>
          </w:p>
        </w:tc>
        <w:tc>
          <w:tcPr>
            <w:tcW w:w="669" w:type="dxa"/>
            <w:vAlign w:val="center"/>
          </w:tcPr>
          <w:p w14:paraId="4A9BA339">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26.4</w:t>
            </w:r>
          </w:p>
        </w:tc>
        <w:tc>
          <w:tcPr>
            <w:tcW w:w="752" w:type="dxa"/>
            <w:vAlign w:val="center"/>
          </w:tcPr>
          <w:p w14:paraId="75FF85A4">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2E9FBFD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E0B702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75.3</w:t>
            </w:r>
          </w:p>
        </w:tc>
        <w:tc>
          <w:tcPr>
            <w:tcW w:w="690" w:type="dxa"/>
            <w:vAlign w:val="center"/>
          </w:tcPr>
          <w:p w14:paraId="66A278EF">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10.5</w:t>
            </w:r>
          </w:p>
        </w:tc>
        <w:tc>
          <w:tcPr>
            <w:tcW w:w="690" w:type="dxa"/>
            <w:vAlign w:val="center"/>
          </w:tcPr>
          <w:p w14:paraId="6D36172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ascii="Times New Roman" w:hAnsi="Times New Roman" w:eastAsia="宋体" w:cs="Times New Roman"/>
                <w:snapToGrid w:val="0"/>
                <w:color w:val="auto"/>
                <w:spacing w:val="16"/>
                <w:kern w:val="2"/>
                <w:sz w:val="21"/>
                <w:szCs w:val="21"/>
                <w:highlight w:val="none"/>
                <w:lang w:val="en-US" w:eastAsia="zh-CN" w:bidi="ar-SA"/>
              </w:rPr>
              <w:t>14.2</w:t>
            </w:r>
          </w:p>
        </w:tc>
        <w:tc>
          <w:tcPr>
            <w:tcW w:w="975" w:type="dxa"/>
            <w:vAlign w:val="center"/>
          </w:tcPr>
          <w:p w14:paraId="775DABE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53922CDD">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r w14:paraId="1BEE6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restart"/>
            <w:vAlign w:val="center"/>
          </w:tcPr>
          <w:p w14:paraId="442E4A1B">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3#</w:t>
            </w:r>
          </w:p>
        </w:tc>
        <w:tc>
          <w:tcPr>
            <w:tcW w:w="668" w:type="dxa"/>
            <w:vAlign w:val="center"/>
          </w:tcPr>
          <w:p w14:paraId="6C064D4E">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mg/l</w:t>
            </w:r>
          </w:p>
        </w:tc>
        <w:tc>
          <w:tcPr>
            <w:tcW w:w="567" w:type="dxa"/>
            <w:vAlign w:val="center"/>
          </w:tcPr>
          <w:p w14:paraId="1021108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1.35</w:t>
            </w:r>
          </w:p>
        </w:tc>
        <w:tc>
          <w:tcPr>
            <w:tcW w:w="640" w:type="dxa"/>
            <w:vAlign w:val="center"/>
          </w:tcPr>
          <w:p w14:paraId="7A6C5B43">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36.1</w:t>
            </w:r>
          </w:p>
        </w:tc>
        <w:tc>
          <w:tcPr>
            <w:tcW w:w="644" w:type="dxa"/>
            <w:vAlign w:val="center"/>
          </w:tcPr>
          <w:p w14:paraId="130C5A54">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24.6</w:t>
            </w:r>
          </w:p>
        </w:tc>
        <w:tc>
          <w:tcPr>
            <w:tcW w:w="669" w:type="dxa"/>
            <w:vAlign w:val="center"/>
          </w:tcPr>
          <w:p w14:paraId="21B68106">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12.5</w:t>
            </w:r>
          </w:p>
        </w:tc>
        <w:tc>
          <w:tcPr>
            <w:tcW w:w="752" w:type="dxa"/>
            <w:vAlign w:val="center"/>
          </w:tcPr>
          <w:p w14:paraId="01797E69">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74.55</w:t>
            </w:r>
          </w:p>
        </w:tc>
        <w:tc>
          <w:tcPr>
            <w:tcW w:w="705" w:type="dxa"/>
            <w:vAlign w:val="center"/>
          </w:tcPr>
          <w:p w14:paraId="5E301E8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0629AB1D">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177</w:t>
            </w:r>
          </w:p>
        </w:tc>
        <w:tc>
          <w:tcPr>
            <w:tcW w:w="690" w:type="dxa"/>
            <w:vAlign w:val="center"/>
          </w:tcPr>
          <w:p w14:paraId="06957DB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14.9</w:t>
            </w:r>
          </w:p>
        </w:tc>
        <w:tc>
          <w:tcPr>
            <w:tcW w:w="690" w:type="dxa"/>
            <w:vAlign w:val="center"/>
          </w:tcPr>
          <w:p w14:paraId="6FA15D50">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24.5</w:t>
            </w:r>
          </w:p>
        </w:tc>
        <w:tc>
          <w:tcPr>
            <w:tcW w:w="975" w:type="dxa"/>
            <w:vAlign w:val="center"/>
          </w:tcPr>
          <w:p w14:paraId="40E11427">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216.4</w:t>
            </w:r>
          </w:p>
        </w:tc>
        <w:tc>
          <w:tcPr>
            <w:tcW w:w="1554" w:type="dxa"/>
            <w:vMerge w:val="restart"/>
            <w:vAlign w:val="center"/>
          </w:tcPr>
          <w:p w14:paraId="75433683">
            <w:pPr>
              <w:autoSpaceDE w:val="0"/>
              <w:autoSpaceDN w:val="0"/>
              <w:spacing w:line="240" w:lineRule="auto"/>
              <w:ind w:left="0" w:leftChars="0" w:firstLine="0" w:firstLineChars="0"/>
              <w:jc w:val="both"/>
              <w:textAlignment w:val="bottom"/>
              <w:rPr>
                <w:rFonts w:cs="Times New Roman"/>
                <w:snapToGrid w:val="0"/>
                <w:color w:val="auto"/>
                <w:spacing w:val="16"/>
                <w:sz w:val="21"/>
                <w:szCs w:val="21"/>
                <w:highlight w:val="none"/>
              </w:rPr>
            </w:pPr>
            <w:r>
              <w:rPr>
                <w:rFonts w:ascii="Times New Roman" w:hAnsi="Times New Roman" w:eastAsia="宋体" w:cs="Times New Roman"/>
                <w:color w:val="auto"/>
                <w:kern w:val="0"/>
                <w:sz w:val="21"/>
                <w:szCs w:val="21"/>
                <w:highlight w:val="none"/>
              </w:rPr>
              <w:t>HCO₃-Na·Ca·Mg</w:t>
            </w:r>
          </w:p>
        </w:tc>
      </w:tr>
      <w:tr w14:paraId="49B9C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25CDBD05">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59E8A027">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meq/l</w:t>
            </w:r>
          </w:p>
        </w:tc>
        <w:tc>
          <w:tcPr>
            <w:tcW w:w="567" w:type="dxa"/>
            <w:vAlign w:val="center"/>
          </w:tcPr>
          <w:p w14:paraId="560EA15F">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0.035</w:t>
            </w:r>
          </w:p>
        </w:tc>
        <w:tc>
          <w:tcPr>
            <w:tcW w:w="640" w:type="dxa"/>
            <w:vAlign w:val="center"/>
          </w:tcPr>
          <w:p w14:paraId="019E225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1.570</w:t>
            </w:r>
          </w:p>
        </w:tc>
        <w:tc>
          <w:tcPr>
            <w:tcW w:w="644" w:type="dxa"/>
            <w:vAlign w:val="center"/>
          </w:tcPr>
          <w:p w14:paraId="0AE65C78">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1.222</w:t>
            </w:r>
          </w:p>
        </w:tc>
        <w:tc>
          <w:tcPr>
            <w:tcW w:w="669" w:type="dxa"/>
            <w:vAlign w:val="center"/>
          </w:tcPr>
          <w:p w14:paraId="156C23C8">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1.029</w:t>
            </w:r>
          </w:p>
        </w:tc>
        <w:tc>
          <w:tcPr>
            <w:tcW w:w="752" w:type="dxa"/>
            <w:vAlign w:val="center"/>
          </w:tcPr>
          <w:p w14:paraId="1F241B0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3.856</w:t>
            </w:r>
          </w:p>
        </w:tc>
        <w:tc>
          <w:tcPr>
            <w:tcW w:w="705" w:type="dxa"/>
            <w:shd w:val="clear" w:color="auto" w:fill="auto"/>
            <w:vAlign w:val="center"/>
          </w:tcPr>
          <w:p w14:paraId="2DC26D5B">
            <w:pPr>
              <w:autoSpaceDE w:val="0"/>
              <w:autoSpaceDN w:val="0"/>
              <w:spacing w:line="240" w:lineRule="auto"/>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cs="Times New Roman"/>
                <w:snapToGrid w:val="0"/>
                <w:color w:val="auto"/>
                <w:spacing w:val="16"/>
                <w:sz w:val="21"/>
                <w:szCs w:val="21"/>
                <w:highlight w:val="none"/>
                <w:lang w:val="en-US" w:eastAsia="zh-CN"/>
              </w:rPr>
              <w:t>0.00</w:t>
            </w:r>
          </w:p>
        </w:tc>
        <w:tc>
          <w:tcPr>
            <w:tcW w:w="750" w:type="dxa"/>
            <w:shd w:val="clear" w:color="auto" w:fill="auto"/>
            <w:vAlign w:val="center"/>
          </w:tcPr>
          <w:p w14:paraId="22A9E8B3">
            <w:pPr>
              <w:autoSpaceDE w:val="0"/>
              <w:autoSpaceDN w:val="0"/>
              <w:spacing w:line="240" w:lineRule="auto"/>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ascii="Times New Roman" w:hAnsi="Times New Roman" w:eastAsia="宋体" w:cs="Times New Roman"/>
                <w:snapToGrid w:val="0"/>
                <w:color w:val="auto"/>
                <w:spacing w:val="16"/>
                <w:kern w:val="2"/>
                <w:sz w:val="21"/>
                <w:szCs w:val="21"/>
                <w:highlight w:val="none"/>
                <w:lang w:val="en-US" w:eastAsia="zh-CN" w:bidi="ar-SA"/>
              </w:rPr>
              <w:t>2.902</w:t>
            </w:r>
          </w:p>
        </w:tc>
        <w:tc>
          <w:tcPr>
            <w:tcW w:w="690" w:type="dxa"/>
            <w:shd w:val="clear" w:color="auto" w:fill="auto"/>
            <w:vAlign w:val="center"/>
          </w:tcPr>
          <w:p w14:paraId="460E0584">
            <w:pPr>
              <w:autoSpaceDE w:val="0"/>
              <w:autoSpaceDN w:val="0"/>
              <w:spacing w:line="240" w:lineRule="auto"/>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ascii="Times New Roman" w:hAnsi="Times New Roman" w:eastAsia="宋体" w:cs="Times New Roman"/>
                <w:snapToGrid w:val="0"/>
                <w:color w:val="auto"/>
                <w:spacing w:val="16"/>
                <w:kern w:val="2"/>
                <w:sz w:val="21"/>
                <w:szCs w:val="21"/>
                <w:highlight w:val="none"/>
                <w:lang w:val="en-US" w:eastAsia="zh-CN" w:bidi="ar-SA"/>
              </w:rPr>
              <w:t>0.420</w:t>
            </w:r>
          </w:p>
        </w:tc>
        <w:tc>
          <w:tcPr>
            <w:tcW w:w="690" w:type="dxa"/>
            <w:shd w:val="clear" w:color="auto" w:fill="auto"/>
            <w:vAlign w:val="center"/>
          </w:tcPr>
          <w:p w14:paraId="2C37E003">
            <w:pPr>
              <w:autoSpaceDE w:val="0"/>
              <w:autoSpaceDN w:val="0"/>
              <w:spacing w:line="240" w:lineRule="auto"/>
              <w:ind w:firstLine="0" w:firstLineChars="0"/>
              <w:jc w:val="center"/>
              <w:textAlignment w:val="bottom"/>
              <w:rPr>
                <w:rFonts w:hint="default" w:ascii="Times New Roman" w:hAnsi="Times New Roman" w:eastAsia="宋体" w:cs="Times New Roman"/>
                <w:snapToGrid w:val="0"/>
                <w:color w:val="auto"/>
                <w:spacing w:val="16"/>
                <w:kern w:val="2"/>
                <w:sz w:val="21"/>
                <w:szCs w:val="21"/>
                <w:highlight w:val="none"/>
                <w:lang w:val="en-US" w:eastAsia="zh-CN" w:bidi="ar-SA"/>
              </w:rPr>
            </w:pPr>
            <w:r>
              <w:rPr>
                <w:rFonts w:hint="eastAsia" w:ascii="Times New Roman" w:hAnsi="Times New Roman" w:eastAsia="宋体" w:cs="Times New Roman"/>
                <w:snapToGrid w:val="0"/>
                <w:color w:val="auto"/>
                <w:spacing w:val="16"/>
                <w:kern w:val="2"/>
                <w:sz w:val="21"/>
                <w:szCs w:val="21"/>
                <w:highlight w:val="none"/>
                <w:lang w:val="en-US" w:eastAsia="zh-CN" w:bidi="ar-SA"/>
              </w:rPr>
              <w:t>0.510</w:t>
            </w:r>
          </w:p>
        </w:tc>
        <w:tc>
          <w:tcPr>
            <w:tcW w:w="975" w:type="dxa"/>
            <w:vAlign w:val="center"/>
          </w:tcPr>
          <w:p w14:paraId="72F38538">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3.832</w:t>
            </w:r>
          </w:p>
        </w:tc>
        <w:tc>
          <w:tcPr>
            <w:tcW w:w="1554" w:type="dxa"/>
            <w:vMerge w:val="continue"/>
            <w:vAlign w:val="center"/>
          </w:tcPr>
          <w:p w14:paraId="7E9B4E56">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r w14:paraId="0949A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52" w:type="dxa"/>
            <w:vMerge w:val="continue"/>
            <w:vAlign w:val="center"/>
          </w:tcPr>
          <w:p w14:paraId="21313850">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c>
          <w:tcPr>
            <w:tcW w:w="668" w:type="dxa"/>
            <w:vAlign w:val="center"/>
          </w:tcPr>
          <w:p w14:paraId="1DB4CE35">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r>
              <w:rPr>
                <w:rFonts w:cs="Times New Roman"/>
                <w:snapToGrid w:val="0"/>
                <w:color w:val="auto"/>
                <w:spacing w:val="16"/>
                <w:sz w:val="21"/>
                <w:szCs w:val="21"/>
                <w:highlight w:val="none"/>
              </w:rPr>
              <w:t>meq%</w:t>
            </w:r>
          </w:p>
        </w:tc>
        <w:tc>
          <w:tcPr>
            <w:tcW w:w="567" w:type="dxa"/>
            <w:vAlign w:val="center"/>
          </w:tcPr>
          <w:p w14:paraId="02DB50F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0.9</w:t>
            </w:r>
          </w:p>
        </w:tc>
        <w:tc>
          <w:tcPr>
            <w:tcW w:w="640" w:type="dxa"/>
            <w:vAlign w:val="center"/>
          </w:tcPr>
          <w:p w14:paraId="05AC0ACF">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43.4</w:t>
            </w:r>
          </w:p>
        </w:tc>
        <w:tc>
          <w:tcPr>
            <w:tcW w:w="644" w:type="dxa"/>
            <w:vAlign w:val="center"/>
          </w:tcPr>
          <w:p w14:paraId="3E6B95C1">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33.8</w:t>
            </w:r>
          </w:p>
        </w:tc>
        <w:tc>
          <w:tcPr>
            <w:tcW w:w="669" w:type="dxa"/>
            <w:vAlign w:val="center"/>
          </w:tcPr>
          <w:p w14:paraId="11F6D618">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28.5</w:t>
            </w:r>
          </w:p>
        </w:tc>
        <w:tc>
          <w:tcPr>
            <w:tcW w:w="752" w:type="dxa"/>
            <w:vAlign w:val="center"/>
          </w:tcPr>
          <w:p w14:paraId="7037B77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705" w:type="dxa"/>
            <w:vAlign w:val="center"/>
          </w:tcPr>
          <w:p w14:paraId="7F98EA8B">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0.00</w:t>
            </w:r>
          </w:p>
        </w:tc>
        <w:tc>
          <w:tcPr>
            <w:tcW w:w="750" w:type="dxa"/>
            <w:vAlign w:val="center"/>
          </w:tcPr>
          <w:p w14:paraId="68708ED2">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75.6</w:t>
            </w:r>
          </w:p>
        </w:tc>
        <w:tc>
          <w:tcPr>
            <w:tcW w:w="690" w:type="dxa"/>
            <w:vAlign w:val="center"/>
          </w:tcPr>
          <w:p w14:paraId="1EB1DDCE">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10.9</w:t>
            </w:r>
          </w:p>
        </w:tc>
        <w:tc>
          <w:tcPr>
            <w:tcW w:w="690" w:type="dxa"/>
            <w:vAlign w:val="center"/>
          </w:tcPr>
          <w:p w14:paraId="42ECBBCA">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eastAsia="宋体" w:cs="Times New Roman"/>
                <w:snapToGrid w:val="0"/>
                <w:color w:val="auto"/>
                <w:spacing w:val="16"/>
                <w:sz w:val="21"/>
                <w:szCs w:val="21"/>
                <w:highlight w:val="none"/>
                <w:lang w:val="en-US" w:eastAsia="zh-CN"/>
              </w:rPr>
              <w:t>13.5</w:t>
            </w:r>
          </w:p>
        </w:tc>
        <w:tc>
          <w:tcPr>
            <w:tcW w:w="975" w:type="dxa"/>
            <w:vAlign w:val="center"/>
          </w:tcPr>
          <w:p w14:paraId="5D22140C">
            <w:pPr>
              <w:autoSpaceDE w:val="0"/>
              <w:autoSpaceDN w:val="0"/>
              <w:spacing w:line="240" w:lineRule="auto"/>
              <w:ind w:firstLine="0" w:firstLineChars="0"/>
              <w:jc w:val="center"/>
              <w:textAlignment w:val="bottom"/>
              <w:rPr>
                <w:rFonts w:hint="default" w:eastAsia="宋体" w:cs="Times New Roman"/>
                <w:snapToGrid w:val="0"/>
                <w:color w:val="auto"/>
                <w:spacing w:val="16"/>
                <w:sz w:val="21"/>
                <w:szCs w:val="21"/>
                <w:highlight w:val="none"/>
                <w:lang w:val="en-US" w:eastAsia="zh-CN"/>
              </w:rPr>
            </w:pPr>
            <w:r>
              <w:rPr>
                <w:rFonts w:hint="eastAsia" w:cs="Times New Roman"/>
                <w:snapToGrid w:val="0"/>
                <w:color w:val="auto"/>
                <w:spacing w:val="16"/>
                <w:sz w:val="21"/>
                <w:szCs w:val="21"/>
                <w:highlight w:val="none"/>
                <w:lang w:val="en-US" w:eastAsia="zh-CN"/>
              </w:rPr>
              <w:t>100.00</w:t>
            </w:r>
          </w:p>
        </w:tc>
        <w:tc>
          <w:tcPr>
            <w:tcW w:w="1554" w:type="dxa"/>
            <w:vMerge w:val="continue"/>
            <w:vAlign w:val="center"/>
          </w:tcPr>
          <w:p w14:paraId="3DF863CA">
            <w:pPr>
              <w:autoSpaceDE w:val="0"/>
              <w:autoSpaceDN w:val="0"/>
              <w:spacing w:line="240" w:lineRule="auto"/>
              <w:ind w:firstLine="0" w:firstLineChars="0"/>
              <w:jc w:val="center"/>
              <w:textAlignment w:val="bottom"/>
              <w:rPr>
                <w:rFonts w:cs="Times New Roman"/>
                <w:snapToGrid w:val="0"/>
                <w:color w:val="auto"/>
                <w:spacing w:val="16"/>
                <w:sz w:val="21"/>
                <w:szCs w:val="21"/>
                <w:highlight w:val="none"/>
              </w:rPr>
            </w:pPr>
          </w:p>
        </w:tc>
      </w:tr>
    </w:tbl>
    <w:p w14:paraId="5019DF47">
      <w:pPr>
        <w:keepNext w:val="0"/>
        <w:keepLines w:val="0"/>
        <w:pageBreakBefore w:val="0"/>
        <w:widowControl w:val="0"/>
        <w:kinsoku/>
        <w:wordWrap/>
        <w:overflowPunct/>
        <w:topLinePunct w:val="0"/>
        <w:autoSpaceDE/>
        <w:autoSpaceDN/>
        <w:bidi w:val="0"/>
        <w:adjustRightInd w:val="0"/>
        <w:snapToGrid w:val="0"/>
        <w:spacing w:line="500" w:lineRule="atLeast"/>
        <w:textAlignment w:val="auto"/>
        <w:rPr>
          <w:rFonts w:cs="Times New Roman"/>
          <w:color w:val="auto"/>
          <w:highlight w:val="none"/>
        </w:rPr>
      </w:pPr>
      <w:r>
        <w:rPr>
          <w:rFonts w:cs="Times New Roman"/>
          <w:color w:val="auto"/>
          <w:kern w:val="0"/>
          <w:highlight w:val="none"/>
          <w:lang w:val="zh-CN"/>
        </w:rPr>
        <w:t>按舒卡列夫分类，评价范围内地下水水化学类型为HCO₃-Na·Ca·Mg</w:t>
      </w:r>
      <w:r>
        <w:rPr>
          <w:rFonts w:hint="eastAsia" w:cs="Times New Roman"/>
          <w:color w:val="auto"/>
          <w:kern w:val="0"/>
          <w:highlight w:val="none"/>
          <w:lang w:val="en-US" w:eastAsia="zh-CN"/>
        </w:rPr>
        <w:t>型水</w:t>
      </w:r>
      <w:r>
        <w:rPr>
          <w:rFonts w:cs="Times New Roman"/>
          <w:color w:val="auto"/>
          <w:kern w:val="0"/>
          <w:sz w:val="24"/>
          <w:szCs w:val="24"/>
          <w:highlight w:val="none"/>
          <w:lang w:val="zh-CN"/>
        </w:rPr>
        <w:t>。</w:t>
      </w:r>
    </w:p>
    <w:p w14:paraId="0A14E208">
      <w:pPr>
        <w:keepNext w:val="0"/>
        <w:keepLines w:val="0"/>
        <w:pageBreakBefore w:val="0"/>
        <w:widowControl w:val="0"/>
        <w:numPr>
          <w:ilvl w:val="0"/>
          <w:numId w:val="8"/>
        </w:numPr>
        <w:kinsoku/>
        <w:wordWrap/>
        <w:overflowPunct/>
        <w:topLinePunct w:val="0"/>
        <w:autoSpaceDE/>
        <w:autoSpaceDN/>
        <w:bidi w:val="0"/>
        <w:adjustRightInd w:val="0"/>
        <w:snapToGrid w:val="0"/>
        <w:spacing w:line="500" w:lineRule="atLeast"/>
        <w:textAlignment w:val="auto"/>
        <w:rPr>
          <w:rFonts w:cs="Times New Roman"/>
          <w:color w:val="auto"/>
          <w:kern w:val="0"/>
          <w:highlight w:val="none"/>
          <w:lang w:val="zh-CN"/>
        </w:rPr>
      </w:pPr>
      <w:r>
        <w:rPr>
          <w:rFonts w:cs="Times New Roman"/>
          <w:color w:val="auto"/>
          <w:kern w:val="0"/>
          <w:highlight w:val="none"/>
          <w:lang w:val="zh-CN"/>
        </w:rPr>
        <w:t>地下水现状评价结论</w:t>
      </w:r>
    </w:p>
    <w:p w14:paraId="2AEE151D">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atLeast"/>
        <w:ind w:firstLine="480" w:firstLineChars="200"/>
        <w:textAlignment w:val="auto"/>
        <w:rPr>
          <w:rFonts w:hint="eastAsia" w:ascii="Times New Roman" w:hAnsi="Times New Roman" w:eastAsia="宋体" w:cs="Times New Roman"/>
          <w:bCs w:val="0"/>
          <w:color w:val="auto"/>
          <w:kern w:val="0"/>
          <w:sz w:val="24"/>
          <w:szCs w:val="22"/>
          <w:highlight w:val="none"/>
          <w:lang w:val="en-US" w:eastAsia="zh-CN" w:bidi="ar-SA"/>
        </w:rPr>
      </w:pPr>
      <w:r>
        <w:rPr>
          <w:rFonts w:ascii="Times New Roman" w:hAnsi="Times New Roman" w:eastAsia="宋体" w:cs="Times New Roman"/>
          <w:bCs w:val="0"/>
          <w:color w:val="auto"/>
          <w:kern w:val="0"/>
          <w:sz w:val="24"/>
          <w:szCs w:val="22"/>
          <w:highlight w:val="none"/>
          <w:lang w:val="zh-CN" w:eastAsia="zh-CN" w:bidi="ar-SA"/>
        </w:rPr>
        <w:t>评价范围内地下水水化学</w:t>
      </w:r>
      <w:r>
        <w:rPr>
          <w:rFonts w:cs="Times New Roman"/>
          <w:color w:val="auto"/>
          <w:kern w:val="0"/>
          <w:highlight w:val="none"/>
          <w:lang w:val="zh-CN" w:eastAsia="zh-CN"/>
        </w:rPr>
        <w:t>类型为</w:t>
      </w:r>
      <w:r>
        <w:rPr>
          <w:rFonts w:cs="Times New Roman"/>
          <w:color w:val="auto"/>
          <w:kern w:val="0"/>
          <w:highlight w:val="none"/>
          <w:lang w:val="zh-CN"/>
        </w:rPr>
        <w:t>HCO₃-Na·Ca·Mg</w:t>
      </w:r>
      <w:r>
        <w:rPr>
          <w:rFonts w:hint="eastAsia" w:cs="Times New Roman"/>
          <w:color w:val="auto"/>
          <w:kern w:val="0"/>
          <w:highlight w:val="none"/>
          <w:lang w:val="en-US" w:eastAsia="zh-CN"/>
        </w:rPr>
        <w:t>型水</w:t>
      </w:r>
      <w:r>
        <w:rPr>
          <w:rFonts w:cs="Times New Roman"/>
          <w:color w:val="auto"/>
          <w:kern w:val="0"/>
          <w:highlight w:val="none"/>
          <w:lang w:val="zh-CN" w:eastAsia="zh-CN"/>
        </w:rPr>
        <w:t>。由上</w:t>
      </w:r>
      <w:r>
        <w:rPr>
          <w:rFonts w:ascii="Times New Roman" w:hAnsi="Times New Roman" w:eastAsia="宋体" w:cs="Times New Roman"/>
          <w:bCs w:val="0"/>
          <w:color w:val="auto"/>
          <w:kern w:val="0"/>
          <w:sz w:val="24"/>
          <w:szCs w:val="22"/>
          <w:highlight w:val="none"/>
          <w:lang w:val="zh-CN" w:eastAsia="zh-CN" w:bidi="ar-SA"/>
        </w:rPr>
        <w:t>表可知，</w:t>
      </w:r>
      <w:r>
        <w:rPr>
          <w:rFonts w:hint="eastAsia" w:ascii="Times New Roman" w:hAnsi="Times New Roman" w:eastAsia="宋体" w:cs="Times New Roman"/>
          <w:bCs w:val="0"/>
          <w:color w:val="auto"/>
          <w:kern w:val="0"/>
          <w:sz w:val="24"/>
          <w:szCs w:val="22"/>
          <w:highlight w:val="none"/>
          <w:lang w:val="en-US" w:eastAsia="zh-CN" w:bidi="ar-SA"/>
        </w:rPr>
        <w:t>地下水</w:t>
      </w:r>
      <w:r>
        <w:rPr>
          <w:rFonts w:hint="eastAsia" w:ascii="Times New Roman" w:hAnsi="Times New Roman" w:eastAsia="宋体" w:cs="Times New Roman"/>
          <w:bCs w:val="0"/>
          <w:color w:val="auto"/>
          <w:kern w:val="0"/>
          <w:sz w:val="24"/>
          <w:szCs w:val="22"/>
          <w:highlight w:val="none"/>
          <w:lang w:val="zh-CN" w:eastAsia="zh-CN" w:bidi="ar-SA"/>
        </w:rPr>
        <w:t>监测点水质整体</w:t>
      </w:r>
      <w:r>
        <w:rPr>
          <w:rFonts w:hint="eastAsia" w:ascii="Times New Roman" w:hAnsi="Times New Roman" w:eastAsia="宋体" w:cs="Times New Roman"/>
          <w:bCs w:val="0"/>
          <w:color w:val="auto"/>
          <w:kern w:val="0"/>
          <w:sz w:val="24"/>
          <w:szCs w:val="22"/>
          <w:highlight w:val="none"/>
          <w:lang w:val="en-US" w:eastAsia="zh-CN" w:bidi="ar-SA"/>
        </w:rPr>
        <w:t>良</w:t>
      </w:r>
      <w:r>
        <w:rPr>
          <w:rFonts w:hint="eastAsia" w:ascii="Times New Roman" w:hAnsi="Times New Roman" w:eastAsia="宋体" w:cs="Times New Roman"/>
          <w:bCs w:val="0"/>
          <w:color w:val="auto"/>
          <w:kern w:val="0"/>
          <w:sz w:val="24"/>
          <w:szCs w:val="22"/>
          <w:highlight w:val="none"/>
          <w:lang w:val="zh-CN" w:eastAsia="zh-CN" w:bidi="ar-SA"/>
        </w:rPr>
        <w:t>好，</w:t>
      </w:r>
      <w:r>
        <w:rPr>
          <w:rFonts w:hint="eastAsia" w:ascii="Times New Roman" w:hAnsi="Times New Roman" w:eastAsia="宋体" w:cs="Times New Roman"/>
          <w:bCs w:val="0"/>
          <w:color w:val="auto"/>
          <w:kern w:val="0"/>
          <w:sz w:val="24"/>
          <w:szCs w:val="22"/>
          <w:highlight w:val="none"/>
          <w:lang w:val="en-US" w:eastAsia="zh-CN" w:bidi="ar-SA"/>
        </w:rPr>
        <w:t>地下水</w:t>
      </w:r>
      <w:r>
        <w:rPr>
          <w:rFonts w:hint="eastAsia" w:ascii="Times New Roman" w:hAnsi="Times New Roman" w:eastAsia="宋体" w:cs="Times New Roman"/>
          <w:bCs w:val="0"/>
          <w:color w:val="auto"/>
          <w:kern w:val="0"/>
          <w:sz w:val="24"/>
          <w:szCs w:val="22"/>
          <w:highlight w:val="none"/>
          <w:lang w:val="zh-CN" w:eastAsia="zh-CN" w:bidi="ar-SA"/>
        </w:rPr>
        <w:t>监测因子均符合《地下水质量标准》（GB/T14848-</w:t>
      </w:r>
      <w:r>
        <w:rPr>
          <w:rFonts w:hint="eastAsia" w:ascii="Times New Roman" w:hAnsi="Times New Roman" w:eastAsia="宋体" w:cs="Times New Roman"/>
          <w:bCs w:val="0"/>
          <w:color w:val="auto"/>
          <w:kern w:val="0"/>
          <w:sz w:val="24"/>
          <w:szCs w:val="22"/>
          <w:highlight w:val="none"/>
          <w:lang w:val="en-US" w:eastAsia="zh-CN" w:bidi="ar-SA"/>
        </w:rPr>
        <w:t>2017</w:t>
      </w:r>
      <w:r>
        <w:rPr>
          <w:rFonts w:hint="eastAsia" w:ascii="Times New Roman" w:hAnsi="Times New Roman" w:eastAsia="宋体" w:cs="Times New Roman"/>
          <w:bCs w:val="0"/>
          <w:color w:val="auto"/>
          <w:kern w:val="0"/>
          <w:sz w:val="24"/>
          <w:szCs w:val="22"/>
          <w:highlight w:val="none"/>
          <w:lang w:val="zh-CN" w:eastAsia="zh-CN" w:bidi="ar-SA"/>
        </w:rPr>
        <w:t>）中的</w:t>
      </w:r>
      <w:r>
        <w:rPr>
          <w:rFonts w:hint="default" w:ascii="Times New Roman" w:hAnsi="Times New Roman" w:eastAsia="宋体" w:cs="Times New Roman"/>
          <w:bCs w:val="0"/>
          <w:color w:val="auto"/>
          <w:kern w:val="0"/>
          <w:sz w:val="24"/>
          <w:szCs w:val="22"/>
          <w:highlight w:val="none"/>
          <w:lang w:val="zh-CN" w:eastAsia="zh-CN" w:bidi="ar-SA"/>
        </w:rPr>
        <w:t>Ⅲ</w:t>
      </w:r>
      <w:r>
        <w:rPr>
          <w:rFonts w:hint="eastAsia" w:ascii="Times New Roman" w:hAnsi="Times New Roman" w:eastAsia="宋体" w:cs="Times New Roman"/>
          <w:bCs w:val="0"/>
          <w:color w:val="auto"/>
          <w:kern w:val="0"/>
          <w:sz w:val="24"/>
          <w:szCs w:val="22"/>
          <w:highlight w:val="none"/>
          <w:lang w:val="zh-CN" w:eastAsia="zh-CN" w:bidi="ar-SA"/>
        </w:rPr>
        <w:t>类标准。</w:t>
      </w:r>
      <w:r>
        <w:rPr>
          <w:rFonts w:hint="eastAsia" w:ascii="Times New Roman" w:hAnsi="Times New Roman" w:eastAsia="宋体" w:cs="Times New Roman"/>
          <w:bCs w:val="0"/>
          <w:color w:val="auto"/>
          <w:kern w:val="0"/>
          <w:sz w:val="24"/>
          <w:szCs w:val="22"/>
          <w:highlight w:val="none"/>
          <w:lang w:val="en-US" w:eastAsia="zh-CN" w:bidi="ar-SA"/>
        </w:rPr>
        <w:t>其中本项目特征污染物生化需氧量、化学需氧量、总磷均未检出，总氮现状浓度在1.02mg/L~1.22mg/L之间，可用作本项目地下水本底值，日后与地下水例行监测数据对比，可判断本项目的运行对地下水是否产生污染。</w:t>
      </w:r>
    </w:p>
    <w:p w14:paraId="4AE6DC21">
      <w:pPr>
        <w:pStyle w:val="5"/>
        <w:spacing w:line="500" w:lineRule="exact"/>
        <w:rPr>
          <w:rFonts w:hint="default" w:ascii="Times New Roman" w:hAnsi="Times New Roman" w:cs="Times New Roman"/>
          <w:color w:val="auto"/>
          <w:highlight w:val="none"/>
        </w:rPr>
      </w:pPr>
      <w:bookmarkStart w:id="383" w:name="_Toc10024"/>
      <w:r>
        <w:rPr>
          <w:rFonts w:hint="default" w:ascii="Times New Roman" w:hAnsi="Times New Roman" w:cs="Times New Roman"/>
          <w:color w:val="auto"/>
          <w:highlight w:val="none"/>
        </w:rPr>
        <w:t>4.2.4声环境质量现状</w:t>
      </w:r>
      <w:bookmarkEnd w:id="381"/>
      <w:bookmarkEnd w:id="382"/>
      <w:r>
        <w:rPr>
          <w:rFonts w:hint="default" w:ascii="Times New Roman" w:hAnsi="Times New Roman" w:cs="Times New Roman"/>
          <w:color w:val="auto"/>
          <w:highlight w:val="none"/>
        </w:rPr>
        <w:t>评价</w:t>
      </w:r>
      <w:bookmarkEnd w:id="383"/>
    </w:p>
    <w:p w14:paraId="77A7A0D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4.2.4.1声环境现状监测</w:t>
      </w:r>
    </w:p>
    <w:p w14:paraId="1F67062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拟建项目属于农村地区，地处空旷郊外，属《声环境质量标准》(GB3096-2008)规定的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类声环境功能区，项目评价区及周边区域无工业噪声污染源。</w:t>
      </w:r>
    </w:p>
    <w:p w14:paraId="3620F6F7">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（1）监测点位</w:t>
      </w:r>
    </w:p>
    <w:p w14:paraId="42AA223C">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本项目声环境现状监测点位布置具体见表4-2-</w:t>
      </w:r>
      <w:r>
        <w:rPr>
          <w:rFonts w:hint="eastAsia" w:eastAsia="宋体" w:cs="Times New Roman"/>
          <w:color w:val="auto"/>
          <w:highlight w:val="none"/>
          <w:lang w:val="en-US" w:eastAsia="zh-CN"/>
        </w:rPr>
        <w:t>17</w:t>
      </w:r>
      <w:r>
        <w:rPr>
          <w:rFonts w:hint="default" w:ascii="Times New Roman" w:hAnsi="Times New Roman" w:eastAsia="宋体" w:cs="Times New Roman"/>
          <w:color w:val="auto"/>
          <w:highlight w:val="none"/>
        </w:rPr>
        <w:t>和图4</w:t>
      </w:r>
      <w:r>
        <w:rPr>
          <w:rFonts w:hint="eastAsia" w:eastAsia="宋体" w:cs="Times New Roman"/>
          <w:color w:val="auto"/>
          <w:highlight w:val="none"/>
          <w:lang w:val="en-US" w:eastAsia="zh-CN"/>
        </w:rPr>
        <w:t>.2-1</w:t>
      </w:r>
      <w:r>
        <w:rPr>
          <w:rFonts w:hint="default" w:ascii="Times New Roman" w:hAnsi="Times New Roman" w:eastAsia="宋体" w:cs="Times New Roman"/>
          <w:color w:val="auto"/>
          <w:highlight w:val="none"/>
        </w:rPr>
        <w:t>。</w:t>
      </w:r>
    </w:p>
    <w:p w14:paraId="78246EC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eastAsia" w:cs="Times New Roman"/>
          <w:color w:val="auto"/>
          <w:highlight w:val="none"/>
          <w:lang w:val="en-US" w:eastAsia="zh-CN"/>
        </w:rPr>
        <w:t>17</w:t>
      </w:r>
      <w:r>
        <w:rPr>
          <w:rFonts w:hint="default" w:ascii="Times New Roman" w:hAnsi="Times New Roman" w:cs="Times New Roman"/>
          <w:color w:val="auto"/>
          <w:highlight w:val="none"/>
        </w:rPr>
        <w:t>声环境现状监测点位表</w:t>
      </w:r>
    </w:p>
    <w:tbl>
      <w:tblPr>
        <w:tblStyle w:val="47"/>
        <w:tblW w:w="4873"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753"/>
        <w:gridCol w:w="5348"/>
      </w:tblGrid>
      <w:tr w14:paraId="24D8DD7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699" w:type="pct"/>
            <w:tcBorders>
              <w:top w:val="single" w:color="000000" w:sz="12" w:space="0"/>
              <w:left w:val="nil"/>
            </w:tcBorders>
            <w:vAlign w:val="center"/>
          </w:tcPr>
          <w:p w14:paraId="49BD3F97">
            <w:pPr>
              <w:pStyle w:val="146"/>
              <w:rPr>
                <w:rFonts w:hint="default" w:ascii="Times New Roman" w:hAnsi="Times New Roman" w:eastAsia="宋体" w:cs="Times New Roman"/>
                <w:iCs/>
                <w:color w:val="auto"/>
                <w:highlight w:val="none"/>
              </w:rPr>
            </w:pPr>
            <w:r>
              <w:rPr>
                <w:rFonts w:hint="default" w:ascii="Times New Roman" w:hAnsi="Times New Roman" w:eastAsia="宋体" w:cs="Times New Roman"/>
                <w:color w:val="auto"/>
                <w:highlight w:val="none"/>
              </w:rPr>
              <w:t>编号</w:t>
            </w:r>
          </w:p>
        </w:tc>
        <w:tc>
          <w:tcPr>
            <w:tcW w:w="3300" w:type="pct"/>
            <w:tcBorders>
              <w:top w:val="single" w:color="000000" w:sz="12" w:space="0"/>
              <w:right w:val="nil"/>
            </w:tcBorders>
            <w:vAlign w:val="center"/>
          </w:tcPr>
          <w:p w14:paraId="0303134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监测点位置</w:t>
            </w:r>
          </w:p>
        </w:tc>
      </w:tr>
      <w:tr w14:paraId="449B899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699" w:type="pct"/>
            <w:tcBorders>
              <w:left w:val="nil"/>
            </w:tcBorders>
            <w:vAlign w:val="center"/>
          </w:tcPr>
          <w:p w14:paraId="3549D6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300" w:type="pct"/>
            <w:shd w:val="clear" w:color="auto" w:fill="auto"/>
            <w:vAlign w:val="center"/>
          </w:tcPr>
          <w:p w14:paraId="327C8A9E">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highlight w:val="none"/>
                <w:lang w:val="en-US" w:eastAsia="zh-CN"/>
              </w:rPr>
              <w:t>北侧外</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1m处</w:t>
            </w:r>
          </w:p>
        </w:tc>
      </w:tr>
      <w:tr w14:paraId="23BA4E6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699" w:type="pct"/>
            <w:tcBorders>
              <w:left w:val="nil"/>
            </w:tcBorders>
            <w:vAlign w:val="center"/>
          </w:tcPr>
          <w:p w14:paraId="50A3624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300" w:type="pct"/>
            <w:shd w:val="clear" w:color="auto" w:fill="auto"/>
            <w:vAlign w:val="center"/>
          </w:tcPr>
          <w:p w14:paraId="176FA975">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highlight w:val="none"/>
                <w:lang w:val="en-US" w:eastAsia="zh-CN"/>
              </w:rPr>
              <w:t>东侧</w:t>
            </w:r>
            <w:r>
              <w:rPr>
                <w:rFonts w:hint="eastAsia" w:cs="Times New Roman"/>
                <w:color w:val="auto"/>
                <w:highlight w:val="none"/>
                <w:lang w:val="en-US" w:eastAsia="zh-CN"/>
              </w:rPr>
              <w:t>外</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1m处</w:t>
            </w:r>
          </w:p>
        </w:tc>
      </w:tr>
      <w:tr w14:paraId="47A1B74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699" w:type="pct"/>
            <w:tcBorders>
              <w:left w:val="nil"/>
            </w:tcBorders>
            <w:vAlign w:val="center"/>
          </w:tcPr>
          <w:p w14:paraId="7F431C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3300" w:type="pct"/>
            <w:shd w:val="clear" w:color="auto" w:fill="auto"/>
            <w:vAlign w:val="center"/>
          </w:tcPr>
          <w:p w14:paraId="7ADFD3F3">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南侧</w:t>
            </w:r>
            <w:r>
              <w:rPr>
                <w:rFonts w:hint="eastAsia" w:cs="Times New Roman"/>
                <w:color w:val="auto"/>
                <w:highlight w:val="none"/>
                <w:lang w:val="en-US" w:eastAsia="zh-CN"/>
              </w:rPr>
              <w:t>外</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1m处</w:t>
            </w:r>
          </w:p>
        </w:tc>
      </w:tr>
      <w:tr w14:paraId="3D0A9F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1699" w:type="pct"/>
            <w:tcBorders>
              <w:left w:val="nil"/>
            </w:tcBorders>
            <w:vAlign w:val="center"/>
          </w:tcPr>
          <w:p w14:paraId="380051B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3300" w:type="pct"/>
            <w:shd w:val="clear" w:color="auto" w:fill="auto"/>
            <w:vAlign w:val="center"/>
          </w:tcPr>
          <w:p w14:paraId="37100C20">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西侧</w:t>
            </w:r>
            <w:r>
              <w:rPr>
                <w:rFonts w:hint="eastAsia" w:cs="Times New Roman"/>
                <w:color w:val="auto"/>
                <w:highlight w:val="none"/>
                <w:lang w:val="en-US" w:eastAsia="zh-CN"/>
              </w:rPr>
              <w:t>外</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1m处</w:t>
            </w:r>
          </w:p>
        </w:tc>
      </w:tr>
      <w:tr w14:paraId="087F255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0" w:type="auto"/>
            <w:vAlign w:val="center"/>
          </w:tcPr>
          <w:p w14:paraId="7FC35AFA">
            <w:pPr>
              <w:pStyle w:val="146"/>
              <w:jc w:val="center"/>
              <w:rPr>
                <w:rFonts w:hint="eastAsia" w:ascii="Times New Roman" w:hAnsi="Times New Roman" w:eastAsia="宋体" w:cs="Times New Roman"/>
                <w:color w:val="auto"/>
                <w:highlight w:val="none"/>
                <w:lang w:val="en-US" w:eastAsia="zh-CN"/>
              </w:rPr>
            </w:pPr>
            <w:bookmarkStart w:id="384" w:name="_Hlk44603242"/>
            <w:r>
              <w:rPr>
                <w:rFonts w:hint="eastAsia" w:eastAsia="宋体" w:cs="Times New Roman"/>
                <w:color w:val="auto"/>
                <w:highlight w:val="none"/>
                <w:lang w:val="en-US" w:eastAsia="zh-CN"/>
              </w:rPr>
              <w:t>5</w:t>
            </w:r>
          </w:p>
        </w:tc>
        <w:tc>
          <w:tcPr>
            <w:tcW w:w="0" w:type="auto"/>
            <w:shd w:val="clear" w:color="auto" w:fill="auto"/>
            <w:vAlign w:val="center"/>
          </w:tcPr>
          <w:p w14:paraId="3D9EF2A1">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西北侧</w:t>
            </w:r>
            <w:r>
              <w:rPr>
                <w:rFonts w:hint="eastAsia" w:cs="Times New Roman"/>
                <w:color w:val="auto"/>
                <w:highlight w:val="none"/>
                <w:lang w:val="en-US" w:eastAsia="zh-CN"/>
              </w:rPr>
              <w:t>外</w:t>
            </w: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1m处</w:t>
            </w:r>
          </w:p>
        </w:tc>
      </w:tr>
    </w:tbl>
    <w:p w14:paraId="36D3799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（2）监测时间</w:t>
      </w:r>
    </w:p>
    <w:p w14:paraId="5DBAA859">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eastAsia="宋体" w:cs="Times New Roman"/>
          <w:color w:val="auto"/>
          <w:highlight w:val="none"/>
          <w:lang w:val="en-US" w:eastAsia="zh-CN"/>
        </w:rPr>
        <w:t>13</w:t>
      </w:r>
      <w:r>
        <w:rPr>
          <w:rFonts w:hint="default" w:ascii="Times New Roman" w:hAnsi="Times New Roman" w:eastAsia="宋体" w:cs="Times New Roman"/>
          <w:color w:val="auto"/>
          <w:highlight w:val="none"/>
        </w:rPr>
        <w:t>日～</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月</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rPr>
        <w:t>日进行噪声监测，</w:t>
      </w:r>
      <w:r>
        <w:rPr>
          <w:rFonts w:hint="default" w:ascii="Times New Roman" w:hAnsi="Times New Roman" w:eastAsia="宋体" w:cs="Times New Roman"/>
          <w:color w:val="auto"/>
          <w:highlight w:val="none"/>
          <w:lang w:val="zh-CN"/>
        </w:rPr>
        <w:t>连续两天。</w:t>
      </w:r>
    </w:p>
    <w:p w14:paraId="23D74DA1">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（3）监测结果</w:t>
      </w:r>
    </w:p>
    <w:p w14:paraId="3083D5A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监测结果见</w:t>
      </w:r>
      <w:r>
        <w:rPr>
          <w:rFonts w:hint="default" w:ascii="Times New Roman" w:hAnsi="Times New Roman" w:eastAsia="宋体" w:cs="Times New Roman"/>
          <w:color w:val="auto"/>
          <w:highlight w:val="none"/>
        </w:rPr>
        <w:t>下</w:t>
      </w:r>
      <w:r>
        <w:rPr>
          <w:rFonts w:hint="default" w:ascii="Times New Roman" w:hAnsi="Times New Roman" w:eastAsia="宋体" w:cs="Times New Roman"/>
          <w:color w:val="auto"/>
          <w:highlight w:val="none"/>
          <w:lang w:val="zh-CN"/>
        </w:rPr>
        <w:t>表。</w:t>
      </w:r>
    </w:p>
    <w:p w14:paraId="3218870B">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表4-2-</w:t>
      </w:r>
      <w:r>
        <w:rPr>
          <w:rFonts w:hint="eastAsia" w:cs="Times New Roman"/>
          <w:color w:val="auto"/>
          <w:highlight w:val="none"/>
          <w:lang w:val="en-US" w:eastAsia="zh-CN"/>
        </w:rPr>
        <w:t>18</w:t>
      </w:r>
      <w:r>
        <w:rPr>
          <w:rFonts w:hint="default" w:ascii="Times New Roman" w:hAnsi="Times New Roman" w:cs="Times New Roman"/>
          <w:color w:val="auto"/>
          <w:highlight w:val="none"/>
        </w:rPr>
        <w:t>声环境现状监测结果</w:t>
      </w:r>
    </w:p>
    <w:bookmarkEnd w:id="384"/>
    <w:tbl>
      <w:tblPr>
        <w:tblStyle w:val="4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734"/>
        <w:gridCol w:w="1440"/>
        <w:gridCol w:w="1441"/>
        <w:gridCol w:w="1443"/>
        <w:gridCol w:w="1440"/>
      </w:tblGrid>
      <w:tr w14:paraId="1084F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3" w:type="pct"/>
            <w:vMerge w:val="restart"/>
            <w:tcBorders>
              <w:top w:val="single" w:color="auto" w:sz="12" w:space="0"/>
              <w:left w:val="nil"/>
            </w:tcBorders>
            <w:noWrap w:val="0"/>
            <w:vAlign w:val="center"/>
          </w:tcPr>
          <w:p w14:paraId="16E0F6AF">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1044" w:type="pct"/>
            <w:vMerge w:val="restart"/>
            <w:tcBorders>
              <w:top w:val="single" w:color="auto" w:sz="12" w:space="0"/>
            </w:tcBorders>
            <w:noWrap w:val="0"/>
            <w:vAlign w:val="center"/>
          </w:tcPr>
          <w:p w14:paraId="75C16B7E">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采样点位</w:t>
            </w:r>
          </w:p>
        </w:tc>
        <w:tc>
          <w:tcPr>
            <w:tcW w:w="1735" w:type="pct"/>
            <w:gridSpan w:val="2"/>
            <w:tcBorders>
              <w:top w:val="single" w:color="auto" w:sz="12" w:space="0"/>
            </w:tcBorders>
            <w:noWrap w:val="0"/>
            <w:vAlign w:val="center"/>
          </w:tcPr>
          <w:p w14:paraId="633CA0FB">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检测结果</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dB（A）</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2026.04.13</w:t>
            </w:r>
          </w:p>
        </w:tc>
        <w:tc>
          <w:tcPr>
            <w:tcW w:w="1736" w:type="pct"/>
            <w:gridSpan w:val="2"/>
            <w:tcBorders>
              <w:top w:val="single" w:color="auto" w:sz="12" w:space="0"/>
              <w:right w:val="nil"/>
            </w:tcBorders>
            <w:noWrap w:val="0"/>
            <w:vAlign w:val="center"/>
          </w:tcPr>
          <w:p w14:paraId="62AB9B29">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检测结果</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dB（A）</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2026.04.1</w:t>
            </w:r>
            <w:r>
              <w:rPr>
                <w:rFonts w:hint="eastAsia" w:ascii="Times New Roman" w:hAnsi="Times New Roman" w:eastAsia="宋体" w:cs="Times New Roman"/>
                <w:color w:val="auto"/>
                <w:highlight w:val="none"/>
                <w:lang w:val="en-US" w:eastAsia="zh-CN"/>
              </w:rPr>
              <w:t>4</w:t>
            </w:r>
          </w:p>
        </w:tc>
      </w:tr>
      <w:tr w14:paraId="650A7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83" w:type="pct"/>
            <w:vMerge w:val="continue"/>
            <w:tcBorders>
              <w:left w:val="nil"/>
            </w:tcBorders>
            <w:noWrap w:val="0"/>
            <w:vAlign w:val="center"/>
          </w:tcPr>
          <w:p w14:paraId="1BDAC897">
            <w:pPr>
              <w:pStyle w:val="492"/>
              <w:bidi w:val="0"/>
              <w:ind w:firstLine="0" w:firstLineChars="0"/>
              <w:rPr>
                <w:rFonts w:hint="default" w:ascii="Times New Roman" w:hAnsi="Times New Roman" w:eastAsia="宋体" w:cs="Times New Roman"/>
                <w:color w:val="auto"/>
                <w:highlight w:val="none"/>
                <w:lang w:val="en-US" w:eastAsia="zh-CN"/>
              </w:rPr>
            </w:pPr>
          </w:p>
        </w:tc>
        <w:tc>
          <w:tcPr>
            <w:tcW w:w="1044" w:type="pct"/>
            <w:vMerge w:val="continue"/>
            <w:noWrap w:val="0"/>
            <w:vAlign w:val="center"/>
          </w:tcPr>
          <w:p w14:paraId="0F4CE6A5">
            <w:pPr>
              <w:pStyle w:val="492"/>
              <w:bidi w:val="0"/>
              <w:ind w:firstLine="0" w:firstLineChars="0"/>
              <w:rPr>
                <w:rFonts w:hint="default" w:ascii="Times New Roman" w:hAnsi="Times New Roman" w:eastAsia="宋体" w:cs="Times New Roman"/>
                <w:color w:val="auto"/>
                <w:highlight w:val="none"/>
                <w:lang w:val="en-US" w:eastAsia="zh-CN"/>
              </w:rPr>
            </w:pPr>
          </w:p>
        </w:tc>
        <w:tc>
          <w:tcPr>
            <w:tcW w:w="867" w:type="pct"/>
            <w:noWrap w:val="0"/>
            <w:vAlign w:val="center"/>
          </w:tcPr>
          <w:p w14:paraId="37AADC76">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w:t>
            </w:r>
          </w:p>
        </w:tc>
        <w:tc>
          <w:tcPr>
            <w:tcW w:w="867" w:type="pct"/>
            <w:noWrap w:val="0"/>
            <w:vAlign w:val="center"/>
          </w:tcPr>
          <w:p w14:paraId="0EF615F0">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c>
          <w:tcPr>
            <w:tcW w:w="869" w:type="pct"/>
            <w:noWrap w:val="0"/>
            <w:vAlign w:val="center"/>
          </w:tcPr>
          <w:p w14:paraId="2A957700">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w:t>
            </w:r>
          </w:p>
        </w:tc>
        <w:tc>
          <w:tcPr>
            <w:tcW w:w="867" w:type="pct"/>
            <w:tcBorders>
              <w:right w:val="nil"/>
            </w:tcBorders>
            <w:noWrap w:val="0"/>
            <w:vAlign w:val="center"/>
          </w:tcPr>
          <w:p w14:paraId="4A3A2A79">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r>
      <w:tr w14:paraId="4EE2D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left w:val="nil"/>
            </w:tcBorders>
            <w:noWrap w:val="0"/>
            <w:vAlign w:val="center"/>
          </w:tcPr>
          <w:p w14:paraId="795ECF9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1#</w:t>
            </w:r>
          </w:p>
        </w:tc>
        <w:tc>
          <w:tcPr>
            <w:tcW w:w="1044" w:type="pct"/>
            <w:noWrap w:val="0"/>
            <w:vAlign w:val="center"/>
          </w:tcPr>
          <w:p w14:paraId="420C7994">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厂界</w:t>
            </w:r>
            <w:r>
              <w:rPr>
                <w:rFonts w:hint="eastAsia" w:ascii="Times New Roman" w:hAnsi="Times New Roman" w:eastAsia="宋体" w:cs="Times New Roman"/>
                <w:color w:val="auto"/>
                <w:highlight w:val="none"/>
                <w:lang w:val="en-US" w:eastAsia="zh-CN"/>
              </w:rPr>
              <w:t>北侧</w:t>
            </w:r>
          </w:p>
        </w:tc>
        <w:tc>
          <w:tcPr>
            <w:tcW w:w="867" w:type="pct"/>
            <w:noWrap w:val="0"/>
            <w:vAlign w:val="center"/>
          </w:tcPr>
          <w:p w14:paraId="7F9E4425">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867" w:type="pct"/>
            <w:noWrap w:val="0"/>
            <w:vAlign w:val="center"/>
          </w:tcPr>
          <w:p w14:paraId="2C40BFEE">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w:t>
            </w:r>
          </w:p>
        </w:tc>
        <w:tc>
          <w:tcPr>
            <w:tcW w:w="869" w:type="pct"/>
            <w:noWrap w:val="0"/>
            <w:vAlign w:val="center"/>
          </w:tcPr>
          <w:p w14:paraId="602AD960">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867" w:type="pct"/>
            <w:tcBorders>
              <w:right w:val="nil"/>
            </w:tcBorders>
            <w:noWrap w:val="0"/>
            <w:vAlign w:val="center"/>
          </w:tcPr>
          <w:p w14:paraId="2FE48C99">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w:t>
            </w:r>
          </w:p>
        </w:tc>
      </w:tr>
      <w:tr w14:paraId="33CF8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left w:val="nil"/>
            </w:tcBorders>
            <w:noWrap w:val="0"/>
            <w:vAlign w:val="center"/>
          </w:tcPr>
          <w:p w14:paraId="0B4F204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p>
        </w:tc>
        <w:tc>
          <w:tcPr>
            <w:tcW w:w="1044" w:type="pct"/>
            <w:noWrap w:val="0"/>
            <w:vAlign w:val="center"/>
          </w:tcPr>
          <w:p w14:paraId="07C89344">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厂界</w:t>
            </w:r>
            <w:r>
              <w:rPr>
                <w:rFonts w:hint="eastAsia" w:ascii="Times New Roman" w:hAnsi="Times New Roman" w:eastAsia="宋体" w:cs="Times New Roman"/>
                <w:color w:val="auto"/>
                <w:highlight w:val="none"/>
                <w:lang w:val="en-US" w:eastAsia="zh-CN"/>
              </w:rPr>
              <w:t>东侧</w:t>
            </w:r>
          </w:p>
        </w:tc>
        <w:tc>
          <w:tcPr>
            <w:tcW w:w="867" w:type="pct"/>
            <w:noWrap w:val="0"/>
            <w:vAlign w:val="center"/>
          </w:tcPr>
          <w:p w14:paraId="6ECD6D7E">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867" w:type="pct"/>
            <w:noWrap w:val="0"/>
            <w:vAlign w:val="center"/>
          </w:tcPr>
          <w:p w14:paraId="310A6A3A">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w:t>
            </w:r>
          </w:p>
        </w:tc>
        <w:tc>
          <w:tcPr>
            <w:tcW w:w="869" w:type="pct"/>
            <w:noWrap w:val="0"/>
            <w:vAlign w:val="center"/>
          </w:tcPr>
          <w:p w14:paraId="3FD43E67">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w:t>
            </w:r>
          </w:p>
        </w:tc>
        <w:tc>
          <w:tcPr>
            <w:tcW w:w="867" w:type="pct"/>
            <w:tcBorders>
              <w:right w:val="nil"/>
            </w:tcBorders>
            <w:noWrap w:val="0"/>
            <w:vAlign w:val="center"/>
          </w:tcPr>
          <w:p w14:paraId="2423EB1C">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w:t>
            </w:r>
          </w:p>
        </w:tc>
      </w:tr>
      <w:tr w14:paraId="6CE80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left w:val="nil"/>
            </w:tcBorders>
            <w:noWrap w:val="0"/>
            <w:vAlign w:val="center"/>
          </w:tcPr>
          <w:p w14:paraId="12F06135">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3#</w:t>
            </w:r>
          </w:p>
        </w:tc>
        <w:tc>
          <w:tcPr>
            <w:tcW w:w="1044" w:type="pct"/>
            <w:noWrap w:val="0"/>
            <w:vAlign w:val="center"/>
          </w:tcPr>
          <w:p w14:paraId="40C85EE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厂界南侧</w:t>
            </w:r>
          </w:p>
        </w:tc>
        <w:tc>
          <w:tcPr>
            <w:tcW w:w="867" w:type="pct"/>
            <w:noWrap w:val="0"/>
            <w:vAlign w:val="center"/>
          </w:tcPr>
          <w:p w14:paraId="5B509573">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w:t>
            </w:r>
          </w:p>
        </w:tc>
        <w:tc>
          <w:tcPr>
            <w:tcW w:w="867" w:type="pct"/>
            <w:noWrap w:val="0"/>
            <w:vAlign w:val="center"/>
          </w:tcPr>
          <w:p w14:paraId="1892734F">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w:t>
            </w:r>
          </w:p>
        </w:tc>
        <w:tc>
          <w:tcPr>
            <w:tcW w:w="869" w:type="pct"/>
            <w:noWrap w:val="0"/>
            <w:vAlign w:val="center"/>
          </w:tcPr>
          <w:p w14:paraId="6938DD0A">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w:t>
            </w:r>
          </w:p>
        </w:tc>
        <w:tc>
          <w:tcPr>
            <w:tcW w:w="867" w:type="pct"/>
            <w:tcBorders>
              <w:right w:val="nil"/>
            </w:tcBorders>
            <w:noWrap w:val="0"/>
            <w:vAlign w:val="center"/>
          </w:tcPr>
          <w:p w14:paraId="4BDE68F0">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w:t>
            </w:r>
          </w:p>
        </w:tc>
      </w:tr>
      <w:tr w14:paraId="3DB68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left w:val="nil"/>
            </w:tcBorders>
            <w:noWrap w:val="0"/>
            <w:vAlign w:val="center"/>
          </w:tcPr>
          <w:p w14:paraId="7E3B81CF">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4#</w:t>
            </w:r>
          </w:p>
        </w:tc>
        <w:tc>
          <w:tcPr>
            <w:tcW w:w="1044" w:type="pct"/>
            <w:noWrap w:val="0"/>
            <w:vAlign w:val="center"/>
          </w:tcPr>
          <w:p w14:paraId="7EBC815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厂界西侧</w:t>
            </w:r>
          </w:p>
        </w:tc>
        <w:tc>
          <w:tcPr>
            <w:tcW w:w="867" w:type="pct"/>
            <w:noWrap w:val="0"/>
            <w:vAlign w:val="center"/>
          </w:tcPr>
          <w:p w14:paraId="2D2FF5CB">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867" w:type="pct"/>
            <w:noWrap w:val="0"/>
            <w:vAlign w:val="center"/>
          </w:tcPr>
          <w:p w14:paraId="539751FC">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w:t>
            </w:r>
          </w:p>
        </w:tc>
        <w:tc>
          <w:tcPr>
            <w:tcW w:w="869" w:type="pct"/>
            <w:noWrap w:val="0"/>
            <w:vAlign w:val="center"/>
          </w:tcPr>
          <w:p w14:paraId="5AE0CD84">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867" w:type="pct"/>
            <w:tcBorders>
              <w:right w:val="nil"/>
            </w:tcBorders>
            <w:noWrap w:val="0"/>
            <w:vAlign w:val="center"/>
          </w:tcPr>
          <w:p w14:paraId="0C61D4D6">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w:t>
            </w:r>
          </w:p>
        </w:tc>
      </w:tr>
      <w:tr w14:paraId="5B474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3" w:type="pct"/>
            <w:tcBorders>
              <w:left w:val="nil"/>
              <w:bottom w:val="single" w:color="auto" w:sz="12" w:space="0"/>
            </w:tcBorders>
            <w:noWrap w:val="0"/>
            <w:vAlign w:val="center"/>
          </w:tcPr>
          <w:p w14:paraId="4359B037">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5#</w:t>
            </w:r>
          </w:p>
        </w:tc>
        <w:tc>
          <w:tcPr>
            <w:tcW w:w="1044" w:type="pct"/>
            <w:tcBorders>
              <w:bottom w:val="single" w:color="auto" w:sz="12" w:space="0"/>
            </w:tcBorders>
            <w:noWrap w:val="0"/>
            <w:vAlign w:val="center"/>
          </w:tcPr>
          <w:p w14:paraId="3A2D742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厂界西北侧</w:t>
            </w:r>
          </w:p>
        </w:tc>
        <w:tc>
          <w:tcPr>
            <w:tcW w:w="867" w:type="pct"/>
            <w:tcBorders>
              <w:bottom w:val="single" w:color="auto" w:sz="12" w:space="0"/>
            </w:tcBorders>
            <w:noWrap w:val="0"/>
            <w:vAlign w:val="center"/>
          </w:tcPr>
          <w:p w14:paraId="05EA705E">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867" w:type="pct"/>
            <w:tcBorders>
              <w:bottom w:val="single" w:color="auto" w:sz="12" w:space="0"/>
            </w:tcBorders>
            <w:noWrap w:val="0"/>
            <w:vAlign w:val="center"/>
          </w:tcPr>
          <w:p w14:paraId="5D3EF30F">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w:t>
            </w:r>
          </w:p>
        </w:tc>
        <w:tc>
          <w:tcPr>
            <w:tcW w:w="869" w:type="pct"/>
            <w:tcBorders>
              <w:bottom w:val="single" w:color="auto" w:sz="12" w:space="0"/>
            </w:tcBorders>
            <w:noWrap w:val="0"/>
            <w:vAlign w:val="center"/>
          </w:tcPr>
          <w:p w14:paraId="0D226E52">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867" w:type="pct"/>
            <w:tcBorders>
              <w:bottom w:val="single" w:color="auto" w:sz="12" w:space="0"/>
              <w:right w:val="nil"/>
            </w:tcBorders>
            <w:noWrap w:val="0"/>
            <w:vAlign w:val="center"/>
          </w:tcPr>
          <w:p w14:paraId="19D953B6">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w:t>
            </w:r>
          </w:p>
        </w:tc>
      </w:tr>
    </w:tbl>
    <w:p w14:paraId="3162C306">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4.2.4.2声环境质量现状评价</w:t>
      </w:r>
    </w:p>
    <w:p w14:paraId="55B68DC2">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（1）评价因子</w:t>
      </w:r>
    </w:p>
    <w:p w14:paraId="20599963">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选择等效连续A声级Leq（A）为本建设项目环境噪声的评价因子。</w:t>
      </w:r>
    </w:p>
    <w:p w14:paraId="480648C7">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（2）评价方法</w:t>
      </w:r>
    </w:p>
    <w:p w14:paraId="6E70A772">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直接比较法。</w:t>
      </w:r>
    </w:p>
    <w:p w14:paraId="6DA4E386">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（3）评价标准</w:t>
      </w:r>
    </w:p>
    <w:p w14:paraId="3FE5A25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场址区域为</w:t>
      </w:r>
      <w:bookmarkStart w:id="385" w:name="_Hlk529953968"/>
      <w:r>
        <w:rPr>
          <w:rFonts w:hint="default" w:ascii="Times New Roman" w:hAnsi="Times New Roman" w:eastAsia="宋体" w:cs="Times New Roman"/>
          <w:color w:val="auto"/>
          <w:highlight w:val="none"/>
          <w:lang w:val="zh-CN"/>
        </w:rPr>
        <w:t>《声环境质量标准》（GB3096-2008）中的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类区</w:t>
      </w:r>
      <w:bookmarkEnd w:id="385"/>
      <w:r>
        <w:rPr>
          <w:rFonts w:hint="default" w:ascii="Times New Roman" w:hAnsi="Times New Roman" w:eastAsia="宋体" w:cs="Times New Roman"/>
          <w:color w:val="auto"/>
          <w:highlight w:val="none"/>
          <w:lang w:val="zh-CN"/>
        </w:rPr>
        <w:t>，因此，评价标准采用《声环境质量标准》（GB3096-2008）中的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类标准，即：昼间</w:t>
      </w:r>
      <w:r>
        <w:rPr>
          <w:rFonts w:hint="default" w:ascii="Times New Roman" w:hAnsi="Times New Roman" w:eastAsia="宋体" w:cs="Times New Roman"/>
          <w:color w:val="auto"/>
          <w:highlight w:val="none"/>
          <w:lang w:val="en-US" w:eastAsia="zh-CN"/>
        </w:rPr>
        <w:t>55</w:t>
      </w:r>
      <w:r>
        <w:rPr>
          <w:rFonts w:hint="default" w:ascii="Times New Roman" w:hAnsi="Times New Roman" w:eastAsia="宋体" w:cs="Times New Roman"/>
          <w:color w:val="auto"/>
          <w:highlight w:val="none"/>
          <w:lang w:val="zh-CN"/>
        </w:rPr>
        <w:t>dB(A)，夜间</w:t>
      </w:r>
      <w:r>
        <w:rPr>
          <w:rFonts w:hint="default" w:ascii="Times New Roman" w:hAnsi="Times New Roman" w:eastAsia="宋体" w:cs="Times New Roman"/>
          <w:color w:val="auto"/>
          <w:highlight w:val="none"/>
          <w:lang w:val="en-US" w:eastAsia="zh-CN"/>
        </w:rPr>
        <w:t>45</w:t>
      </w:r>
      <w:r>
        <w:rPr>
          <w:rFonts w:hint="default" w:ascii="Times New Roman" w:hAnsi="Times New Roman" w:eastAsia="宋体" w:cs="Times New Roman"/>
          <w:color w:val="auto"/>
          <w:highlight w:val="none"/>
          <w:lang w:val="zh-CN"/>
        </w:rPr>
        <w:t>dB(A)。</w:t>
      </w:r>
    </w:p>
    <w:p w14:paraId="7A9F51E7">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（4）评价结论</w:t>
      </w:r>
    </w:p>
    <w:p w14:paraId="00B54E38">
      <w:pPr>
        <w:pStyle w:val="67"/>
        <w:ind w:firstLine="480"/>
        <w:rPr>
          <w:rFonts w:hint="default" w:ascii="Times New Roman" w:hAnsi="Times New Roman" w:cs="Times New Roman"/>
          <w:color w:val="auto"/>
          <w:highlight w:val="none"/>
          <w:lang w:val="zh-CN"/>
        </w:rPr>
      </w:pPr>
      <w:r>
        <w:rPr>
          <w:rFonts w:hint="default" w:ascii="Times New Roman" w:hAnsi="Times New Roman" w:eastAsia="宋体" w:cs="Times New Roman"/>
          <w:color w:val="auto"/>
          <w:highlight w:val="none"/>
          <w:lang w:val="zh-CN"/>
        </w:rPr>
        <w:t>将环境噪声现状监测结果与标准比较，监测点环境噪声昼夜值均满足《声环境质量标准》（GB3096-2008）中的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zh-CN"/>
        </w:rPr>
        <w:t>类标准。</w:t>
      </w:r>
    </w:p>
    <w:p w14:paraId="62248CD2">
      <w:pPr>
        <w:pStyle w:val="5"/>
        <w:spacing w:line="500" w:lineRule="exact"/>
        <w:rPr>
          <w:rFonts w:hint="default" w:ascii="Times New Roman" w:hAnsi="Times New Roman" w:cs="Times New Roman"/>
          <w:color w:val="auto"/>
          <w:highlight w:val="none"/>
        </w:rPr>
      </w:pPr>
      <w:bookmarkStart w:id="386" w:name="_Toc43369777"/>
      <w:bookmarkStart w:id="387" w:name="_Toc57713665"/>
      <w:bookmarkStart w:id="388" w:name="_Toc14432"/>
      <w:bookmarkStart w:id="389" w:name="_Hlk44603259"/>
      <w:r>
        <w:rPr>
          <w:rFonts w:hint="default" w:ascii="Times New Roman" w:hAnsi="Times New Roman" w:cs="Times New Roman"/>
          <w:color w:val="auto"/>
          <w:highlight w:val="none"/>
        </w:rPr>
        <w:t>4.2.5土壤环境质量现状评价</w:t>
      </w:r>
      <w:bookmarkEnd w:id="386"/>
      <w:bookmarkEnd w:id="387"/>
      <w:bookmarkEnd w:id="388"/>
    </w:p>
    <w:p w14:paraId="0C9B85C2">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4.2.5.1理化性质调查</w:t>
      </w:r>
    </w:p>
    <w:p w14:paraId="2C0504C1">
      <w:pPr>
        <w:pStyle w:val="67"/>
        <w:ind w:firstLine="480"/>
        <w:rPr>
          <w:rFonts w:hint="eastAsia" w:ascii="Times New Roman" w:hAnsi="Times New Roman" w:eastAsia="宋体" w:cs="Times New Roman"/>
          <w:color w:val="auto"/>
          <w:highlight w:val="none"/>
          <w:lang w:val="en-US" w:eastAsia="zh-CN"/>
        </w:rPr>
      </w:pPr>
      <w:r>
        <w:rPr>
          <w:color w:val="auto"/>
          <w:highlight w:val="none"/>
        </w:rPr>
        <w:drawing>
          <wp:anchor distT="0" distB="0" distL="114300" distR="114300" simplePos="0" relativeHeight="251738112" behindDoc="0" locked="0" layoutInCell="1" allowOverlap="1">
            <wp:simplePos x="0" y="0"/>
            <wp:positionH relativeFrom="column">
              <wp:posOffset>4968240</wp:posOffset>
            </wp:positionH>
            <wp:positionV relativeFrom="paragraph">
              <wp:posOffset>620395</wp:posOffset>
            </wp:positionV>
            <wp:extent cx="304800" cy="309245"/>
            <wp:effectExtent l="0" t="0" r="0" b="14605"/>
            <wp:wrapNone/>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50"/>
                    <a:stretch>
                      <a:fillRect/>
                    </a:stretch>
                  </pic:blipFill>
                  <pic:spPr>
                    <a:xfrm>
                      <a:off x="0" y="0"/>
                      <a:ext cx="304800" cy="309245"/>
                    </a:xfrm>
                    <a:prstGeom prst="rect">
                      <a:avLst/>
                    </a:prstGeom>
                    <a:noFill/>
                    <a:ln>
                      <a:noFill/>
                    </a:ln>
                  </pic:spPr>
                </pic:pic>
              </a:graphicData>
            </a:graphic>
          </wp:anchor>
        </w:drawing>
      </w:r>
      <w:r>
        <w:rPr>
          <w:rFonts w:hint="default" w:ascii="Times New Roman" w:hAnsi="Times New Roman" w:eastAsia="宋体" w:cs="Times New Roman"/>
          <w:color w:val="auto"/>
          <w:highlight w:val="none"/>
        </w:rPr>
        <w:t>本项目所在地土壤理化性质引用国家土壤信息服务平台的数据，土种所在地黑龙江</w:t>
      </w:r>
      <w:r>
        <w:rPr>
          <w:rFonts w:hint="eastAsia" w:eastAsia="宋体" w:cs="Times New Roman"/>
          <w:color w:val="auto"/>
          <w:highlight w:val="none"/>
          <w:lang w:val="en-US" w:eastAsia="zh-CN"/>
        </w:rPr>
        <w:t>黑河市孙吴</w:t>
      </w:r>
      <w:r>
        <w:rPr>
          <w:rFonts w:hint="eastAsia" w:ascii="Times New Roman" w:hAnsi="Times New Roman" w:eastAsia="宋体" w:cs="Times New Roman"/>
          <w:color w:val="auto"/>
          <w:highlight w:val="none"/>
          <w:lang w:val="en-US" w:eastAsia="zh-CN"/>
        </w:rPr>
        <w:t>县</w:t>
      </w:r>
      <w:r>
        <w:rPr>
          <w:rFonts w:hint="default" w:ascii="Times New Roman" w:hAnsi="Times New Roman" w:eastAsia="宋体" w:cs="Times New Roman"/>
          <w:color w:val="auto"/>
          <w:highlight w:val="none"/>
          <w:lang w:val="en-US" w:eastAsia="zh-CN"/>
        </w:rPr>
        <w:t>。</w:t>
      </w:r>
    </w:p>
    <w:p w14:paraId="55CEA1FB">
      <w:pPr>
        <w:bidi w:val="0"/>
        <w:ind w:left="0" w:leftChars="0" w:firstLine="0" w:firstLineChars="0"/>
        <w:rPr>
          <w:rFonts w:hint="default"/>
          <w:color w:val="auto"/>
          <w:highlight w:val="none"/>
        </w:rPr>
      </w:pPr>
      <w:r>
        <w:rPr>
          <w:color w:val="auto"/>
          <w:highlight w:val="none"/>
        </w:rPr>
        <w:drawing>
          <wp:inline distT="0" distB="0" distL="114300" distR="114300">
            <wp:extent cx="5276850" cy="2363470"/>
            <wp:effectExtent l="0" t="0" r="0" b="17780"/>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51"/>
                    <a:stretch>
                      <a:fillRect/>
                    </a:stretch>
                  </pic:blipFill>
                  <pic:spPr>
                    <a:xfrm>
                      <a:off x="0" y="0"/>
                      <a:ext cx="5276850" cy="2363470"/>
                    </a:xfrm>
                    <a:prstGeom prst="rect">
                      <a:avLst/>
                    </a:prstGeom>
                    <a:noFill/>
                    <a:ln>
                      <a:noFill/>
                    </a:ln>
                  </pic:spPr>
                </pic:pic>
              </a:graphicData>
            </a:graphic>
          </wp:inline>
        </w:drawing>
      </w:r>
      <w:r>
        <w:rPr>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3982720</wp:posOffset>
                </wp:positionH>
                <wp:positionV relativeFrom="paragraph">
                  <wp:posOffset>2136140</wp:posOffset>
                </wp:positionV>
                <wp:extent cx="226695" cy="184150"/>
                <wp:effectExtent l="6350" t="6350" r="14605" b="19050"/>
                <wp:wrapNone/>
                <wp:docPr id="97" name="矩形 97"/>
                <wp:cNvGraphicFramePr/>
                <a:graphic xmlns:a="http://schemas.openxmlformats.org/drawingml/2006/main">
                  <a:graphicData uri="http://schemas.microsoft.com/office/word/2010/wordprocessingShape">
                    <wps:wsp>
                      <wps:cNvSpPr/>
                      <wps:spPr>
                        <a:xfrm>
                          <a:off x="0" y="0"/>
                          <a:ext cx="226695" cy="184150"/>
                        </a:xfrm>
                        <a:prstGeom prst="rect">
                          <a:avLst/>
                        </a:prstGeom>
                        <a:solidFill>
                          <a:srgbClr val="432BE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6pt;margin-top:168.2pt;height:14.5pt;width:17.85pt;z-index:251722752;v-text-anchor:middle;mso-width-relative:page;mso-height-relative:page;" fillcolor="#432BE0" filled="t" stroked="t" coordsize="21600,21600" o:gfxdata="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P+p4zbAAAACwEAAA8A&#10;AAAAAAAAAQAgAAAAIgAAAGRycy9kb3ducmV2LnhtbFBLAQIUABQAAAAIAIdO4kDjyXRdhgIAABcF&#10;AAAOAAAAAAAAAAEAIAAAACoBAABkcnMvZTJvRG9jLnhtbFBLBQYAAAAABgAGAFkBAAAiBgAAAAA=&#10;">
                <v:fill on="t" focussize="0,0"/>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3983990</wp:posOffset>
                </wp:positionH>
                <wp:positionV relativeFrom="paragraph">
                  <wp:posOffset>1903095</wp:posOffset>
                </wp:positionV>
                <wp:extent cx="226695" cy="184150"/>
                <wp:effectExtent l="6350" t="6350" r="14605" b="19050"/>
                <wp:wrapNone/>
                <wp:docPr id="96" name="矩形 96"/>
                <wp:cNvGraphicFramePr/>
                <a:graphic xmlns:a="http://schemas.openxmlformats.org/drawingml/2006/main">
                  <a:graphicData uri="http://schemas.microsoft.com/office/word/2010/wordprocessingShape">
                    <wps:wsp>
                      <wps:cNvSpPr/>
                      <wps:spPr>
                        <a:xfrm>
                          <a:off x="5161915" y="7883525"/>
                          <a:ext cx="226695" cy="184150"/>
                        </a:xfrm>
                        <a:prstGeom prst="rect">
                          <a:avLst/>
                        </a:prstGeom>
                        <a:solidFill>
                          <a:srgbClr val="75101C"/>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7pt;margin-top:149.85pt;height:14.5pt;width:17.85pt;z-index:251721728;v-text-anchor:middle;mso-width-relative:page;mso-height-relative:page;" fillcolor="#75101C" filled="t" stroked="t" coordsize="21600,21600" o:gfxdata="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LFQ&#10;+cfbAAAACwEAAA8AAAAAAAAAAQAgAAAAIgAAAGRycy9kb3ducmV2LnhtbFBLAQIUABQAAAAIAIdO&#10;4kAZqCbXkgIAACMFAAAOAAAAAAAAAAEAIAAAACoBAABkcnMvZTJvRG9jLnhtbFBLBQYAAAAABgAG&#10;AFkBAAAuBgAAAAA=&#10;">
                <v:fill on="t" focussize="0,0"/>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3918585</wp:posOffset>
                </wp:positionH>
                <wp:positionV relativeFrom="paragraph">
                  <wp:posOffset>1675765</wp:posOffset>
                </wp:positionV>
                <wp:extent cx="1355090" cy="689610"/>
                <wp:effectExtent l="4445" t="4445" r="12065" b="10795"/>
                <wp:wrapNone/>
                <wp:docPr id="95" name="文本框 95"/>
                <wp:cNvGraphicFramePr/>
                <a:graphic xmlns:a="http://schemas.openxmlformats.org/drawingml/2006/main">
                  <a:graphicData uri="http://schemas.microsoft.com/office/word/2010/wordprocessingShape">
                    <wps:wsp>
                      <wps:cNvSpPr txBox="1"/>
                      <wps:spPr>
                        <a:xfrm>
                          <a:off x="5212715" y="7568565"/>
                          <a:ext cx="1355090" cy="6896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9E8DDE">
                            <w:pPr>
                              <w:spacing w:line="240" w:lineRule="auto"/>
                              <w:ind w:left="0" w:leftChars="0" w:firstLine="0" w:firstLineChars="0"/>
                              <w:jc w:val="center"/>
                              <w:rPr>
                                <w:rFonts w:hint="eastAsia"/>
                                <w:sz w:val="21"/>
                                <w:szCs w:val="20"/>
                                <w:lang w:val="en-US" w:eastAsia="zh-CN"/>
                              </w:rPr>
                            </w:pPr>
                            <w:r>
                              <w:rPr>
                                <w:rFonts w:hint="eastAsia"/>
                                <w:sz w:val="21"/>
                                <w:szCs w:val="20"/>
                                <w:lang w:val="en-US" w:eastAsia="zh-CN"/>
                              </w:rPr>
                              <w:t>图例</w:t>
                            </w:r>
                          </w:p>
                          <w:p w14:paraId="4C2D9DFA">
                            <w:pPr>
                              <w:pStyle w:val="2"/>
                              <w:spacing w:line="240" w:lineRule="auto"/>
                              <w:rPr>
                                <w:rFonts w:hint="eastAsia"/>
                                <w:sz w:val="21"/>
                                <w:szCs w:val="20"/>
                                <w:lang w:val="en-US" w:eastAsia="zh-CN"/>
                              </w:rPr>
                            </w:pPr>
                            <w:r>
                              <w:rPr>
                                <w:rFonts w:hint="eastAsia"/>
                                <w:sz w:val="21"/>
                                <w:szCs w:val="20"/>
                                <w:lang w:val="en-US" w:eastAsia="zh-CN"/>
                              </w:rPr>
                              <w:t>：暗棕壤</w:t>
                            </w:r>
                          </w:p>
                          <w:p w14:paraId="2681A683">
                            <w:pPr>
                              <w:pStyle w:val="2"/>
                              <w:spacing w:line="240" w:lineRule="auto"/>
                              <w:rPr>
                                <w:rFonts w:hint="default"/>
                                <w:sz w:val="21"/>
                                <w:szCs w:val="20"/>
                                <w:lang w:val="en-US" w:eastAsia="zh-CN"/>
                              </w:rPr>
                            </w:pPr>
                            <w:r>
                              <w:rPr>
                                <w:rFonts w:hint="eastAsia"/>
                                <w:sz w:val="21"/>
                                <w:szCs w:val="20"/>
                                <w:lang w:val="en-US" w:eastAsia="zh-CN"/>
                              </w:rPr>
                              <w:t>：草甸沼泽土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55pt;margin-top:131.95pt;height:54.3pt;width:106.7pt;z-index:251720704;mso-width-relative:page;mso-height-relative:page;" fillcolor="#FFFFFF [3201]" filled="t" stroked="t" coordsize="21600,21600" o:gfxdata="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wUKGtgAAAALAQAADwAAAAAAAAABACAAAAAiAAAAZHJzL2Rvd25yZXYueG1sUEsB&#10;AhQAFAAAAAgAh07iQHTuTZlnAgAAxQQAAA4AAAAAAAAAAQAgAAAAJwEAAGRycy9lMm9Eb2MueG1s&#10;UEsFBgAAAAAGAAYAWQEAAAAGAAAAAA==&#10;">
                <v:fill on="t" focussize="0,0"/>
                <v:stroke weight="0.5pt" color="#000000 [3204]" joinstyle="round"/>
                <v:imagedata o:title=""/>
                <o:lock v:ext="edit" aspectratio="f"/>
                <v:textbox>
                  <w:txbxContent>
                    <w:p w14:paraId="169E8DDE">
                      <w:pPr>
                        <w:spacing w:line="240" w:lineRule="auto"/>
                        <w:ind w:left="0" w:leftChars="0" w:firstLine="0" w:firstLineChars="0"/>
                        <w:jc w:val="center"/>
                        <w:rPr>
                          <w:rFonts w:hint="eastAsia"/>
                          <w:sz w:val="21"/>
                          <w:szCs w:val="20"/>
                          <w:lang w:val="en-US" w:eastAsia="zh-CN"/>
                        </w:rPr>
                      </w:pPr>
                      <w:r>
                        <w:rPr>
                          <w:rFonts w:hint="eastAsia"/>
                          <w:sz w:val="21"/>
                          <w:szCs w:val="20"/>
                          <w:lang w:val="en-US" w:eastAsia="zh-CN"/>
                        </w:rPr>
                        <w:t>图例</w:t>
                      </w:r>
                    </w:p>
                    <w:p w14:paraId="4C2D9DFA">
                      <w:pPr>
                        <w:pStyle w:val="2"/>
                        <w:spacing w:line="240" w:lineRule="auto"/>
                        <w:rPr>
                          <w:rFonts w:hint="eastAsia"/>
                          <w:sz w:val="21"/>
                          <w:szCs w:val="20"/>
                          <w:lang w:val="en-US" w:eastAsia="zh-CN"/>
                        </w:rPr>
                      </w:pPr>
                      <w:r>
                        <w:rPr>
                          <w:rFonts w:hint="eastAsia"/>
                          <w:sz w:val="21"/>
                          <w:szCs w:val="20"/>
                          <w:lang w:val="en-US" w:eastAsia="zh-CN"/>
                        </w:rPr>
                        <w:t>：暗棕壤</w:t>
                      </w:r>
                    </w:p>
                    <w:p w14:paraId="2681A683">
                      <w:pPr>
                        <w:pStyle w:val="2"/>
                        <w:spacing w:line="240" w:lineRule="auto"/>
                        <w:rPr>
                          <w:rFonts w:hint="default"/>
                          <w:sz w:val="21"/>
                          <w:szCs w:val="20"/>
                          <w:lang w:val="en-US" w:eastAsia="zh-CN"/>
                        </w:rPr>
                      </w:pPr>
                      <w:r>
                        <w:rPr>
                          <w:rFonts w:hint="eastAsia"/>
                          <w:sz w:val="21"/>
                          <w:szCs w:val="20"/>
                          <w:lang w:val="en-US" w:eastAsia="zh-CN"/>
                        </w:rPr>
                        <w:t>：草甸沼泽土</w:t>
                      </w:r>
                    </w:p>
                  </w:txbxContent>
                </v:textbox>
              </v:shape>
            </w:pict>
          </mc:Fallback>
        </mc:AlternateContent>
      </w:r>
    </w:p>
    <w:p w14:paraId="2AA896C2">
      <w:pPr>
        <w:pStyle w:val="21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图4</w:t>
      </w:r>
      <w:r>
        <w:rPr>
          <w:rFonts w:hint="eastAsia" w:cs="Times New Roman"/>
          <w:snapToGrid w:val="0"/>
          <w:color w:val="auto"/>
          <w:highlight w:val="none"/>
          <w:lang w:val="en-US" w:eastAsia="zh-CN"/>
        </w:rPr>
        <w:t>.</w:t>
      </w:r>
      <w:r>
        <w:rPr>
          <w:rFonts w:hint="eastAsia" w:ascii="Times New Roman" w:hAnsi="Times New Roman" w:cs="Times New Roman"/>
          <w:snapToGrid w:val="0"/>
          <w:color w:val="auto"/>
          <w:highlight w:val="none"/>
          <w:lang w:val="en-US" w:eastAsia="zh-CN"/>
        </w:rPr>
        <w:t>2-</w:t>
      </w:r>
      <w:r>
        <w:rPr>
          <w:rFonts w:hint="eastAsia"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 xml:space="preserve"> 项目区域土壤类型图</w:t>
      </w:r>
      <w:r>
        <w:rPr>
          <w:color w:val="auto"/>
          <w:highlight w:val="none"/>
        </w:rPr>
        <w:drawing>
          <wp:anchor distT="0" distB="0" distL="114300" distR="114300" simplePos="0" relativeHeight="251739136" behindDoc="0" locked="0" layoutInCell="1" allowOverlap="1">
            <wp:simplePos x="0" y="0"/>
            <wp:positionH relativeFrom="column">
              <wp:posOffset>9069705</wp:posOffset>
            </wp:positionH>
            <wp:positionV relativeFrom="paragraph">
              <wp:posOffset>1005840</wp:posOffset>
            </wp:positionV>
            <wp:extent cx="626745" cy="654685"/>
            <wp:effectExtent l="0" t="0" r="1905" b="12065"/>
            <wp:wrapNone/>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40"/>
                    <a:stretch>
                      <a:fillRect/>
                    </a:stretch>
                  </pic:blipFill>
                  <pic:spPr>
                    <a:xfrm>
                      <a:off x="0" y="0"/>
                      <a:ext cx="626745" cy="654685"/>
                    </a:xfrm>
                    <a:prstGeom prst="rect">
                      <a:avLst/>
                    </a:prstGeom>
                    <a:noFill/>
                    <a:ln>
                      <a:noFill/>
                    </a:ln>
                  </pic:spPr>
                </pic:pic>
              </a:graphicData>
            </a:graphic>
          </wp:anchor>
        </w:drawing>
      </w:r>
    </w:p>
    <w:p w14:paraId="24156521">
      <w:pPr>
        <w:pStyle w:val="67"/>
        <w:ind w:firstLine="48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根据《环境影响评价技术导则 土壤环境》（HJ964-2018）附录C，调查本项目厂区内2#土壤理化特性。</w:t>
      </w:r>
    </w:p>
    <w:p w14:paraId="0064A1BB">
      <w:pPr>
        <w:pStyle w:val="72"/>
        <w:keepLines w:val="0"/>
        <w:pageBreakBefore w:val="0"/>
        <w:widowControl w:val="0"/>
        <w:kinsoku/>
        <w:wordWrap/>
        <w:overflowPunct/>
        <w:topLinePunct w:val="0"/>
        <w:autoSpaceDE/>
        <w:autoSpaceDN/>
        <w:bidi w:val="0"/>
        <w:spacing w:line="500" w:lineRule="atLeas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4</w:t>
      </w:r>
      <w:r>
        <w:rPr>
          <w:rFonts w:hint="eastAsia"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2-1</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土壤理化特性调查表</w:t>
      </w:r>
    </w:p>
    <w:tbl>
      <w:tblPr>
        <w:tblStyle w:val="486"/>
        <w:tblW w:w="4999"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1895"/>
        <w:gridCol w:w="6415"/>
      </w:tblGrid>
      <w:tr w14:paraId="35E682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76586D2B">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委托单位</w:t>
            </w:r>
          </w:p>
        </w:tc>
        <w:tc>
          <w:tcPr>
            <w:tcW w:w="3859" w:type="pct"/>
            <w:tcBorders>
              <w:tl2br w:val="nil"/>
              <w:tr2bl w:val="nil"/>
            </w:tcBorders>
            <w:noWrap w:val="0"/>
            <w:vAlign w:val="center"/>
          </w:tcPr>
          <w:p w14:paraId="2B266265">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黑龙江汉风环境检测技术有限公司</w:t>
            </w:r>
          </w:p>
        </w:tc>
      </w:tr>
      <w:tr w14:paraId="7A54F9B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321044E2">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受检单位</w:t>
            </w:r>
          </w:p>
        </w:tc>
        <w:tc>
          <w:tcPr>
            <w:tcW w:w="3859" w:type="pct"/>
            <w:tcBorders>
              <w:tl2br w:val="nil"/>
              <w:tr2bl w:val="nil"/>
            </w:tcBorders>
            <w:noWrap w:val="0"/>
            <w:vAlign w:val="center"/>
          </w:tcPr>
          <w:p w14:paraId="3A86C20B">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黑尊牛（黑龙江）牧业科技有限公司</w:t>
            </w:r>
          </w:p>
        </w:tc>
      </w:tr>
      <w:tr w14:paraId="55D921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2D8FAF70">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项目名称</w:t>
            </w:r>
          </w:p>
        </w:tc>
        <w:tc>
          <w:tcPr>
            <w:tcW w:w="3859" w:type="pct"/>
            <w:tcBorders>
              <w:tl2br w:val="nil"/>
              <w:tr2bl w:val="nil"/>
            </w:tcBorders>
            <w:noWrap w:val="0"/>
            <w:vAlign w:val="center"/>
          </w:tcPr>
          <w:p w14:paraId="33C46686">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黑龙江省黑河市孙吴县黑尊牛(黑龙江)牧业科技有限公司万头安格斯高端肉牛育种养殖项目</w:t>
            </w:r>
          </w:p>
        </w:tc>
      </w:tr>
      <w:tr w14:paraId="65D9A3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3AB6411E">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点号</w:t>
            </w:r>
          </w:p>
        </w:tc>
        <w:tc>
          <w:tcPr>
            <w:tcW w:w="3859" w:type="pct"/>
            <w:tcBorders>
              <w:tl2br w:val="nil"/>
              <w:tr2bl w:val="nil"/>
            </w:tcBorders>
            <w:noWrap w:val="0"/>
            <w:vAlign w:val="center"/>
          </w:tcPr>
          <w:p w14:paraId="616DB39F">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青贮窖</w:t>
            </w:r>
            <w:r>
              <w:rPr>
                <w:rFonts w:hint="eastAsia" w:ascii="Times New Roman" w:hAnsi="Times New Roman" w:cs="Times New Roman"/>
                <w:color w:val="auto"/>
                <w:sz w:val="21"/>
                <w:szCs w:val="21"/>
                <w:highlight w:val="none"/>
                <w:vertAlign w:val="baseline"/>
                <w:lang w:val="en-US" w:eastAsia="zh-CN"/>
              </w:rPr>
              <w:t>（0-0.2m）</w:t>
            </w:r>
          </w:p>
        </w:tc>
      </w:tr>
      <w:tr w14:paraId="3E7D53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18C5CE2F">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样品编号</w:t>
            </w:r>
          </w:p>
        </w:tc>
        <w:tc>
          <w:tcPr>
            <w:tcW w:w="3859" w:type="pct"/>
            <w:tcBorders>
              <w:tl2br w:val="nil"/>
              <w:tr2bl w:val="nil"/>
            </w:tcBorders>
            <w:noWrap w:val="0"/>
            <w:vAlign w:val="center"/>
          </w:tcPr>
          <w:p w14:paraId="39B81BE8">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OQDYM260417L179</w:t>
            </w:r>
          </w:p>
        </w:tc>
      </w:tr>
      <w:tr w14:paraId="3614FB4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46F33AF2">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层次</w:t>
            </w:r>
          </w:p>
        </w:tc>
        <w:tc>
          <w:tcPr>
            <w:tcW w:w="3859" w:type="pct"/>
            <w:tcBorders>
              <w:tl2br w:val="nil"/>
              <w:tr2bl w:val="nil"/>
            </w:tcBorders>
            <w:noWrap w:val="0"/>
            <w:vAlign w:val="center"/>
          </w:tcPr>
          <w:p w14:paraId="0C9CA4FC">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表层样</w:t>
            </w:r>
          </w:p>
        </w:tc>
      </w:tr>
      <w:tr w14:paraId="09B165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3D0F476C">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颜色</w:t>
            </w:r>
          </w:p>
        </w:tc>
        <w:tc>
          <w:tcPr>
            <w:tcW w:w="3859" w:type="pct"/>
            <w:tcBorders>
              <w:tl2br w:val="nil"/>
              <w:tr2bl w:val="nil"/>
            </w:tcBorders>
            <w:noWrap w:val="0"/>
            <w:vAlign w:val="center"/>
          </w:tcPr>
          <w:p w14:paraId="47BD1ECE">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黑棕色</w:t>
            </w:r>
          </w:p>
        </w:tc>
      </w:tr>
      <w:tr w14:paraId="6B7443C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246B7C05">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结构</w:t>
            </w:r>
          </w:p>
        </w:tc>
        <w:tc>
          <w:tcPr>
            <w:tcW w:w="3859" w:type="pct"/>
            <w:tcBorders>
              <w:tl2br w:val="nil"/>
              <w:tr2bl w:val="nil"/>
            </w:tcBorders>
            <w:noWrap w:val="0"/>
            <w:vAlign w:val="center"/>
          </w:tcPr>
          <w:p w14:paraId="735E86BD">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团粒状</w:t>
            </w:r>
          </w:p>
        </w:tc>
      </w:tr>
      <w:tr w14:paraId="1C449CF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46B18543">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质地</w:t>
            </w:r>
          </w:p>
        </w:tc>
        <w:tc>
          <w:tcPr>
            <w:tcW w:w="3859" w:type="pct"/>
            <w:tcBorders>
              <w:tl2br w:val="nil"/>
              <w:tr2bl w:val="nil"/>
            </w:tcBorders>
            <w:noWrap w:val="0"/>
            <w:vAlign w:val="center"/>
          </w:tcPr>
          <w:p w14:paraId="3468B713">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壤土</w:t>
            </w:r>
          </w:p>
        </w:tc>
      </w:tr>
      <w:tr w14:paraId="41EC770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25F5B54D">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砂砾含量</w:t>
            </w:r>
          </w:p>
        </w:tc>
        <w:tc>
          <w:tcPr>
            <w:tcW w:w="3859" w:type="pct"/>
            <w:tcBorders>
              <w:tl2br w:val="nil"/>
              <w:tr2bl w:val="nil"/>
            </w:tcBorders>
            <w:noWrap w:val="0"/>
            <w:vAlign w:val="center"/>
          </w:tcPr>
          <w:p w14:paraId="29A809F7">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r>
      <w:tr w14:paraId="0E8129D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140" w:type="pct"/>
            <w:tcBorders>
              <w:tl2br w:val="nil"/>
              <w:tr2bl w:val="nil"/>
            </w:tcBorders>
            <w:noWrap w:val="0"/>
            <w:vAlign w:val="center"/>
          </w:tcPr>
          <w:p w14:paraId="77DC44DB">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其他异物</w:t>
            </w:r>
          </w:p>
        </w:tc>
        <w:tc>
          <w:tcPr>
            <w:tcW w:w="3859" w:type="pct"/>
            <w:tcBorders>
              <w:tl2br w:val="nil"/>
              <w:tr2bl w:val="nil"/>
            </w:tcBorders>
            <w:noWrap w:val="0"/>
            <w:vAlign w:val="center"/>
          </w:tcPr>
          <w:p w14:paraId="13D897B4">
            <w:pPr>
              <w:pStyle w:val="360"/>
              <w:shd w:val="clear" w:color="auto" w:fill="auto"/>
              <w:tabs>
                <w:tab w:val="left" w:pos="277"/>
                <w:tab w:val="left" w:pos="600"/>
                <w:tab w:val="left" w:pos="780"/>
                <w:tab w:val="left" w:pos="2517"/>
                <w:tab w:val="clear" w:pos="146"/>
              </w:tabs>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w:t>
            </w:r>
          </w:p>
        </w:tc>
      </w:tr>
    </w:tbl>
    <w:p w14:paraId="3F69C11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（1）土壤类型</w:t>
      </w:r>
    </w:p>
    <w:p w14:paraId="0871C5F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本项目土壤属于</w:t>
      </w:r>
      <w:r>
        <w:rPr>
          <w:rFonts w:hint="eastAsia" w:eastAsia="宋体" w:cs="Times New Roman"/>
          <w:color w:val="auto"/>
          <w:highlight w:val="none"/>
          <w:lang w:val="en-US" w:eastAsia="zh-CN"/>
        </w:rPr>
        <w:t>暗棕壤</w:t>
      </w:r>
      <w:r>
        <w:rPr>
          <w:rFonts w:hint="default" w:ascii="Times New Roman" w:hAnsi="Times New Roman" w:eastAsia="宋体" w:cs="Times New Roman"/>
          <w:color w:val="auto"/>
          <w:highlight w:val="none"/>
        </w:rPr>
        <w:t>。</w:t>
      </w:r>
    </w:p>
    <w:p w14:paraId="7011250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（2）归属与分布</w:t>
      </w:r>
    </w:p>
    <w:p w14:paraId="1315758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属暗棕壤亚类暗山砂土土属。主要分布在黑龙江省黑河、嫩江、萝北、林口、穆棱、东宁、尚志等市、县山坡上部，海拔400—500m。面积406.1万亩(其中耕地26.4万亩)。</w:t>
      </w:r>
    </w:p>
    <w:p w14:paraId="388B0D1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（3）主要性状</w:t>
      </w:r>
    </w:p>
    <w:p w14:paraId="5B24A2A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该土种成土母质为砂砾岩风化残积物。剖面为O—Ag—B—C型。土体厚100cm左右，通体含较多砂砾。Ah层厚10—20cm，棕至暗棕色，有机质含量较高，疏松，容重1.2g/cm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14:paraId="0CCF8A5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（4）典型剖面</w:t>
      </w:r>
    </w:p>
    <w:p w14:paraId="2C7A8CA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O层：0—4cm，为半分解的枯枝落叶。</w:t>
      </w:r>
    </w:p>
    <w:p w14:paraId="1BEB87D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Ah层：4—15cm，暗棕色(湿，7.5YR3/4)，砂质粘壤土，团块状结构，疏松，多根系。</w:t>
      </w:r>
    </w:p>
    <w:p w14:paraId="3BB179D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AB层：15—35cm，棕色(湿，7.5YR4/6)，砂质粘壤土，小块状结构，较紧，根系较少。</w:t>
      </w:r>
    </w:p>
    <w:p w14:paraId="3462C41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B层：35—95cm，亮棕色(湿，7.5YR5/8)，砂质粘壤土，紧，有铁锰胶膜，可见二氧化 硅粉末和大粒状铁锰结核，少根系。</w:t>
      </w:r>
    </w:p>
    <w:p w14:paraId="47E2C7E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C层：95cm以下，为砂砾岩风化残积物。</w:t>
      </w:r>
    </w:p>
    <w:p w14:paraId="33122E7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（5）生产性能综述</w:t>
      </w:r>
    </w:p>
    <w:p w14:paraId="12B6965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土种主要生长次生阔叶林，林木长势良好。林地表面有机质含量高，一经开垦后，土壤有机质明显下降，并易发生水土流失。农业利用上以种植玉米、大豆为主，由于耕层浅薄，障碍层次出现部位高，影响作物根系的生长发育；另外白浆层水解酸度大，使作物的生长发育受到一定影响，玉米常年亩产 200kg左右。改良利用方向应以发展林业为主，保护好现有植被，对遭侵蚀地段应 有计划地栽种耐瘠薄、耐酸性的树种。耕地利用上要注意增施化肥和有机肥，适当 施用石灰，对易遭侵蚀的山坡地要退耕还林，保护生态平衡。</w:t>
      </w:r>
    </w:p>
    <w:p w14:paraId="2C439FBD">
      <w:pPr>
        <w:pStyle w:val="6"/>
        <w:spacing w:line="500" w:lineRule="exact"/>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4.2.5.1土壤环境质量现状补充监测</w:t>
      </w:r>
    </w:p>
    <w:p w14:paraId="1CE91B72">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本评价委托</w:t>
      </w:r>
      <w:r>
        <w:rPr>
          <w:rFonts w:hint="default" w:ascii="Times New Roman" w:hAnsi="Times New Roman" w:eastAsia="宋体" w:cs="Times New Roman"/>
          <w:color w:val="auto"/>
          <w:sz w:val="24"/>
          <w:szCs w:val="24"/>
          <w:highlight w:val="none"/>
          <w:lang w:eastAsia="zh-CN"/>
        </w:rPr>
        <w:t>黑龙江汉风环境检测技术有限公司</w:t>
      </w:r>
      <w:r>
        <w:rPr>
          <w:rFonts w:hint="default" w:ascii="Times New Roman" w:hAnsi="Times New Roman" w:eastAsia="宋体" w:cs="Times New Roman"/>
          <w:color w:val="auto"/>
          <w:highlight w:val="none"/>
          <w:lang w:val="zh-CN"/>
        </w:rPr>
        <w:t>于202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zh-CN"/>
        </w:rPr>
        <w:t>年</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lang w:val="zh-CN"/>
        </w:rPr>
        <w:t>月</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lang w:val="zh-CN"/>
        </w:rPr>
        <w:t>日对项目3个点位土壤进行补充检测。</w:t>
      </w:r>
    </w:p>
    <w:p w14:paraId="5AC9E73E">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（1）监测点布置</w:t>
      </w:r>
    </w:p>
    <w:p w14:paraId="430CB02D">
      <w:pPr>
        <w:pStyle w:val="67"/>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依据《环境影响评价技术导则 土壤环境（试行）》（HJ964-2018）中“7.4.2布点原则”要求，土壤环境现状监测点布设应根据建设项目土壤环境影响类型、评价工作等级和土地利用类型确定，采用均布性与代表性相结合的原则。调查评价范围内的每种土壤类型应至少设置1个表层样监测点，应尽量设置在未受人为污染或相对未受污染的区域。</w:t>
      </w:r>
    </w:p>
    <w:p w14:paraId="019824A8">
      <w:pPr>
        <w:pStyle w:val="67"/>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土壤环境影响类型为污染影响型，土壤评价等级为</w:t>
      </w:r>
      <w:r>
        <w:rPr>
          <w:rFonts w:hint="eastAsia" w:ascii="Times New Roman" w:hAnsi="Times New Roman" w:eastAsia="宋体" w:cs="Times New Roman"/>
          <w:color w:val="auto"/>
          <w:sz w:val="24"/>
          <w:szCs w:val="24"/>
          <w:highlight w:val="none"/>
          <w:lang w:val="en-US" w:eastAsia="zh-CN"/>
        </w:rPr>
        <w:t>三</w:t>
      </w:r>
      <w:r>
        <w:rPr>
          <w:rFonts w:hint="default" w:ascii="Times New Roman" w:hAnsi="Times New Roman" w:eastAsia="宋体" w:cs="Times New Roman"/>
          <w:color w:val="auto"/>
          <w:sz w:val="24"/>
          <w:szCs w:val="24"/>
          <w:highlight w:val="none"/>
        </w:rPr>
        <w:t>级，</w:t>
      </w:r>
      <w:r>
        <w:rPr>
          <w:rFonts w:hint="default" w:ascii="Times New Roman" w:hAnsi="Times New Roman" w:eastAsia="宋体" w:cs="Times New Roman"/>
          <w:b w:val="0"/>
          <w:bCs w:val="0"/>
          <w:color w:val="auto"/>
          <w:sz w:val="24"/>
          <w:szCs w:val="24"/>
          <w:highlight w:val="none"/>
        </w:rPr>
        <w:t>通过查询“国家土壤信息服务平台”可知，</w:t>
      </w:r>
      <w:r>
        <w:rPr>
          <w:rFonts w:hint="default" w:ascii="Times New Roman" w:hAnsi="Times New Roman" w:eastAsia="宋体" w:cs="Times New Roman"/>
          <w:color w:val="auto"/>
          <w:sz w:val="24"/>
          <w:szCs w:val="24"/>
          <w:highlight w:val="none"/>
          <w:lang w:eastAsia="zh-CN"/>
        </w:rPr>
        <w:t>本工程</w:t>
      </w:r>
      <w:r>
        <w:rPr>
          <w:rFonts w:hint="default" w:ascii="Times New Roman" w:hAnsi="Times New Roman" w:eastAsia="宋体" w:cs="Times New Roman"/>
          <w:color w:val="auto"/>
          <w:sz w:val="24"/>
          <w:szCs w:val="24"/>
          <w:highlight w:val="none"/>
        </w:rPr>
        <w:t>评价范围内土壤类型为</w:t>
      </w:r>
      <w:r>
        <w:rPr>
          <w:rFonts w:hint="default" w:ascii="Times New Roman" w:hAnsi="Times New Roman" w:eastAsia="宋体" w:cs="Times New Roman"/>
          <w:color w:val="auto"/>
          <w:sz w:val="24"/>
          <w:szCs w:val="24"/>
          <w:highlight w:val="none"/>
          <w:lang w:val="en-US" w:eastAsia="zh-CN"/>
        </w:rPr>
        <w:t>暗棕壤</w:t>
      </w:r>
      <w:r>
        <w:rPr>
          <w:rFonts w:hint="default" w:ascii="Times New Roman" w:hAnsi="Times New Roman" w:eastAsia="宋体"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rPr>
        <w:t>土壤类型分布图见图</w:t>
      </w:r>
      <w:r>
        <w:rPr>
          <w:rFonts w:hint="default" w:ascii="Times New Roman" w:hAnsi="Times New Roman" w:eastAsia="宋体" w:cs="Times New Roman"/>
          <w:color w:val="auto"/>
          <w:sz w:val="24"/>
          <w:szCs w:val="24"/>
          <w:highlight w:val="none"/>
          <w:lang w:val="en-US" w:eastAsia="zh-CN"/>
        </w:rPr>
        <w:t>4</w:t>
      </w:r>
      <w:r>
        <w:rPr>
          <w:rFonts w:hint="eastAsia" w:eastAsia="宋体" w:cs="Times New Roman"/>
          <w:color w:val="auto"/>
          <w:sz w:val="24"/>
          <w:szCs w:val="24"/>
          <w:highlight w:val="none"/>
          <w:lang w:val="en-US" w:eastAsia="zh-CN"/>
        </w:rPr>
        <w:t>.2-3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本</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土壤环境质量监测在厂址占地范围内布设</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个</w:t>
      </w:r>
      <w:r>
        <w:rPr>
          <w:rFonts w:hint="eastAsia" w:ascii="Times New Roman" w:hAnsi="Times New Roman" w:eastAsia="宋体" w:cs="Times New Roman"/>
          <w:color w:val="auto"/>
          <w:sz w:val="24"/>
          <w:szCs w:val="24"/>
          <w:highlight w:val="none"/>
          <w:lang w:val="en-US" w:eastAsia="zh-CN"/>
        </w:rPr>
        <w:t>表层</w:t>
      </w:r>
      <w:r>
        <w:rPr>
          <w:rFonts w:hint="default" w:ascii="Times New Roman" w:hAnsi="Times New Roman" w:eastAsia="宋体" w:cs="Times New Roman"/>
          <w:color w:val="auto"/>
          <w:sz w:val="24"/>
          <w:szCs w:val="24"/>
          <w:highlight w:val="none"/>
        </w:rPr>
        <w:t>样点。</w:t>
      </w:r>
    </w:p>
    <w:p w14:paraId="1BAC127D">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（2）监测时间及频次</w:t>
      </w:r>
    </w:p>
    <w:p w14:paraId="59E63246">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监测时间为202</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zh-CN"/>
        </w:rPr>
        <w:t>年</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lang w:val="zh-CN"/>
        </w:rPr>
        <w:t>月</w:t>
      </w:r>
      <w:r>
        <w:rPr>
          <w:rFonts w:hint="eastAsia" w:eastAsia="宋体" w:cs="Times New Roman"/>
          <w:color w:val="auto"/>
          <w:highlight w:val="none"/>
          <w:lang w:val="en-US" w:eastAsia="zh-CN"/>
        </w:rPr>
        <w:t>8</w:t>
      </w:r>
      <w:r>
        <w:rPr>
          <w:rFonts w:hint="default" w:ascii="Times New Roman" w:hAnsi="Times New Roman" w:eastAsia="宋体" w:cs="Times New Roman"/>
          <w:color w:val="auto"/>
          <w:highlight w:val="none"/>
          <w:lang w:val="zh-CN"/>
        </w:rPr>
        <w:t>日，监测频次为1次/天。</w:t>
      </w:r>
    </w:p>
    <w:p w14:paraId="5A32E779">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（3）监测项目</w:t>
      </w:r>
    </w:p>
    <w:p w14:paraId="7D55FF1D">
      <w:pPr>
        <w:pStyle w:val="67"/>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lang w:val="zh-CN"/>
        </w:rPr>
        <w:t>监测因子：pH</w:t>
      </w:r>
      <w:r>
        <w:rPr>
          <w:rFonts w:hint="eastAsia" w:ascii="Times New Roman" w:hAnsi="Times New Roman" w:eastAsia="宋体" w:cs="Times New Roman"/>
          <w:color w:val="auto"/>
          <w:highlight w:val="none"/>
          <w:lang w:val="zh-CN"/>
        </w:rPr>
        <w:t>、砷、镉、铬（六价）、铜、铅、汞、镍、锌</w:t>
      </w:r>
      <w:r>
        <w:rPr>
          <w:rFonts w:hint="eastAsia" w:ascii="Times New Roman" w:hAnsi="Times New Roman" w:eastAsia="宋体" w:cs="Times New Roman"/>
          <w:color w:val="auto"/>
          <w:highlight w:val="none"/>
          <w:lang w:val="zh-CN" w:eastAsia="zh-CN"/>
        </w:rPr>
        <w:t>、</w:t>
      </w:r>
      <w:r>
        <w:rPr>
          <w:rFonts w:hint="eastAsia" w:ascii="Times New Roman" w:hAnsi="Times New Roman" w:eastAsia="宋体" w:cs="Times New Roman"/>
          <w:color w:val="auto"/>
          <w:highlight w:val="none"/>
          <w:lang w:val="en-US" w:eastAsia="zh-CN"/>
        </w:rPr>
        <w:t>石油烃。</w:t>
      </w:r>
    </w:p>
    <w:p w14:paraId="65BD421C">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（4）监测和分析方法</w:t>
      </w:r>
    </w:p>
    <w:p w14:paraId="5ACA07E2">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表4-2-</w:t>
      </w:r>
      <w:r>
        <w:rPr>
          <w:rFonts w:hint="eastAsia" w:cs="Times New Roman"/>
          <w:snapToGrid w:val="0"/>
          <w:color w:val="auto"/>
          <w:highlight w:val="none"/>
          <w:lang w:val="en-US" w:eastAsia="zh-CN"/>
        </w:rPr>
        <w:t>20</w:t>
      </w:r>
      <w:r>
        <w:rPr>
          <w:rFonts w:hint="default" w:ascii="Times New Roman" w:hAnsi="Times New Roman" w:cs="Times New Roman"/>
          <w:snapToGrid w:val="0"/>
          <w:color w:val="auto"/>
          <w:highlight w:val="none"/>
        </w:rPr>
        <w:t>检测分析方法一览表</w:t>
      </w:r>
    </w:p>
    <w:tbl>
      <w:tblPr>
        <w:tblStyle w:val="48"/>
        <w:tblW w:w="486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2959"/>
        <w:gridCol w:w="1839"/>
        <w:gridCol w:w="861"/>
        <w:gridCol w:w="1279"/>
      </w:tblGrid>
      <w:tr w14:paraId="71038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64AC940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检测项目</w:t>
            </w:r>
          </w:p>
        </w:tc>
        <w:tc>
          <w:tcPr>
            <w:tcW w:w="1828" w:type="pct"/>
            <w:tcBorders>
              <w:tl2br w:val="nil"/>
              <w:tr2bl w:val="nil"/>
            </w:tcBorders>
            <w:vAlign w:val="center"/>
          </w:tcPr>
          <w:p w14:paraId="53402B5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检测依据</w:t>
            </w:r>
          </w:p>
        </w:tc>
        <w:tc>
          <w:tcPr>
            <w:tcW w:w="1136" w:type="pct"/>
            <w:tcBorders>
              <w:tl2br w:val="nil"/>
              <w:tr2bl w:val="nil"/>
            </w:tcBorders>
            <w:vAlign w:val="center"/>
          </w:tcPr>
          <w:p w14:paraId="15470EA1">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检测仪器名称及型号</w:t>
            </w:r>
          </w:p>
        </w:tc>
        <w:tc>
          <w:tcPr>
            <w:tcW w:w="532" w:type="pct"/>
            <w:tcBorders>
              <w:tl2br w:val="nil"/>
              <w:tr2bl w:val="nil"/>
            </w:tcBorders>
            <w:vAlign w:val="center"/>
          </w:tcPr>
          <w:p w14:paraId="464B6C77">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检出限</w:t>
            </w:r>
          </w:p>
        </w:tc>
        <w:tc>
          <w:tcPr>
            <w:tcW w:w="790" w:type="pct"/>
            <w:tcBorders>
              <w:tl2br w:val="nil"/>
              <w:tr2bl w:val="nil"/>
            </w:tcBorders>
            <w:vAlign w:val="center"/>
          </w:tcPr>
          <w:p w14:paraId="0F7EB138">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单位</w:t>
            </w:r>
          </w:p>
        </w:tc>
      </w:tr>
      <w:tr w14:paraId="1750D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04FFE83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汞</w:t>
            </w:r>
          </w:p>
        </w:tc>
        <w:tc>
          <w:tcPr>
            <w:tcW w:w="1828" w:type="pct"/>
            <w:tcBorders>
              <w:tl2br w:val="nil"/>
              <w:tr2bl w:val="nil"/>
            </w:tcBorders>
            <w:vAlign w:val="center"/>
          </w:tcPr>
          <w:p w14:paraId="7561A565">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GB/T 22105.1-2008 土壤质量 总汞、总砷、总铅的测定 原子荧光法 第1部分：土壤中总汞的测定</w:t>
            </w:r>
          </w:p>
        </w:tc>
        <w:tc>
          <w:tcPr>
            <w:tcW w:w="1136" w:type="pct"/>
            <w:tcBorders>
              <w:tl2br w:val="nil"/>
              <w:tr2bl w:val="nil"/>
            </w:tcBorders>
            <w:vAlign w:val="center"/>
          </w:tcPr>
          <w:p w14:paraId="4B45509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原子荧光光度计AFS-8520 QDYM-JC-323</w:t>
            </w:r>
          </w:p>
        </w:tc>
        <w:tc>
          <w:tcPr>
            <w:tcW w:w="532" w:type="pct"/>
            <w:tcBorders>
              <w:tl2br w:val="nil"/>
              <w:tr2bl w:val="nil"/>
            </w:tcBorders>
            <w:vAlign w:val="center"/>
          </w:tcPr>
          <w:p w14:paraId="72655981">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0.002</w:t>
            </w:r>
          </w:p>
        </w:tc>
        <w:tc>
          <w:tcPr>
            <w:tcW w:w="790" w:type="pct"/>
            <w:tcBorders>
              <w:tl2br w:val="nil"/>
              <w:tr2bl w:val="nil"/>
            </w:tcBorders>
            <w:vAlign w:val="center"/>
          </w:tcPr>
          <w:p w14:paraId="3FF6EDE8">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088F6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230C61A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砷</w:t>
            </w:r>
          </w:p>
        </w:tc>
        <w:tc>
          <w:tcPr>
            <w:tcW w:w="1828" w:type="pct"/>
            <w:tcBorders>
              <w:tl2br w:val="nil"/>
              <w:tr2bl w:val="nil"/>
            </w:tcBorders>
            <w:vAlign w:val="center"/>
          </w:tcPr>
          <w:p w14:paraId="54CB225A">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GB/T 22105.2-2008 土壤质量 总汞、总砷、总铅的测定原子荧光法 第2部分：土壤中总砷的测定</w:t>
            </w:r>
          </w:p>
        </w:tc>
        <w:tc>
          <w:tcPr>
            <w:tcW w:w="1136" w:type="pct"/>
            <w:tcBorders>
              <w:tl2br w:val="nil"/>
              <w:tr2bl w:val="nil"/>
            </w:tcBorders>
            <w:vAlign w:val="center"/>
          </w:tcPr>
          <w:p w14:paraId="32094DE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原子荧光光度计AFS-230E QDYM-JC-001</w:t>
            </w:r>
          </w:p>
        </w:tc>
        <w:tc>
          <w:tcPr>
            <w:tcW w:w="532" w:type="pct"/>
            <w:tcBorders>
              <w:tl2br w:val="nil"/>
              <w:tr2bl w:val="nil"/>
            </w:tcBorders>
            <w:vAlign w:val="center"/>
          </w:tcPr>
          <w:p w14:paraId="66D2BD3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0.01</w:t>
            </w:r>
          </w:p>
        </w:tc>
        <w:tc>
          <w:tcPr>
            <w:tcW w:w="790" w:type="pct"/>
            <w:tcBorders>
              <w:tl2br w:val="nil"/>
              <w:tr2bl w:val="nil"/>
            </w:tcBorders>
            <w:vAlign w:val="center"/>
          </w:tcPr>
          <w:p w14:paraId="09217964">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53658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061DF34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铜</w:t>
            </w:r>
          </w:p>
        </w:tc>
        <w:tc>
          <w:tcPr>
            <w:tcW w:w="1828" w:type="pct"/>
            <w:vMerge w:val="restart"/>
            <w:tcBorders>
              <w:tl2br w:val="nil"/>
              <w:tr2bl w:val="nil"/>
            </w:tcBorders>
            <w:vAlign w:val="center"/>
          </w:tcPr>
          <w:p w14:paraId="617EB71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HJ 491-2019土壤和沉积物 铜、锌、铅、镍、铬的测定 火焰原子吸收分光光度法</w:t>
            </w:r>
          </w:p>
        </w:tc>
        <w:tc>
          <w:tcPr>
            <w:tcW w:w="1136" w:type="pct"/>
            <w:vMerge w:val="restart"/>
            <w:tcBorders>
              <w:tl2br w:val="nil"/>
              <w:tr2bl w:val="nil"/>
            </w:tcBorders>
            <w:vAlign w:val="center"/>
          </w:tcPr>
          <w:p w14:paraId="18C64A0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火焰原子吸收分光光谱仪240FS QDYM-JC-348</w:t>
            </w:r>
          </w:p>
        </w:tc>
        <w:tc>
          <w:tcPr>
            <w:tcW w:w="532" w:type="pct"/>
            <w:tcBorders>
              <w:tl2br w:val="nil"/>
              <w:tr2bl w:val="nil"/>
            </w:tcBorders>
            <w:vAlign w:val="center"/>
          </w:tcPr>
          <w:p w14:paraId="01F3C42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790" w:type="pct"/>
            <w:tcBorders>
              <w:tl2br w:val="nil"/>
              <w:tr2bl w:val="nil"/>
            </w:tcBorders>
            <w:vAlign w:val="center"/>
          </w:tcPr>
          <w:p w14:paraId="15F77BD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06063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684BE2E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镍</w:t>
            </w:r>
          </w:p>
        </w:tc>
        <w:tc>
          <w:tcPr>
            <w:tcW w:w="1828" w:type="pct"/>
            <w:vMerge w:val="continue"/>
            <w:tcBorders>
              <w:tl2br w:val="nil"/>
              <w:tr2bl w:val="nil"/>
            </w:tcBorders>
            <w:vAlign w:val="center"/>
          </w:tcPr>
          <w:p w14:paraId="0971128A">
            <w:pPr>
              <w:pStyle w:val="146"/>
              <w:rPr>
                <w:rFonts w:hint="default" w:ascii="Times New Roman" w:hAnsi="Times New Roman" w:eastAsia="宋体" w:cs="Times New Roman"/>
                <w:color w:val="auto"/>
                <w:highlight w:val="none"/>
                <w:lang w:eastAsia="zh-CN"/>
              </w:rPr>
            </w:pPr>
          </w:p>
        </w:tc>
        <w:tc>
          <w:tcPr>
            <w:tcW w:w="1136" w:type="pct"/>
            <w:vMerge w:val="continue"/>
            <w:tcBorders>
              <w:tl2br w:val="nil"/>
              <w:tr2bl w:val="nil"/>
            </w:tcBorders>
            <w:vAlign w:val="center"/>
          </w:tcPr>
          <w:p w14:paraId="7C072F40">
            <w:pPr>
              <w:pStyle w:val="146"/>
              <w:rPr>
                <w:rFonts w:hint="default" w:ascii="Times New Roman" w:hAnsi="Times New Roman" w:eastAsia="宋体" w:cs="Times New Roman"/>
                <w:color w:val="auto"/>
                <w:highlight w:val="none"/>
                <w:lang w:eastAsia="zh-CN"/>
              </w:rPr>
            </w:pPr>
          </w:p>
        </w:tc>
        <w:tc>
          <w:tcPr>
            <w:tcW w:w="532" w:type="pct"/>
            <w:tcBorders>
              <w:tl2br w:val="nil"/>
              <w:tr2bl w:val="nil"/>
            </w:tcBorders>
            <w:vAlign w:val="center"/>
          </w:tcPr>
          <w:p w14:paraId="2DEFB1F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790" w:type="pct"/>
            <w:tcBorders>
              <w:tl2br w:val="nil"/>
              <w:tr2bl w:val="nil"/>
            </w:tcBorders>
            <w:vAlign w:val="center"/>
          </w:tcPr>
          <w:p w14:paraId="680938DB">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133A8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6403879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锌</w:t>
            </w:r>
          </w:p>
        </w:tc>
        <w:tc>
          <w:tcPr>
            <w:tcW w:w="1828" w:type="pct"/>
            <w:vMerge w:val="continue"/>
            <w:tcBorders>
              <w:tl2br w:val="nil"/>
              <w:tr2bl w:val="nil"/>
            </w:tcBorders>
            <w:vAlign w:val="center"/>
          </w:tcPr>
          <w:p w14:paraId="449C384D">
            <w:pPr>
              <w:pStyle w:val="146"/>
              <w:rPr>
                <w:rFonts w:hint="default" w:ascii="Times New Roman" w:hAnsi="Times New Roman" w:eastAsia="宋体" w:cs="Times New Roman"/>
                <w:color w:val="auto"/>
                <w:highlight w:val="none"/>
                <w:lang w:val="en-US" w:eastAsia="zh-CN"/>
              </w:rPr>
            </w:pPr>
          </w:p>
        </w:tc>
        <w:tc>
          <w:tcPr>
            <w:tcW w:w="1136" w:type="pct"/>
            <w:vMerge w:val="continue"/>
            <w:tcBorders>
              <w:tl2br w:val="nil"/>
              <w:tr2bl w:val="nil"/>
            </w:tcBorders>
            <w:vAlign w:val="center"/>
          </w:tcPr>
          <w:p w14:paraId="1B6A7F8D">
            <w:pPr>
              <w:pStyle w:val="146"/>
              <w:rPr>
                <w:rFonts w:hint="default" w:ascii="Times New Roman" w:hAnsi="Times New Roman" w:eastAsia="宋体" w:cs="Times New Roman"/>
                <w:color w:val="auto"/>
                <w:highlight w:val="none"/>
                <w:lang w:val="en-US" w:eastAsia="zh-CN"/>
              </w:rPr>
            </w:pPr>
          </w:p>
        </w:tc>
        <w:tc>
          <w:tcPr>
            <w:tcW w:w="532" w:type="pct"/>
            <w:tcBorders>
              <w:tl2br w:val="nil"/>
              <w:tr2bl w:val="nil"/>
            </w:tcBorders>
            <w:vAlign w:val="center"/>
          </w:tcPr>
          <w:p w14:paraId="4840F3D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790" w:type="pct"/>
            <w:tcBorders>
              <w:tl2br w:val="nil"/>
              <w:tr2bl w:val="nil"/>
            </w:tcBorders>
            <w:vAlign w:val="center"/>
          </w:tcPr>
          <w:p w14:paraId="0C10E218">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413DC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06502BD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铅</w:t>
            </w:r>
          </w:p>
        </w:tc>
        <w:tc>
          <w:tcPr>
            <w:tcW w:w="1828" w:type="pct"/>
            <w:tcBorders>
              <w:tl2br w:val="nil"/>
              <w:tr2bl w:val="nil"/>
            </w:tcBorders>
            <w:shd w:val="clear" w:color="auto" w:fill="auto"/>
            <w:vAlign w:val="center"/>
          </w:tcPr>
          <w:p w14:paraId="3969774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GB/T 17141-1997土壤质量 铅、镉的测定 石墨炉原子吸收分光光度法</w:t>
            </w:r>
          </w:p>
        </w:tc>
        <w:tc>
          <w:tcPr>
            <w:tcW w:w="1136" w:type="pct"/>
            <w:tcBorders>
              <w:tl2br w:val="nil"/>
              <w:tr2bl w:val="nil"/>
            </w:tcBorders>
            <w:shd w:val="clear" w:color="auto" w:fill="auto"/>
            <w:vAlign w:val="center"/>
          </w:tcPr>
          <w:p w14:paraId="7D0C7ED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石墨炉原子吸收光谱仪280Z QDYM-JC-349</w:t>
            </w:r>
          </w:p>
        </w:tc>
        <w:tc>
          <w:tcPr>
            <w:tcW w:w="532" w:type="pct"/>
            <w:tcBorders>
              <w:tl2br w:val="nil"/>
              <w:tr2bl w:val="nil"/>
            </w:tcBorders>
            <w:vAlign w:val="center"/>
          </w:tcPr>
          <w:p w14:paraId="49110DC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w:t>
            </w:r>
          </w:p>
        </w:tc>
        <w:tc>
          <w:tcPr>
            <w:tcW w:w="790" w:type="pct"/>
            <w:tcBorders>
              <w:tl2br w:val="nil"/>
              <w:tr2bl w:val="nil"/>
            </w:tcBorders>
            <w:vAlign w:val="center"/>
          </w:tcPr>
          <w:p w14:paraId="5FCC980D">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211953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shd w:val="clear" w:color="auto" w:fill="auto"/>
            <w:vAlign w:val="center"/>
          </w:tcPr>
          <w:p w14:paraId="66FE836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镉</w:t>
            </w:r>
          </w:p>
        </w:tc>
        <w:tc>
          <w:tcPr>
            <w:tcW w:w="1828" w:type="pct"/>
            <w:tcBorders>
              <w:tl2br w:val="nil"/>
              <w:tr2bl w:val="nil"/>
            </w:tcBorders>
            <w:vAlign w:val="center"/>
          </w:tcPr>
          <w:p w14:paraId="4B6347BE">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GB/T 17141-1997土壤质量 铅、镉的测定 石墨炉原子吸收分光光度法</w:t>
            </w:r>
          </w:p>
        </w:tc>
        <w:tc>
          <w:tcPr>
            <w:tcW w:w="1136" w:type="pct"/>
            <w:tcBorders>
              <w:tl2br w:val="nil"/>
              <w:tr2bl w:val="nil"/>
            </w:tcBorders>
            <w:vAlign w:val="center"/>
          </w:tcPr>
          <w:p w14:paraId="54130B9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石墨炉原子吸收光谱仪240ZQDYM-JC-221</w:t>
            </w:r>
          </w:p>
        </w:tc>
        <w:tc>
          <w:tcPr>
            <w:tcW w:w="532" w:type="pct"/>
            <w:tcBorders>
              <w:tl2br w:val="nil"/>
              <w:tr2bl w:val="nil"/>
            </w:tcBorders>
            <w:vAlign w:val="center"/>
          </w:tcPr>
          <w:p w14:paraId="36D956F8">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0.01</w:t>
            </w:r>
          </w:p>
        </w:tc>
        <w:tc>
          <w:tcPr>
            <w:tcW w:w="790" w:type="pct"/>
            <w:tcBorders>
              <w:tl2br w:val="nil"/>
              <w:tr2bl w:val="nil"/>
            </w:tcBorders>
            <w:vAlign w:val="center"/>
          </w:tcPr>
          <w:p w14:paraId="6B2F9A65">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4B90C9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vAlign w:val="center"/>
          </w:tcPr>
          <w:p w14:paraId="155FD03F">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六价铬</w:t>
            </w:r>
          </w:p>
        </w:tc>
        <w:tc>
          <w:tcPr>
            <w:tcW w:w="1828" w:type="pct"/>
            <w:tcBorders>
              <w:tl2br w:val="nil"/>
              <w:tr2bl w:val="nil"/>
            </w:tcBorders>
            <w:vAlign w:val="center"/>
          </w:tcPr>
          <w:p w14:paraId="024BC9A4">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HJ 1082-2019土壤和沉积物  六价铬的测定  碱溶液提取-火焰原子吸收分光光度法</w:t>
            </w:r>
          </w:p>
        </w:tc>
        <w:tc>
          <w:tcPr>
            <w:tcW w:w="1136" w:type="pct"/>
            <w:tcBorders>
              <w:tl2br w:val="nil"/>
              <w:tr2bl w:val="nil"/>
            </w:tcBorders>
            <w:vAlign w:val="center"/>
          </w:tcPr>
          <w:p w14:paraId="71C2D79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火焰原子吸收分光光谱仪240FS QDYM-JC-348</w:t>
            </w:r>
          </w:p>
        </w:tc>
        <w:tc>
          <w:tcPr>
            <w:tcW w:w="532" w:type="pct"/>
            <w:tcBorders>
              <w:tl2br w:val="nil"/>
              <w:tr2bl w:val="nil"/>
            </w:tcBorders>
            <w:vAlign w:val="center"/>
          </w:tcPr>
          <w:p w14:paraId="201CC377">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0.5</w:t>
            </w:r>
          </w:p>
        </w:tc>
        <w:tc>
          <w:tcPr>
            <w:tcW w:w="790" w:type="pct"/>
            <w:tcBorders>
              <w:tl2br w:val="nil"/>
              <w:tr2bl w:val="nil"/>
            </w:tcBorders>
            <w:vAlign w:val="center"/>
          </w:tcPr>
          <w:p w14:paraId="25A805B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mg/kg</w:t>
            </w:r>
          </w:p>
        </w:tc>
      </w:tr>
      <w:tr w14:paraId="3B3B82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shd w:val="clear" w:color="auto" w:fill="auto"/>
            <w:vAlign w:val="center"/>
          </w:tcPr>
          <w:p w14:paraId="368A67B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石油烃（C10-C40）</w:t>
            </w:r>
          </w:p>
        </w:tc>
        <w:tc>
          <w:tcPr>
            <w:tcW w:w="1828" w:type="pct"/>
            <w:tcBorders>
              <w:tl2br w:val="nil"/>
              <w:tr2bl w:val="nil"/>
            </w:tcBorders>
            <w:shd w:val="clear" w:color="auto" w:fill="auto"/>
            <w:vAlign w:val="center"/>
          </w:tcPr>
          <w:p w14:paraId="1529620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HJ 1021-2019 土壤和沉积物 石油烃（C10-C40）的测定 气相色谱法</w:t>
            </w:r>
          </w:p>
        </w:tc>
        <w:tc>
          <w:tcPr>
            <w:tcW w:w="1136" w:type="pct"/>
            <w:tcBorders>
              <w:tl2br w:val="nil"/>
              <w:tr2bl w:val="nil"/>
            </w:tcBorders>
            <w:shd w:val="clear" w:color="auto" w:fill="auto"/>
            <w:vAlign w:val="center"/>
          </w:tcPr>
          <w:p w14:paraId="6455B01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气相色谱仪8860 QDYM-JC-345</w:t>
            </w:r>
          </w:p>
        </w:tc>
        <w:tc>
          <w:tcPr>
            <w:tcW w:w="532" w:type="pct"/>
            <w:tcBorders>
              <w:tl2br w:val="nil"/>
              <w:tr2bl w:val="nil"/>
            </w:tcBorders>
            <w:shd w:val="clear" w:color="auto" w:fill="auto"/>
            <w:vAlign w:val="center"/>
          </w:tcPr>
          <w:p w14:paraId="1BF41D9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790" w:type="pct"/>
            <w:tcBorders>
              <w:tl2br w:val="nil"/>
              <w:tr2bl w:val="nil"/>
            </w:tcBorders>
            <w:shd w:val="clear" w:color="auto" w:fill="auto"/>
            <w:vAlign w:val="center"/>
          </w:tcPr>
          <w:p w14:paraId="0338C5F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r>
      <w:tr w14:paraId="26468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711" w:type="pct"/>
            <w:tcBorders>
              <w:tl2br w:val="nil"/>
              <w:tr2bl w:val="nil"/>
            </w:tcBorders>
            <w:shd w:val="clear" w:color="auto" w:fill="auto"/>
            <w:vAlign w:val="center"/>
          </w:tcPr>
          <w:p w14:paraId="2F0E355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pH</w:t>
            </w:r>
          </w:p>
        </w:tc>
        <w:tc>
          <w:tcPr>
            <w:tcW w:w="1828" w:type="pct"/>
            <w:tcBorders>
              <w:tl2br w:val="nil"/>
              <w:tr2bl w:val="nil"/>
            </w:tcBorders>
            <w:shd w:val="clear" w:color="auto" w:fill="auto"/>
            <w:vAlign w:val="center"/>
          </w:tcPr>
          <w:p w14:paraId="5E2BEA1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HJ 962-2018土壤 pH 值的测定 电位法</w:t>
            </w:r>
          </w:p>
        </w:tc>
        <w:tc>
          <w:tcPr>
            <w:tcW w:w="1136" w:type="pct"/>
            <w:tcBorders>
              <w:tl2br w:val="nil"/>
              <w:tr2bl w:val="nil"/>
            </w:tcBorders>
            <w:shd w:val="clear" w:color="auto" w:fill="auto"/>
            <w:vAlign w:val="center"/>
          </w:tcPr>
          <w:p w14:paraId="0F8765F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pH计 PHS-3E QDYM-JC-666</w:t>
            </w:r>
          </w:p>
        </w:tc>
        <w:tc>
          <w:tcPr>
            <w:tcW w:w="532" w:type="pct"/>
            <w:tcBorders>
              <w:tl2br w:val="nil"/>
              <w:tr2bl w:val="nil"/>
            </w:tcBorders>
            <w:shd w:val="clear" w:color="auto" w:fill="auto"/>
            <w:vAlign w:val="center"/>
          </w:tcPr>
          <w:p w14:paraId="5CD4F0F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90" w:type="pct"/>
            <w:tcBorders>
              <w:tl2br w:val="nil"/>
              <w:tr2bl w:val="nil"/>
            </w:tcBorders>
            <w:shd w:val="clear" w:color="auto" w:fill="auto"/>
            <w:vAlign w:val="center"/>
          </w:tcPr>
          <w:p w14:paraId="777377F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无量纲</w:t>
            </w:r>
          </w:p>
        </w:tc>
      </w:tr>
      <w:tr w14:paraId="434CD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1" w:type="pct"/>
            <w:tcBorders>
              <w:tl2br w:val="nil"/>
              <w:tr2bl w:val="nil"/>
            </w:tcBorders>
            <w:vAlign w:val="center"/>
          </w:tcPr>
          <w:p w14:paraId="5E67169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阳离子交换量</w:t>
            </w:r>
          </w:p>
        </w:tc>
        <w:tc>
          <w:tcPr>
            <w:tcW w:w="1828" w:type="pct"/>
            <w:tcBorders>
              <w:tl2br w:val="nil"/>
              <w:tr2bl w:val="nil"/>
            </w:tcBorders>
            <w:vAlign w:val="center"/>
          </w:tcPr>
          <w:p w14:paraId="25BE1E6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HJ 889-2017土壤 阳离子交换量的测定 三氯化六氨合钴浸提-分光光度法</w:t>
            </w:r>
          </w:p>
        </w:tc>
        <w:tc>
          <w:tcPr>
            <w:tcW w:w="1136" w:type="pct"/>
            <w:tcBorders>
              <w:tl2br w:val="nil"/>
              <w:tr2bl w:val="nil"/>
            </w:tcBorders>
            <w:vAlign w:val="center"/>
          </w:tcPr>
          <w:p w14:paraId="6758B27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可见分光光度计721 QDYM-JC-007</w:t>
            </w:r>
          </w:p>
        </w:tc>
        <w:tc>
          <w:tcPr>
            <w:tcW w:w="532" w:type="pct"/>
            <w:tcBorders>
              <w:tl2br w:val="nil"/>
              <w:tr2bl w:val="nil"/>
            </w:tcBorders>
            <w:vAlign w:val="center"/>
          </w:tcPr>
          <w:p w14:paraId="466B8E7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w:t>
            </w:r>
          </w:p>
        </w:tc>
        <w:tc>
          <w:tcPr>
            <w:tcW w:w="790" w:type="pct"/>
            <w:tcBorders>
              <w:tl2br w:val="nil"/>
              <w:tr2bl w:val="nil"/>
            </w:tcBorders>
            <w:vAlign w:val="center"/>
          </w:tcPr>
          <w:p w14:paraId="6B53193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cmol+/kg</w:t>
            </w:r>
          </w:p>
        </w:tc>
      </w:tr>
      <w:tr w14:paraId="445F1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1" w:type="pct"/>
            <w:tcBorders>
              <w:tl2br w:val="nil"/>
              <w:tr2bl w:val="nil"/>
            </w:tcBorders>
            <w:vAlign w:val="center"/>
          </w:tcPr>
          <w:p w14:paraId="243109A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土壤渗透率（饱和导水率）</w:t>
            </w:r>
          </w:p>
        </w:tc>
        <w:tc>
          <w:tcPr>
            <w:tcW w:w="1828" w:type="pct"/>
            <w:tcBorders>
              <w:tl2br w:val="nil"/>
              <w:tr2bl w:val="nil"/>
            </w:tcBorders>
            <w:vAlign w:val="center"/>
          </w:tcPr>
          <w:p w14:paraId="75550D9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LY/T 1218-1999森林土壤渗滤率的测定 3 环刀法</w:t>
            </w:r>
          </w:p>
        </w:tc>
        <w:tc>
          <w:tcPr>
            <w:tcW w:w="1136" w:type="pct"/>
            <w:tcBorders>
              <w:tl2br w:val="nil"/>
              <w:tr2bl w:val="nil"/>
            </w:tcBorders>
            <w:vAlign w:val="center"/>
          </w:tcPr>
          <w:p w14:paraId="63BED88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环刀</w:t>
            </w:r>
          </w:p>
        </w:tc>
        <w:tc>
          <w:tcPr>
            <w:tcW w:w="532" w:type="pct"/>
            <w:tcBorders>
              <w:tl2br w:val="nil"/>
              <w:tr2bl w:val="nil"/>
            </w:tcBorders>
            <w:vAlign w:val="center"/>
          </w:tcPr>
          <w:p w14:paraId="03433E8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90" w:type="pct"/>
            <w:tcBorders>
              <w:tl2br w:val="nil"/>
              <w:tr2bl w:val="nil"/>
            </w:tcBorders>
            <w:vAlign w:val="center"/>
          </w:tcPr>
          <w:p w14:paraId="1D5EA3B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mm/min</w:t>
            </w:r>
          </w:p>
        </w:tc>
      </w:tr>
      <w:tr w14:paraId="7F1BDA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1" w:type="pct"/>
            <w:tcBorders>
              <w:tl2br w:val="nil"/>
              <w:tr2bl w:val="nil"/>
            </w:tcBorders>
            <w:vAlign w:val="center"/>
          </w:tcPr>
          <w:p w14:paraId="24E30CA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容重</w:t>
            </w:r>
          </w:p>
        </w:tc>
        <w:tc>
          <w:tcPr>
            <w:tcW w:w="1828" w:type="pct"/>
            <w:tcBorders>
              <w:tl2br w:val="nil"/>
              <w:tr2bl w:val="nil"/>
            </w:tcBorders>
            <w:vAlign w:val="center"/>
          </w:tcPr>
          <w:p w14:paraId="0FD3F84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NY/T 1121.4-2006土壤检测 第4部分：土壤容重的测定</w:t>
            </w:r>
          </w:p>
        </w:tc>
        <w:tc>
          <w:tcPr>
            <w:tcW w:w="1136" w:type="pct"/>
            <w:tcBorders>
              <w:tl2br w:val="nil"/>
              <w:tr2bl w:val="nil"/>
            </w:tcBorders>
            <w:vAlign w:val="center"/>
          </w:tcPr>
          <w:p w14:paraId="7BAD115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电子天平 DT-500B QDYM-JC-048</w:t>
            </w:r>
          </w:p>
        </w:tc>
        <w:tc>
          <w:tcPr>
            <w:tcW w:w="532" w:type="pct"/>
            <w:tcBorders>
              <w:tl2br w:val="nil"/>
              <w:tr2bl w:val="nil"/>
            </w:tcBorders>
            <w:vAlign w:val="center"/>
          </w:tcPr>
          <w:p w14:paraId="07BC082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90" w:type="pct"/>
            <w:tcBorders>
              <w:tl2br w:val="nil"/>
              <w:tr2bl w:val="nil"/>
            </w:tcBorders>
            <w:vAlign w:val="center"/>
          </w:tcPr>
          <w:p w14:paraId="17E5345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g/cm3</w:t>
            </w:r>
          </w:p>
        </w:tc>
      </w:tr>
      <w:tr w14:paraId="44D66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1" w:type="pct"/>
            <w:tcBorders>
              <w:tl2br w:val="nil"/>
              <w:tr2bl w:val="nil"/>
            </w:tcBorders>
            <w:vAlign w:val="center"/>
          </w:tcPr>
          <w:p w14:paraId="6BD6219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总孔隙度</w:t>
            </w:r>
          </w:p>
        </w:tc>
        <w:tc>
          <w:tcPr>
            <w:tcW w:w="1828" w:type="pct"/>
            <w:tcBorders>
              <w:tl2br w:val="nil"/>
              <w:tr2bl w:val="nil"/>
            </w:tcBorders>
            <w:vAlign w:val="center"/>
          </w:tcPr>
          <w:p w14:paraId="6A426FD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LY/T 1215-1999森林土壤水分-物理性质的测定</w:t>
            </w:r>
          </w:p>
        </w:tc>
        <w:tc>
          <w:tcPr>
            <w:tcW w:w="1136" w:type="pct"/>
            <w:tcBorders>
              <w:tl2br w:val="nil"/>
              <w:tr2bl w:val="nil"/>
            </w:tcBorders>
            <w:vAlign w:val="center"/>
          </w:tcPr>
          <w:p w14:paraId="6A53481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电子天平 DT-500B QDYM-JC-048</w:t>
            </w:r>
          </w:p>
        </w:tc>
        <w:tc>
          <w:tcPr>
            <w:tcW w:w="532" w:type="pct"/>
            <w:tcBorders>
              <w:tl2br w:val="nil"/>
              <w:tr2bl w:val="nil"/>
            </w:tcBorders>
            <w:vAlign w:val="center"/>
          </w:tcPr>
          <w:p w14:paraId="05F785F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90" w:type="pct"/>
            <w:tcBorders>
              <w:tl2br w:val="nil"/>
              <w:tr2bl w:val="nil"/>
            </w:tcBorders>
            <w:vAlign w:val="center"/>
          </w:tcPr>
          <w:p w14:paraId="4A87AAD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0C0EF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1" w:type="pct"/>
            <w:tcBorders>
              <w:tl2br w:val="nil"/>
              <w:tr2bl w:val="nil"/>
            </w:tcBorders>
            <w:vAlign w:val="center"/>
          </w:tcPr>
          <w:p w14:paraId="5F5AC4B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氧化还原电位</w:t>
            </w:r>
          </w:p>
        </w:tc>
        <w:tc>
          <w:tcPr>
            <w:tcW w:w="1828" w:type="pct"/>
            <w:tcBorders>
              <w:tl2br w:val="nil"/>
              <w:tr2bl w:val="nil"/>
            </w:tcBorders>
            <w:vAlign w:val="center"/>
          </w:tcPr>
          <w:p w14:paraId="427BE39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HJ 746-2015土壤 氧化还原电位的测定 电位法</w:t>
            </w:r>
          </w:p>
        </w:tc>
        <w:tc>
          <w:tcPr>
            <w:tcW w:w="1136" w:type="pct"/>
            <w:tcBorders>
              <w:tl2br w:val="nil"/>
              <w:tr2bl w:val="nil"/>
            </w:tcBorders>
            <w:vAlign w:val="center"/>
          </w:tcPr>
          <w:p w14:paraId="64B4C64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智能便携式氧化还原电位仪QX6530 QDYM-JC-220</w:t>
            </w:r>
          </w:p>
        </w:tc>
        <w:tc>
          <w:tcPr>
            <w:tcW w:w="532" w:type="pct"/>
            <w:tcBorders>
              <w:tl2br w:val="nil"/>
              <w:tr2bl w:val="nil"/>
            </w:tcBorders>
            <w:vAlign w:val="center"/>
          </w:tcPr>
          <w:p w14:paraId="197A874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790" w:type="pct"/>
            <w:tcBorders>
              <w:tl2br w:val="nil"/>
              <w:tr2bl w:val="nil"/>
            </w:tcBorders>
            <w:vAlign w:val="center"/>
          </w:tcPr>
          <w:p w14:paraId="153C6E1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mV</w:t>
            </w:r>
          </w:p>
        </w:tc>
      </w:tr>
    </w:tbl>
    <w:p w14:paraId="6C40AD2F">
      <w:pPr>
        <w:adjustRightInd/>
        <w:snapToGrid/>
        <w:spacing w:line="500" w:lineRule="exact"/>
        <w:rPr>
          <w:rFonts w:hint="default" w:ascii="Times New Roman" w:hAnsi="Times New Roman" w:cs="Times New Roman"/>
          <w:color w:val="auto"/>
          <w:kern w:val="0"/>
          <w:szCs w:val="24"/>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5D4B1611">
      <w:pPr>
        <w:adjustRightInd/>
        <w:snapToGrid/>
        <w:spacing w:line="500" w:lineRule="exact"/>
        <w:rPr>
          <w:rFonts w:hint="default" w:ascii="Times New Roman" w:hAnsi="Times New Roman" w:cs="Times New Roman"/>
          <w:color w:val="auto"/>
          <w:kern w:val="0"/>
          <w:szCs w:val="24"/>
          <w:highlight w:val="none"/>
        </w:rPr>
      </w:pPr>
      <w:r>
        <w:rPr>
          <w:rFonts w:hint="default" w:ascii="Times New Roman" w:hAnsi="Times New Roman" w:cs="Times New Roman"/>
          <w:color w:val="auto"/>
          <w:kern w:val="0"/>
          <w:szCs w:val="24"/>
          <w:highlight w:val="none"/>
        </w:rPr>
        <w:t>（5）监测结果</w:t>
      </w:r>
    </w:p>
    <w:p w14:paraId="44825E90">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表4-2-</w:t>
      </w:r>
      <w:r>
        <w:rPr>
          <w:rFonts w:hint="eastAsia" w:cs="Times New Roman"/>
          <w:snapToGrid w:val="0"/>
          <w:color w:val="auto"/>
          <w:highlight w:val="none"/>
          <w:lang w:val="en-US" w:eastAsia="zh-CN"/>
        </w:rPr>
        <w:t>21</w:t>
      </w:r>
      <w:r>
        <w:rPr>
          <w:rFonts w:hint="default" w:ascii="Times New Roman" w:hAnsi="Times New Roman" w:cs="Times New Roman"/>
          <w:snapToGrid w:val="0"/>
          <w:color w:val="auto"/>
          <w:highlight w:val="none"/>
        </w:rPr>
        <w:t>土壤现状检测结果</w:t>
      </w:r>
    </w:p>
    <w:tbl>
      <w:tblPr>
        <w:tblStyle w:val="48"/>
        <w:tblW w:w="142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9"/>
        <w:gridCol w:w="893"/>
        <w:gridCol w:w="1233"/>
        <w:gridCol w:w="2180"/>
        <w:gridCol w:w="1087"/>
        <w:gridCol w:w="1087"/>
        <w:gridCol w:w="1087"/>
        <w:gridCol w:w="1087"/>
        <w:gridCol w:w="1087"/>
        <w:gridCol w:w="1087"/>
        <w:gridCol w:w="1087"/>
        <w:gridCol w:w="1087"/>
      </w:tblGrid>
      <w:tr w14:paraId="7A890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vMerge w:val="restart"/>
            <w:vAlign w:val="center"/>
          </w:tcPr>
          <w:p w14:paraId="4BBE69B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检测点位</w:t>
            </w:r>
          </w:p>
        </w:tc>
        <w:tc>
          <w:tcPr>
            <w:tcW w:w="893" w:type="dxa"/>
            <w:vMerge w:val="restart"/>
            <w:vAlign w:val="center"/>
          </w:tcPr>
          <w:p w14:paraId="09C5186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原样品编号</w:t>
            </w:r>
          </w:p>
        </w:tc>
        <w:tc>
          <w:tcPr>
            <w:tcW w:w="1233" w:type="dxa"/>
            <w:vMerge w:val="restart"/>
            <w:vAlign w:val="center"/>
          </w:tcPr>
          <w:p w14:paraId="52B0A7C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样品状态</w:t>
            </w:r>
          </w:p>
        </w:tc>
        <w:tc>
          <w:tcPr>
            <w:tcW w:w="2180" w:type="dxa"/>
            <w:vAlign w:val="center"/>
          </w:tcPr>
          <w:p w14:paraId="1FC1486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检测项目</w:t>
            </w:r>
          </w:p>
        </w:tc>
        <w:tc>
          <w:tcPr>
            <w:tcW w:w="1087" w:type="dxa"/>
            <w:vAlign w:val="center"/>
          </w:tcPr>
          <w:p w14:paraId="4712C12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汞</w:t>
            </w:r>
          </w:p>
        </w:tc>
        <w:tc>
          <w:tcPr>
            <w:tcW w:w="1087" w:type="dxa"/>
            <w:vAlign w:val="center"/>
          </w:tcPr>
          <w:p w14:paraId="53A537B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砷</w:t>
            </w:r>
          </w:p>
        </w:tc>
        <w:tc>
          <w:tcPr>
            <w:tcW w:w="1087" w:type="dxa"/>
            <w:vAlign w:val="center"/>
          </w:tcPr>
          <w:p w14:paraId="029B216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铜</w:t>
            </w:r>
          </w:p>
        </w:tc>
        <w:tc>
          <w:tcPr>
            <w:tcW w:w="1087" w:type="dxa"/>
            <w:vAlign w:val="center"/>
          </w:tcPr>
          <w:p w14:paraId="3DAD6A9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镍</w:t>
            </w:r>
          </w:p>
        </w:tc>
        <w:tc>
          <w:tcPr>
            <w:tcW w:w="1087" w:type="dxa"/>
            <w:vAlign w:val="center"/>
          </w:tcPr>
          <w:p w14:paraId="3DDB9A9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锌</w:t>
            </w:r>
          </w:p>
        </w:tc>
        <w:tc>
          <w:tcPr>
            <w:tcW w:w="1087" w:type="dxa"/>
            <w:vAlign w:val="center"/>
          </w:tcPr>
          <w:p w14:paraId="22596BC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铅</w:t>
            </w:r>
          </w:p>
        </w:tc>
        <w:tc>
          <w:tcPr>
            <w:tcW w:w="1087" w:type="dxa"/>
            <w:vAlign w:val="center"/>
          </w:tcPr>
          <w:p w14:paraId="10AC36C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镉</w:t>
            </w:r>
          </w:p>
        </w:tc>
        <w:tc>
          <w:tcPr>
            <w:tcW w:w="1087" w:type="dxa"/>
            <w:shd w:val="clear" w:color="auto" w:fill="auto"/>
            <w:vAlign w:val="center"/>
          </w:tcPr>
          <w:p w14:paraId="1179E84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六价铬</w:t>
            </w:r>
          </w:p>
        </w:tc>
      </w:tr>
      <w:tr w14:paraId="2C0B4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vMerge w:val="continue"/>
            <w:vAlign w:val="center"/>
          </w:tcPr>
          <w:p w14:paraId="112C2826">
            <w:pPr>
              <w:pStyle w:val="146"/>
              <w:rPr>
                <w:rFonts w:hint="default" w:ascii="Times New Roman" w:hAnsi="Times New Roman" w:eastAsia="宋体" w:cs="Times New Roman"/>
                <w:color w:val="auto"/>
                <w:highlight w:val="none"/>
                <w:lang w:val="en-US" w:eastAsia="zh-CN"/>
              </w:rPr>
            </w:pPr>
          </w:p>
        </w:tc>
        <w:tc>
          <w:tcPr>
            <w:tcW w:w="893" w:type="dxa"/>
            <w:vMerge w:val="continue"/>
            <w:vAlign w:val="center"/>
          </w:tcPr>
          <w:p w14:paraId="5C994A48">
            <w:pPr>
              <w:pStyle w:val="146"/>
              <w:rPr>
                <w:rFonts w:hint="default" w:ascii="Times New Roman" w:hAnsi="Times New Roman" w:eastAsia="宋体" w:cs="Times New Roman"/>
                <w:color w:val="auto"/>
                <w:highlight w:val="none"/>
                <w:lang w:val="en-US" w:eastAsia="zh-CN"/>
              </w:rPr>
            </w:pPr>
          </w:p>
        </w:tc>
        <w:tc>
          <w:tcPr>
            <w:tcW w:w="1233" w:type="dxa"/>
            <w:vMerge w:val="continue"/>
            <w:vAlign w:val="center"/>
          </w:tcPr>
          <w:p w14:paraId="0CA2BC09">
            <w:pPr>
              <w:pStyle w:val="146"/>
              <w:rPr>
                <w:rFonts w:hint="default" w:ascii="Times New Roman" w:hAnsi="Times New Roman" w:eastAsia="宋体" w:cs="Times New Roman"/>
                <w:color w:val="auto"/>
                <w:highlight w:val="none"/>
                <w:lang w:val="en-US" w:eastAsia="zh-CN"/>
              </w:rPr>
            </w:pPr>
          </w:p>
        </w:tc>
        <w:tc>
          <w:tcPr>
            <w:tcW w:w="2180" w:type="dxa"/>
            <w:vAlign w:val="center"/>
          </w:tcPr>
          <w:p w14:paraId="3485D15B">
            <w:pPr>
              <w:pStyle w:val="146"/>
              <w:jc w:val="righ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mc:AlternateContent>
                <mc:Choice Requires="wps">
                  <w:drawing>
                    <wp:anchor distT="0" distB="0" distL="114300" distR="114300" simplePos="0" relativeHeight="251712512" behindDoc="0" locked="0" layoutInCell="1" allowOverlap="1">
                      <wp:simplePos x="0" y="0"/>
                      <wp:positionH relativeFrom="column">
                        <wp:posOffset>-41910</wp:posOffset>
                      </wp:positionH>
                      <wp:positionV relativeFrom="paragraph">
                        <wp:posOffset>17145</wp:posOffset>
                      </wp:positionV>
                      <wp:extent cx="1222375" cy="363220"/>
                      <wp:effectExtent l="1270" t="4445" r="14605" b="13335"/>
                      <wp:wrapNone/>
                      <wp:docPr id="17" name="直接连接符 17"/>
                      <wp:cNvGraphicFramePr/>
                      <a:graphic xmlns:a="http://schemas.openxmlformats.org/drawingml/2006/main">
                        <a:graphicData uri="http://schemas.microsoft.com/office/word/2010/wordprocessingShape">
                          <wps:wsp>
                            <wps:cNvCnPr/>
                            <wps:spPr>
                              <a:xfrm>
                                <a:off x="3573145" y="1812925"/>
                                <a:ext cx="1222375" cy="3632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3pt;margin-top:1.35pt;height:28.6pt;width:96.25pt;z-index:251712512;mso-width-relative:page;mso-height-relative:page;" filled="f" stroked="t" coordsize="21600,21600" o:gfxdata="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0BXex1QAAAAcBAAAPAAAAAAAAAAEAIAAAACIAAABkcnMvZG93bnJldi54bWxQSwEC&#10;FAAUAAAACACHTuJAuCZzafcBAADEAwAADgAAAAAAAAABACAAAAAkAQAAZHJzL2Uyb0RvYy54bWxQ&#10;SwUGAAAAAAYABgBZAQAAjQUAAAAA&#10;">
                      <v:fill on="f" focussize="0,0"/>
                      <v:stroke weight="0.5pt" color="#000000 [3200]" miterlimit="8" joinstyle="miter"/>
                      <v:imagedata o:title=""/>
                      <o:lock v:ext="edit" aspectratio="f"/>
                    </v:line>
                  </w:pict>
                </mc:Fallback>
              </mc:AlternateContent>
            </w:r>
            <w:r>
              <w:rPr>
                <w:rFonts w:hint="eastAsia"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en-US" w:eastAsia="zh-CN"/>
              </w:rPr>
              <w:t>单位</w:t>
            </w:r>
          </w:p>
          <w:p w14:paraId="685DA4FF">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样品编号</w:t>
            </w:r>
          </w:p>
        </w:tc>
        <w:tc>
          <w:tcPr>
            <w:tcW w:w="1087" w:type="dxa"/>
            <w:vAlign w:val="center"/>
          </w:tcPr>
          <w:p w14:paraId="384B3C8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6980C3A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311D373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6780CA4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033DEBC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460C709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15042D8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7D81813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r>
      <w:tr w14:paraId="243E8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3359FDB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牛舍7</w:t>
            </w:r>
          </w:p>
        </w:tc>
        <w:tc>
          <w:tcPr>
            <w:tcW w:w="893" w:type="dxa"/>
            <w:shd w:val="clear" w:color="auto" w:fill="auto"/>
            <w:vAlign w:val="center"/>
          </w:tcPr>
          <w:p w14:paraId="13FA710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7777C1C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vAlign w:val="center"/>
          </w:tcPr>
          <w:p w14:paraId="02B66FA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OQDYM260417L178</w:t>
            </w:r>
          </w:p>
        </w:tc>
        <w:tc>
          <w:tcPr>
            <w:tcW w:w="1087" w:type="dxa"/>
            <w:vAlign w:val="center"/>
          </w:tcPr>
          <w:p w14:paraId="5B48A5F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0.068</w:t>
            </w:r>
          </w:p>
        </w:tc>
        <w:tc>
          <w:tcPr>
            <w:tcW w:w="1087" w:type="dxa"/>
            <w:vAlign w:val="center"/>
          </w:tcPr>
          <w:p w14:paraId="7858550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5.83</w:t>
            </w:r>
          </w:p>
        </w:tc>
        <w:tc>
          <w:tcPr>
            <w:tcW w:w="1087" w:type="dxa"/>
            <w:vAlign w:val="center"/>
          </w:tcPr>
          <w:p w14:paraId="26897E3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1087" w:type="dxa"/>
            <w:vAlign w:val="center"/>
          </w:tcPr>
          <w:p w14:paraId="4BD3C0D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w:t>
            </w:r>
          </w:p>
        </w:tc>
        <w:tc>
          <w:tcPr>
            <w:tcW w:w="1087" w:type="dxa"/>
            <w:vAlign w:val="center"/>
          </w:tcPr>
          <w:p w14:paraId="0AA603E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w:t>
            </w:r>
          </w:p>
        </w:tc>
        <w:tc>
          <w:tcPr>
            <w:tcW w:w="1087" w:type="dxa"/>
            <w:vAlign w:val="center"/>
          </w:tcPr>
          <w:p w14:paraId="0D86715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24.8</w:t>
            </w:r>
          </w:p>
        </w:tc>
        <w:tc>
          <w:tcPr>
            <w:tcW w:w="1087" w:type="dxa"/>
            <w:vAlign w:val="center"/>
          </w:tcPr>
          <w:p w14:paraId="1DF65DD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0.10</w:t>
            </w:r>
          </w:p>
        </w:tc>
        <w:tc>
          <w:tcPr>
            <w:tcW w:w="1087" w:type="dxa"/>
            <w:vAlign w:val="center"/>
          </w:tcPr>
          <w:p w14:paraId="6EDC1D7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ND</w:t>
            </w:r>
          </w:p>
        </w:tc>
      </w:tr>
      <w:tr w14:paraId="7D7D9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1F3BAA6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青贮窖</w:t>
            </w:r>
          </w:p>
        </w:tc>
        <w:tc>
          <w:tcPr>
            <w:tcW w:w="893" w:type="dxa"/>
            <w:shd w:val="clear" w:color="auto" w:fill="auto"/>
            <w:vAlign w:val="center"/>
          </w:tcPr>
          <w:p w14:paraId="696AF5C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0134D31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vAlign w:val="center"/>
          </w:tcPr>
          <w:p w14:paraId="2718CF9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OQDYM260417L179</w:t>
            </w:r>
          </w:p>
        </w:tc>
        <w:tc>
          <w:tcPr>
            <w:tcW w:w="1087" w:type="dxa"/>
            <w:vAlign w:val="center"/>
          </w:tcPr>
          <w:p w14:paraId="4D003BD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0.068</w:t>
            </w:r>
          </w:p>
        </w:tc>
        <w:tc>
          <w:tcPr>
            <w:tcW w:w="1087" w:type="dxa"/>
            <w:vAlign w:val="center"/>
          </w:tcPr>
          <w:p w14:paraId="231541D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5.61</w:t>
            </w:r>
          </w:p>
        </w:tc>
        <w:tc>
          <w:tcPr>
            <w:tcW w:w="1087" w:type="dxa"/>
            <w:vAlign w:val="center"/>
          </w:tcPr>
          <w:p w14:paraId="677B115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1087" w:type="dxa"/>
            <w:vAlign w:val="center"/>
          </w:tcPr>
          <w:p w14:paraId="5637DA3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w:t>
            </w:r>
          </w:p>
        </w:tc>
        <w:tc>
          <w:tcPr>
            <w:tcW w:w="1087" w:type="dxa"/>
            <w:vAlign w:val="center"/>
          </w:tcPr>
          <w:p w14:paraId="675A33A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w:t>
            </w:r>
          </w:p>
        </w:tc>
        <w:tc>
          <w:tcPr>
            <w:tcW w:w="1087" w:type="dxa"/>
            <w:vAlign w:val="center"/>
          </w:tcPr>
          <w:p w14:paraId="00BCABA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21.9</w:t>
            </w:r>
          </w:p>
        </w:tc>
        <w:tc>
          <w:tcPr>
            <w:tcW w:w="1087" w:type="dxa"/>
            <w:vAlign w:val="center"/>
          </w:tcPr>
          <w:p w14:paraId="5FBA0E6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w:t>
            </w:r>
          </w:p>
        </w:tc>
        <w:tc>
          <w:tcPr>
            <w:tcW w:w="1087" w:type="dxa"/>
            <w:vAlign w:val="center"/>
          </w:tcPr>
          <w:p w14:paraId="6F9989B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ND</w:t>
            </w:r>
          </w:p>
        </w:tc>
      </w:tr>
      <w:tr w14:paraId="710C3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0B2EBB4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牛舍20</w:t>
            </w:r>
          </w:p>
        </w:tc>
        <w:tc>
          <w:tcPr>
            <w:tcW w:w="893" w:type="dxa"/>
            <w:shd w:val="clear" w:color="auto" w:fill="auto"/>
            <w:vAlign w:val="center"/>
          </w:tcPr>
          <w:p w14:paraId="0318B7D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42F978E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vAlign w:val="center"/>
          </w:tcPr>
          <w:p w14:paraId="6649E5C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OQDYM260417L180</w:t>
            </w:r>
          </w:p>
        </w:tc>
        <w:tc>
          <w:tcPr>
            <w:tcW w:w="1087" w:type="dxa"/>
            <w:vAlign w:val="center"/>
          </w:tcPr>
          <w:p w14:paraId="05C00B0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0.067</w:t>
            </w:r>
          </w:p>
        </w:tc>
        <w:tc>
          <w:tcPr>
            <w:tcW w:w="1087" w:type="dxa"/>
            <w:vAlign w:val="center"/>
          </w:tcPr>
          <w:p w14:paraId="3FE22270">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5.79</w:t>
            </w:r>
          </w:p>
        </w:tc>
        <w:tc>
          <w:tcPr>
            <w:tcW w:w="1087" w:type="dxa"/>
            <w:vAlign w:val="center"/>
          </w:tcPr>
          <w:p w14:paraId="78C79A7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1087" w:type="dxa"/>
            <w:vAlign w:val="center"/>
          </w:tcPr>
          <w:p w14:paraId="2B81AAC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w:t>
            </w:r>
          </w:p>
        </w:tc>
        <w:tc>
          <w:tcPr>
            <w:tcW w:w="1087" w:type="dxa"/>
            <w:vAlign w:val="center"/>
          </w:tcPr>
          <w:p w14:paraId="52D854A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w:t>
            </w:r>
          </w:p>
        </w:tc>
        <w:tc>
          <w:tcPr>
            <w:tcW w:w="1087" w:type="dxa"/>
            <w:vAlign w:val="center"/>
          </w:tcPr>
          <w:p w14:paraId="6B85185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24.2</w:t>
            </w:r>
          </w:p>
        </w:tc>
        <w:tc>
          <w:tcPr>
            <w:tcW w:w="1087" w:type="dxa"/>
            <w:vAlign w:val="center"/>
          </w:tcPr>
          <w:p w14:paraId="709E931F">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0.11</w:t>
            </w:r>
          </w:p>
        </w:tc>
        <w:tc>
          <w:tcPr>
            <w:tcW w:w="1087" w:type="dxa"/>
            <w:vAlign w:val="center"/>
          </w:tcPr>
          <w:p w14:paraId="32970D1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ND</w:t>
            </w:r>
          </w:p>
        </w:tc>
      </w:tr>
      <w:tr w14:paraId="521F9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1259" w:type="dxa"/>
            <w:vMerge w:val="restart"/>
            <w:vAlign w:val="center"/>
          </w:tcPr>
          <w:p w14:paraId="0FEBDE7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检测点位</w:t>
            </w:r>
          </w:p>
        </w:tc>
        <w:tc>
          <w:tcPr>
            <w:tcW w:w="893" w:type="dxa"/>
            <w:vMerge w:val="restart"/>
            <w:vAlign w:val="center"/>
          </w:tcPr>
          <w:p w14:paraId="17B40B4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原样品编号</w:t>
            </w:r>
          </w:p>
        </w:tc>
        <w:tc>
          <w:tcPr>
            <w:tcW w:w="1233" w:type="dxa"/>
            <w:vMerge w:val="restart"/>
            <w:vAlign w:val="center"/>
          </w:tcPr>
          <w:p w14:paraId="66466EA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样品状态</w:t>
            </w:r>
          </w:p>
        </w:tc>
        <w:tc>
          <w:tcPr>
            <w:tcW w:w="2180" w:type="dxa"/>
            <w:vAlign w:val="center"/>
          </w:tcPr>
          <w:p w14:paraId="7C0BE84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检测项目</w:t>
            </w:r>
          </w:p>
        </w:tc>
        <w:tc>
          <w:tcPr>
            <w:tcW w:w="1087" w:type="dxa"/>
            <w:vAlign w:val="center"/>
          </w:tcPr>
          <w:p w14:paraId="7571894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石油烃</w:t>
            </w:r>
          </w:p>
          <w:p w14:paraId="1210CA8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C10-C40</w:t>
            </w:r>
          </w:p>
        </w:tc>
        <w:tc>
          <w:tcPr>
            <w:tcW w:w="1087" w:type="dxa"/>
            <w:vAlign w:val="center"/>
          </w:tcPr>
          <w:p w14:paraId="5434AB9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pH</w:t>
            </w:r>
          </w:p>
        </w:tc>
        <w:tc>
          <w:tcPr>
            <w:tcW w:w="1087" w:type="dxa"/>
            <w:vAlign w:val="center"/>
          </w:tcPr>
          <w:p w14:paraId="5E74A9E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阳离子</w:t>
            </w:r>
          </w:p>
          <w:p w14:paraId="650526D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交换量</w:t>
            </w:r>
          </w:p>
        </w:tc>
        <w:tc>
          <w:tcPr>
            <w:tcW w:w="2174" w:type="dxa"/>
            <w:gridSpan w:val="2"/>
            <w:vAlign w:val="center"/>
          </w:tcPr>
          <w:p w14:paraId="5B71D66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土壤渗透率(饱和导水率)</w:t>
            </w:r>
          </w:p>
        </w:tc>
        <w:tc>
          <w:tcPr>
            <w:tcW w:w="1087" w:type="dxa"/>
            <w:vAlign w:val="center"/>
          </w:tcPr>
          <w:p w14:paraId="0202AF3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土壤容重</w:t>
            </w:r>
          </w:p>
        </w:tc>
        <w:tc>
          <w:tcPr>
            <w:tcW w:w="1087" w:type="dxa"/>
            <w:vAlign w:val="center"/>
          </w:tcPr>
          <w:p w14:paraId="654B2B0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总孔隙度</w:t>
            </w:r>
          </w:p>
        </w:tc>
        <w:tc>
          <w:tcPr>
            <w:tcW w:w="1087" w:type="dxa"/>
            <w:vAlign w:val="center"/>
          </w:tcPr>
          <w:p w14:paraId="419C247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氧化还原电位</w:t>
            </w:r>
          </w:p>
        </w:tc>
      </w:tr>
      <w:tr w14:paraId="25FE4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vMerge w:val="continue"/>
            <w:vAlign w:val="center"/>
          </w:tcPr>
          <w:p w14:paraId="2CEFB5E0">
            <w:pPr>
              <w:pStyle w:val="146"/>
              <w:rPr>
                <w:rFonts w:hint="default" w:ascii="Times New Roman" w:hAnsi="Times New Roman" w:eastAsia="宋体" w:cs="Times New Roman"/>
                <w:color w:val="auto"/>
                <w:highlight w:val="none"/>
                <w:lang w:val="en-US" w:eastAsia="zh-CN"/>
              </w:rPr>
            </w:pPr>
          </w:p>
        </w:tc>
        <w:tc>
          <w:tcPr>
            <w:tcW w:w="893" w:type="dxa"/>
            <w:vMerge w:val="continue"/>
            <w:vAlign w:val="center"/>
          </w:tcPr>
          <w:p w14:paraId="42BA4CE6">
            <w:pPr>
              <w:pStyle w:val="146"/>
              <w:rPr>
                <w:rFonts w:hint="default" w:ascii="Times New Roman" w:hAnsi="Times New Roman" w:eastAsia="宋体" w:cs="Times New Roman"/>
                <w:color w:val="auto"/>
                <w:highlight w:val="none"/>
                <w:lang w:val="en-US" w:eastAsia="zh-CN"/>
              </w:rPr>
            </w:pPr>
          </w:p>
        </w:tc>
        <w:tc>
          <w:tcPr>
            <w:tcW w:w="1233" w:type="dxa"/>
            <w:vMerge w:val="continue"/>
            <w:vAlign w:val="center"/>
          </w:tcPr>
          <w:p w14:paraId="37C05F51">
            <w:pPr>
              <w:pStyle w:val="146"/>
              <w:rPr>
                <w:rFonts w:hint="default" w:ascii="Times New Roman" w:hAnsi="Times New Roman" w:eastAsia="宋体" w:cs="Times New Roman"/>
                <w:color w:val="auto"/>
                <w:highlight w:val="none"/>
                <w:lang w:val="en-US" w:eastAsia="zh-CN"/>
              </w:rPr>
            </w:pPr>
          </w:p>
        </w:tc>
        <w:tc>
          <w:tcPr>
            <w:tcW w:w="2180" w:type="dxa"/>
            <w:vAlign w:val="center"/>
          </w:tcPr>
          <w:p w14:paraId="39336BC6">
            <w:pPr>
              <w:pStyle w:val="146"/>
              <w:jc w:val="righ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mc:AlternateContent>
                <mc:Choice Requires="wps">
                  <w:drawing>
                    <wp:anchor distT="0" distB="0" distL="114300" distR="114300" simplePos="0" relativeHeight="251713536" behindDoc="0" locked="0" layoutInCell="1" allowOverlap="1">
                      <wp:simplePos x="0" y="0"/>
                      <wp:positionH relativeFrom="column">
                        <wp:posOffset>-41910</wp:posOffset>
                      </wp:positionH>
                      <wp:positionV relativeFrom="paragraph">
                        <wp:posOffset>17145</wp:posOffset>
                      </wp:positionV>
                      <wp:extent cx="1211580" cy="358140"/>
                      <wp:effectExtent l="1270" t="4445" r="6350" b="18415"/>
                      <wp:wrapNone/>
                      <wp:docPr id="18" name="直接连接符 18"/>
                      <wp:cNvGraphicFramePr/>
                      <a:graphic xmlns:a="http://schemas.openxmlformats.org/drawingml/2006/main">
                        <a:graphicData uri="http://schemas.microsoft.com/office/word/2010/wordprocessingShape">
                          <wps:wsp>
                            <wps:cNvCnPr/>
                            <wps:spPr>
                              <a:xfrm>
                                <a:off x="3573145" y="1812925"/>
                                <a:ext cx="1211580" cy="3581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3pt;margin-top:1.35pt;height:28.2pt;width:95.4pt;z-index:251713536;mso-width-relative:page;mso-height-relative:page;" filled="f" stroked="t" coordsize="21600,21600" o:gfxdata="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UedcjVAAAABwEAAA8AAAAAAAAAAQAgAAAAIgAAAGRycy9kb3ducmV2LnhtbFBLAQIU&#10;ABQAAAAIAIdO4kB7Gw5o9gEAAMQDAAAOAAAAAAAAAAEAIAAAACQBAABkcnMvZTJvRG9jLnhtbFBL&#10;BQYAAAAABgAGAFkBAACMBQAAAAA=&#10;">
                      <v:fill on="f" focussize="0,0"/>
                      <v:stroke weight="0.5pt" color="#000000 [3200]" miterlimit="8" joinstyle="miter"/>
                      <v:imagedata o:title=""/>
                      <o:lock v:ext="edit" aspectratio="f"/>
                    </v:line>
                  </w:pict>
                </mc:Fallback>
              </mc:AlternateContent>
            </w:r>
            <w:r>
              <w:rPr>
                <w:rFonts w:hint="default" w:ascii="Times New Roman" w:hAnsi="Times New Roman" w:eastAsia="宋体" w:cs="Times New Roman"/>
                <w:color w:val="auto"/>
                <w:highlight w:val="none"/>
                <w:lang w:val="en-US" w:eastAsia="zh-CN"/>
              </w:rPr>
              <w:t>单位</w:t>
            </w:r>
          </w:p>
          <w:p w14:paraId="1C184E23">
            <w:pPr>
              <w:pStyle w:val="146"/>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样品编号</w:t>
            </w:r>
          </w:p>
        </w:tc>
        <w:tc>
          <w:tcPr>
            <w:tcW w:w="1087" w:type="dxa"/>
            <w:vAlign w:val="center"/>
          </w:tcPr>
          <w:p w14:paraId="550BB71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mg/kg</w:t>
            </w:r>
          </w:p>
        </w:tc>
        <w:tc>
          <w:tcPr>
            <w:tcW w:w="1087" w:type="dxa"/>
            <w:vAlign w:val="center"/>
          </w:tcPr>
          <w:p w14:paraId="302EE5D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无量纲</w:t>
            </w:r>
          </w:p>
        </w:tc>
        <w:tc>
          <w:tcPr>
            <w:tcW w:w="1087" w:type="dxa"/>
            <w:vAlign w:val="center"/>
          </w:tcPr>
          <w:p w14:paraId="2268236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cmol+/kg</w:t>
            </w:r>
          </w:p>
        </w:tc>
        <w:tc>
          <w:tcPr>
            <w:tcW w:w="2174" w:type="dxa"/>
            <w:gridSpan w:val="2"/>
            <w:vAlign w:val="center"/>
          </w:tcPr>
          <w:p w14:paraId="2E7943D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mm/min</w:t>
            </w:r>
          </w:p>
        </w:tc>
        <w:tc>
          <w:tcPr>
            <w:tcW w:w="1087" w:type="dxa"/>
            <w:vAlign w:val="center"/>
          </w:tcPr>
          <w:p w14:paraId="4377EA0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g/cm3</w:t>
            </w:r>
          </w:p>
        </w:tc>
        <w:tc>
          <w:tcPr>
            <w:tcW w:w="1087" w:type="dxa"/>
            <w:vAlign w:val="center"/>
          </w:tcPr>
          <w:p w14:paraId="3F32C07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35BF06E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mV</w:t>
            </w:r>
          </w:p>
        </w:tc>
      </w:tr>
      <w:tr w14:paraId="21510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1192FCA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牛舍7</w:t>
            </w:r>
          </w:p>
        </w:tc>
        <w:tc>
          <w:tcPr>
            <w:tcW w:w="893" w:type="dxa"/>
            <w:shd w:val="clear" w:color="auto" w:fill="auto"/>
            <w:vAlign w:val="center"/>
          </w:tcPr>
          <w:p w14:paraId="6C6197D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1E40BE3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shd w:val="clear" w:color="auto" w:fill="auto"/>
            <w:vAlign w:val="center"/>
          </w:tcPr>
          <w:p w14:paraId="6B7CFB2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OQDYM260417L178</w:t>
            </w:r>
          </w:p>
        </w:tc>
        <w:tc>
          <w:tcPr>
            <w:tcW w:w="1087" w:type="dxa"/>
            <w:vAlign w:val="center"/>
          </w:tcPr>
          <w:p w14:paraId="152E143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1087" w:type="dxa"/>
            <w:vAlign w:val="center"/>
          </w:tcPr>
          <w:p w14:paraId="182B1B9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7.75</w:t>
            </w:r>
          </w:p>
        </w:tc>
        <w:tc>
          <w:tcPr>
            <w:tcW w:w="1087" w:type="dxa"/>
            <w:vAlign w:val="center"/>
          </w:tcPr>
          <w:p w14:paraId="5A9987BC">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174" w:type="dxa"/>
            <w:gridSpan w:val="2"/>
            <w:vAlign w:val="center"/>
          </w:tcPr>
          <w:p w14:paraId="1EF23AD4">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3932B06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312FAC8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7BA9B72B">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460D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14011EB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青贮窖</w:t>
            </w:r>
          </w:p>
        </w:tc>
        <w:tc>
          <w:tcPr>
            <w:tcW w:w="893" w:type="dxa"/>
            <w:shd w:val="clear" w:color="auto" w:fill="auto"/>
            <w:vAlign w:val="center"/>
          </w:tcPr>
          <w:p w14:paraId="17505DF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30756E0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shd w:val="clear" w:color="auto" w:fill="auto"/>
            <w:vAlign w:val="center"/>
          </w:tcPr>
          <w:p w14:paraId="546FB9F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OQDYM260417L179</w:t>
            </w:r>
          </w:p>
        </w:tc>
        <w:tc>
          <w:tcPr>
            <w:tcW w:w="1087" w:type="dxa"/>
            <w:vAlign w:val="center"/>
          </w:tcPr>
          <w:p w14:paraId="159DF0AA">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w:t>
            </w:r>
          </w:p>
        </w:tc>
        <w:tc>
          <w:tcPr>
            <w:tcW w:w="1087" w:type="dxa"/>
            <w:vAlign w:val="center"/>
          </w:tcPr>
          <w:p w14:paraId="0118D67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8.29</w:t>
            </w:r>
          </w:p>
        </w:tc>
        <w:tc>
          <w:tcPr>
            <w:tcW w:w="1087" w:type="dxa"/>
            <w:vAlign w:val="center"/>
          </w:tcPr>
          <w:p w14:paraId="63AE3DE7">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9.7</w:t>
            </w:r>
          </w:p>
        </w:tc>
        <w:tc>
          <w:tcPr>
            <w:tcW w:w="2174" w:type="dxa"/>
            <w:gridSpan w:val="2"/>
            <w:vAlign w:val="center"/>
          </w:tcPr>
          <w:p w14:paraId="175349A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2.13</w:t>
            </w:r>
          </w:p>
        </w:tc>
        <w:tc>
          <w:tcPr>
            <w:tcW w:w="1087" w:type="dxa"/>
            <w:vAlign w:val="center"/>
          </w:tcPr>
          <w:p w14:paraId="3446968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1.47</w:t>
            </w:r>
          </w:p>
        </w:tc>
        <w:tc>
          <w:tcPr>
            <w:tcW w:w="1087" w:type="dxa"/>
            <w:vAlign w:val="center"/>
          </w:tcPr>
          <w:p w14:paraId="1266C7C3">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41.7</w:t>
            </w:r>
          </w:p>
        </w:tc>
        <w:tc>
          <w:tcPr>
            <w:tcW w:w="1087" w:type="dxa"/>
            <w:vAlign w:val="center"/>
          </w:tcPr>
          <w:p w14:paraId="7607135E">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452</w:t>
            </w:r>
          </w:p>
        </w:tc>
      </w:tr>
      <w:tr w14:paraId="4596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59" w:type="dxa"/>
            <w:shd w:val="clear" w:color="auto" w:fill="auto"/>
            <w:vAlign w:val="center"/>
          </w:tcPr>
          <w:p w14:paraId="6A724E4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牛舍20</w:t>
            </w:r>
          </w:p>
        </w:tc>
        <w:tc>
          <w:tcPr>
            <w:tcW w:w="893" w:type="dxa"/>
            <w:shd w:val="clear" w:color="auto" w:fill="auto"/>
            <w:vAlign w:val="center"/>
          </w:tcPr>
          <w:p w14:paraId="55A5BD7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233" w:type="dxa"/>
            <w:shd w:val="clear" w:color="auto" w:fill="auto"/>
            <w:vAlign w:val="center"/>
          </w:tcPr>
          <w:p w14:paraId="564B551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固体土壤</w:t>
            </w:r>
          </w:p>
        </w:tc>
        <w:tc>
          <w:tcPr>
            <w:tcW w:w="2180" w:type="dxa"/>
            <w:shd w:val="clear" w:color="auto" w:fill="auto"/>
            <w:vAlign w:val="center"/>
          </w:tcPr>
          <w:p w14:paraId="2A84E77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OQDYM260417L180</w:t>
            </w:r>
          </w:p>
        </w:tc>
        <w:tc>
          <w:tcPr>
            <w:tcW w:w="1087" w:type="dxa"/>
            <w:vAlign w:val="center"/>
          </w:tcPr>
          <w:p w14:paraId="2EBD1F5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w:t>
            </w:r>
          </w:p>
        </w:tc>
        <w:tc>
          <w:tcPr>
            <w:tcW w:w="1087" w:type="dxa"/>
            <w:vAlign w:val="center"/>
          </w:tcPr>
          <w:p w14:paraId="72D6C505">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8.08</w:t>
            </w:r>
          </w:p>
        </w:tc>
        <w:tc>
          <w:tcPr>
            <w:tcW w:w="1087" w:type="dxa"/>
            <w:vAlign w:val="center"/>
          </w:tcPr>
          <w:p w14:paraId="342E9B46">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2174" w:type="dxa"/>
            <w:gridSpan w:val="2"/>
            <w:vAlign w:val="center"/>
          </w:tcPr>
          <w:p w14:paraId="0B0A0B79">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44868E08">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5DACDCED">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1087" w:type="dxa"/>
            <w:vAlign w:val="center"/>
          </w:tcPr>
          <w:p w14:paraId="348D3731">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bl>
    <w:p w14:paraId="33FE3402">
      <w:pPr>
        <w:pStyle w:val="6"/>
        <w:rPr>
          <w:rFonts w:hint="default" w:ascii="Times New Roman" w:hAnsi="Times New Roman" w:cs="Times New Roman"/>
          <w:snapToGrid w:val="0"/>
          <w:color w:val="auto"/>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425" w:num="1"/>
          <w:docGrid w:type="linesAndChars" w:linePitch="326" w:charSpace="0"/>
        </w:sectPr>
      </w:pPr>
    </w:p>
    <w:p w14:paraId="730C85FF">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4.2.5.2土壤环境质量现状评价</w:t>
      </w:r>
    </w:p>
    <w:p w14:paraId="072387F7">
      <w:pPr>
        <w:adjustRightInd/>
        <w:snapToGrid/>
        <w:spacing w:line="500" w:lineRule="exact"/>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（1）评价标准与评价方法</w:t>
      </w:r>
    </w:p>
    <w:p w14:paraId="09F0B69C">
      <w:pPr>
        <w:adjustRightInd/>
        <w:snapToGrid/>
        <w:spacing w:line="500" w:lineRule="exact"/>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土壤监测因子执行《</w:t>
      </w:r>
      <w:r>
        <w:rPr>
          <w:rFonts w:hint="default" w:ascii="Times New Roman" w:hAnsi="Times New Roman" w:eastAsia="宋体" w:cs="Times New Roman"/>
          <w:snapToGrid w:val="0"/>
          <w:color w:val="auto"/>
          <w:kern w:val="0"/>
          <w:highlight w:val="none"/>
          <w:lang w:val="zh-CN"/>
        </w:rPr>
        <w:fldChar w:fldCharType="begin"/>
      </w:r>
      <w:r>
        <w:rPr>
          <w:rFonts w:hint="default" w:ascii="Times New Roman" w:hAnsi="Times New Roman" w:eastAsia="宋体" w:cs="Times New Roman"/>
          <w:snapToGrid w:val="0"/>
          <w:color w:val="auto"/>
          <w:kern w:val="0"/>
          <w:highlight w:val="none"/>
          <w:lang w:val="zh-CN"/>
        </w:rPr>
        <w:instrText xml:space="preserve"> HYPERLINK "https://www.mee.gov.cn/ywgz/fgbz/bz/bzwb/trhj/201807/W020190626596188930731.pdf" </w:instrText>
      </w:r>
      <w:r>
        <w:rPr>
          <w:rFonts w:hint="default" w:ascii="Times New Roman" w:hAnsi="Times New Roman" w:eastAsia="宋体" w:cs="Times New Roman"/>
          <w:snapToGrid w:val="0"/>
          <w:color w:val="auto"/>
          <w:kern w:val="0"/>
          <w:highlight w:val="none"/>
          <w:lang w:val="zh-CN"/>
        </w:rPr>
        <w:fldChar w:fldCharType="separate"/>
      </w:r>
      <w:r>
        <w:rPr>
          <w:rFonts w:hint="eastAsia" w:ascii="Times New Roman" w:hAnsi="Times New Roman" w:eastAsia="宋体" w:cs="Times New Roman"/>
          <w:snapToGrid w:val="0"/>
          <w:color w:val="auto"/>
          <w:kern w:val="0"/>
          <w:highlight w:val="none"/>
          <w:lang w:val="zh-CN"/>
        </w:rPr>
        <w:t>土壤环境质量 建设用地土壤污染风险管控标准（试行）</w:t>
      </w:r>
      <w:r>
        <w:rPr>
          <w:rFonts w:hint="default" w:ascii="Times New Roman" w:hAnsi="Times New Roman" w:eastAsia="宋体" w:cs="Times New Roman"/>
          <w:snapToGrid w:val="0"/>
          <w:color w:val="auto"/>
          <w:kern w:val="0"/>
          <w:highlight w:val="none"/>
          <w:lang w:val="zh-CN"/>
        </w:rPr>
        <w:t>》</w:t>
      </w:r>
      <w:r>
        <w:rPr>
          <w:rFonts w:hint="eastAsia" w:ascii="Times New Roman" w:hAnsi="Times New Roman" w:eastAsia="宋体" w:cs="Times New Roman"/>
          <w:snapToGrid w:val="0"/>
          <w:color w:val="auto"/>
          <w:kern w:val="0"/>
          <w:highlight w:val="none"/>
          <w:lang w:val="zh-CN"/>
        </w:rPr>
        <w:t>(GB36600—2018)</w:t>
      </w:r>
      <w:r>
        <w:rPr>
          <w:rFonts w:hint="eastAsia" w:ascii="Times New Roman" w:hAnsi="Times New Roman" w:eastAsia="宋体" w:cs="Times New Roman"/>
          <w:snapToGrid w:val="0"/>
          <w:color w:val="auto"/>
          <w:kern w:val="0"/>
          <w:highlight w:val="none"/>
          <w:lang w:val="zh-CN"/>
        </w:rPr>
        <w:fldChar w:fldCharType="end"/>
      </w:r>
      <w:r>
        <w:rPr>
          <w:rFonts w:hint="default" w:ascii="Times New Roman" w:hAnsi="Times New Roman" w:eastAsia="宋体" w:cs="Times New Roman"/>
          <w:snapToGrid w:val="0"/>
          <w:color w:val="auto"/>
          <w:kern w:val="0"/>
          <w:highlight w:val="none"/>
          <w:lang w:val="zh-CN"/>
        </w:rPr>
        <w:t>表1中</w:t>
      </w:r>
      <w:r>
        <w:rPr>
          <w:rFonts w:hint="eastAsia" w:cs="Times New Roman"/>
          <w:snapToGrid w:val="0"/>
          <w:color w:val="auto"/>
          <w:kern w:val="0"/>
          <w:highlight w:val="none"/>
          <w:lang w:val="en-US" w:eastAsia="zh-CN"/>
        </w:rPr>
        <w:t>二类</w:t>
      </w:r>
      <w:r>
        <w:rPr>
          <w:rFonts w:hint="default" w:ascii="Times New Roman" w:hAnsi="Times New Roman" w:eastAsia="宋体" w:cs="Times New Roman"/>
          <w:snapToGrid w:val="0"/>
          <w:color w:val="auto"/>
          <w:kern w:val="0"/>
          <w:highlight w:val="none"/>
          <w:lang w:val="zh-CN"/>
        </w:rPr>
        <w:t>用地</w:t>
      </w:r>
      <w:r>
        <w:rPr>
          <w:rFonts w:hint="eastAsia" w:cs="Times New Roman"/>
          <w:snapToGrid w:val="0"/>
          <w:color w:val="auto"/>
          <w:kern w:val="0"/>
          <w:highlight w:val="none"/>
          <w:lang w:val="en-US" w:eastAsia="zh-CN"/>
        </w:rPr>
        <w:t>筛选值</w:t>
      </w:r>
      <w:r>
        <w:rPr>
          <w:rFonts w:hint="default" w:ascii="Times New Roman" w:hAnsi="Times New Roman" w:eastAsia="宋体" w:cs="Times New Roman"/>
          <w:snapToGrid w:val="0"/>
          <w:color w:val="auto"/>
          <w:kern w:val="0"/>
          <w:highlight w:val="none"/>
          <w:lang w:val="zh-CN"/>
        </w:rPr>
        <w:t>标准限值要求</w:t>
      </w:r>
      <w:r>
        <w:rPr>
          <w:rFonts w:hint="eastAsia" w:cs="Times New Roman"/>
          <w:snapToGrid w:val="0"/>
          <w:color w:val="auto"/>
          <w:kern w:val="0"/>
          <w:highlight w:val="none"/>
          <w:lang w:val="zh-CN"/>
        </w:rPr>
        <w:t>，</w:t>
      </w:r>
      <w:r>
        <w:rPr>
          <w:rFonts w:hint="eastAsia" w:cs="Times New Roman"/>
          <w:snapToGrid w:val="0"/>
          <w:color w:val="auto"/>
          <w:kern w:val="0"/>
          <w:highlight w:val="none"/>
          <w:lang w:val="en-US" w:eastAsia="zh-CN"/>
        </w:rPr>
        <w:t>石油烃执行表2二类</w:t>
      </w:r>
      <w:r>
        <w:rPr>
          <w:rFonts w:hint="default" w:ascii="Times New Roman" w:hAnsi="Times New Roman" w:eastAsia="宋体" w:cs="Times New Roman"/>
          <w:snapToGrid w:val="0"/>
          <w:color w:val="auto"/>
          <w:kern w:val="0"/>
          <w:highlight w:val="none"/>
          <w:lang w:val="zh-CN"/>
        </w:rPr>
        <w:t>用地</w:t>
      </w:r>
      <w:r>
        <w:rPr>
          <w:rFonts w:hint="eastAsia" w:cs="Times New Roman"/>
          <w:snapToGrid w:val="0"/>
          <w:color w:val="auto"/>
          <w:kern w:val="0"/>
          <w:highlight w:val="none"/>
          <w:lang w:val="en-US" w:eastAsia="zh-CN"/>
        </w:rPr>
        <w:t>筛选值</w:t>
      </w:r>
      <w:r>
        <w:rPr>
          <w:rFonts w:hint="default" w:ascii="Times New Roman" w:hAnsi="Times New Roman" w:eastAsia="宋体" w:cs="Times New Roman"/>
          <w:snapToGrid w:val="0"/>
          <w:color w:val="auto"/>
          <w:kern w:val="0"/>
          <w:highlight w:val="none"/>
          <w:lang w:val="zh-CN"/>
        </w:rPr>
        <w:t>标准限值要求。评价方法采样监测结果与评价标准值比值进行土壤环境质量评价。</w:t>
      </w:r>
    </w:p>
    <w:p w14:paraId="182B75C8">
      <w:pPr>
        <w:adjustRightInd/>
        <w:snapToGrid/>
        <w:spacing w:line="500" w:lineRule="exact"/>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采用污染指数法对土壤进行评价：</w:t>
      </w:r>
    </w:p>
    <w:p w14:paraId="4EE4B259">
      <w:pPr>
        <w:spacing w:line="500" w:lineRule="exact"/>
        <w:ind w:firstLine="0" w:firstLineChars="0"/>
        <w:jc w:val="center"/>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Pi=Ci/Si</w:t>
      </w:r>
    </w:p>
    <w:p w14:paraId="1ACDFAAF">
      <w:pPr>
        <w:spacing w:line="500" w:lineRule="exact"/>
        <w:ind w:firstLine="0" w:firstLineChars="0"/>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式中：Pi-污染指数</w:t>
      </w:r>
    </w:p>
    <w:p w14:paraId="743F9E47">
      <w:pPr>
        <w:spacing w:line="500" w:lineRule="exact"/>
        <w:ind w:firstLine="720" w:firstLineChars="300"/>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Ci-土壤质量参数的实测值，mg/kg；</w:t>
      </w:r>
    </w:p>
    <w:p w14:paraId="72A06282">
      <w:pPr>
        <w:spacing w:line="500" w:lineRule="exact"/>
        <w:ind w:firstLine="720" w:firstLineChars="300"/>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Si-土壤质量参数的标准值，mg/kg；</w:t>
      </w:r>
    </w:p>
    <w:p w14:paraId="590C367B">
      <w:pPr>
        <w:spacing w:line="500" w:lineRule="exact"/>
        <w:ind w:firstLine="720" w:firstLineChars="300"/>
        <w:rPr>
          <w:rFonts w:hint="default" w:ascii="Times New Roman" w:hAnsi="Times New Roman" w:eastAsia="宋体" w:cs="Times New Roman"/>
          <w:snapToGrid w:val="0"/>
          <w:color w:val="auto"/>
          <w:kern w:val="0"/>
          <w:highlight w:val="none"/>
          <w:lang w:val="zh-CN"/>
        </w:rPr>
      </w:pPr>
      <w:r>
        <w:rPr>
          <w:rFonts w:hint="default" w:ascii="Times New Roman" w:hAnsi="Times New Roman" w:eastAsia="宋体" w:cs="Times New Roman"/>
          <w:snapToGrid w:val="0"/>
          <w:color w:val="auto"/>
          <w:kern w:val="0"/>
          <w:highlight w:val="none"/>
          <w:lang w:val="zh-CN"/>
        </w:rPr>
        <w:t>（2）评价结果</w:t>
      </w:r>
    </w:p>
    <w:p w14:paraId="4F4E2F3D">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表4-2-2</w:t>
      </w:r>
      <w:r>
        <w:rPr>
          <w:rFonts w:hint="eastAsia" w:eastAsia="黑体" w:cs="Times New Roman"/>
          <w:snapToGrid w:val="0"/>
          <w:color w:val="auto"/>
          <w:kern w:val="0"/>
          <w:highlight w:val="none"/>
          <w:lang w:val="en-US" w:eastAsia="zh-CN"/>
        </w:rPr>
        <w:t>2</w:t>
      </w:r>
      <w:r>
        <w:rPr>
          <w:rFonts w:hint="default" w:ascii="Times New Roman" w:hAnsi="Times New Roman" w:eastAsia="黑体" w:cs="Times New Roman"/>
          <w:snapToGrid w:val="0"/>
          <w:color w:val="auto"/>
          <w:kern w:val="0"/>
          <w:highlight w:val="none"/>
          <w:lang w:val="zh-CN"/>
        </w:rPr>
        <w:t>土壤环境质量现状评价结果表</w:t>
      </w:r>
    </w:p>
    <w:tbl>
      <w:tblPr>
        <w:tblStyle w:val="47"/>
        <w:tblW w:w="48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7"/>
        <w:gridCol w:w="1039"/>
        <w:gridCol w:w="1037"/>
        <w:gridCol w:w="935"/>
        <w:gridCol w:w="2531"/>
        <w:gridCol w:w="1209"/>
      </w:tblGrid>
      <w:tr w14:paraId="190F6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Merge w:val="restart"/>
            <w:vAlign w:val="center"/>
          </w:tcPr>
          <w:p w14:paraId="05F160E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1858" w:type="pct"/>
            <w:gridSpan w:val="3"/>
            <w:vAlign w:val="center"/>
          </w:tcPr>
          <w:p w14:paraId="5101F4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p>
        </w:tc>
        <w:tc>
          <w:tcPr>
            <w:tcW w:w="1562" w:type="pct"/>
            <w:vMerge w:val="restart"/>
            <w:vAlign w:val="center"/>
          </w:tcPr>
          <w:p w14:paraId="1E1CDD82">
            <w:pPr>
              <w:pStyle w:val="146"/>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lang w:val="zh-CN"/>
              </w:rPr>
              <w:fldChar w:fldCharType="begin"/>
            </w:r>
            <w:r>
              <w:rPr>
                <w:rFonts w:hint="default" w:ascii="Times New Roman" w:hAnsi="Times New Roman" w:eastAsia="宋体" w:cs="Times New Roman"/>
                <w:color w:val="auto"/>
                <w:highlight w:val="none"/>
                <w:lang w:val="zh-CN"/>
              </w:rPr>
              <w:instrText xml:space="preserve"> HYPERLINK "https://www.mee.gov.cn/ywgz/fgbz/bz/bzwb/trhj/201807/W020190626596188930731.pdf" </w:instrText>
            </w:r>
            <w:r>
              <w:rPr>
                <w:rFonts w:hint="default" w:ascii="Times New Roman" w:hAnsi="Times New Roman" w:eastAsia="宋体" w:cs="Times New Roman"/>
                <w:color w:val="auto"/>
                <w:highlight w:val="none"/>
                <w:lang w:val="zh-CN"/>
              </w:rPr>
              <w:fldChar w:fldCharType="separate"/>
            </w:r>
            <w:r>
              <w:rPr>
                <w:rFonts w:hint="eastAsia" w:ascii="Times New Roman" w:hAnsi="Times New Roman" w:eastAsia="宋体" w:cs="Times New Roman"/>
                <w:color w:val="auto"/>
                <w:highlight w:val="none"/>
                <w:lang w:val="zh-CN"/>
              </w:rPr>
              <w:t>土壤环境质量 建设用地土壤污染风险管控标准（试行）</w:t>
            </w:r>
            <w:r>
              <w:rPr>
                <w:rFonts w:hint="default" w:ascii="Times New Roman" w:hAnsi="Times New Roman" w:eastAsia="宋体" w:cs="Times New Roman"/>
                <w:color w:val="auto"/>
                <w:highlight w:val="none"/>
                <w:lang w:val="zh-CN"/>
              </w:rPr>
              <w:t>》</w:t>
            </w:r>
            <w:r>
              <w:rPr>
                <w:rFonts w:hint="eastAsia" w:ascii="Times New Roman" w:hAnsi="Times New Roman" w:eastAsia="宋体" w:cs="Times New Roman"/>
                <w:color w:val="auto"/>
                <w:highlight w:val="none"/>
                <w:lang w:val="zh-CN"/>
              </w:rPr>
              <w:t>(GB36600—2018)</w:t>
            </w:r>
            <w:r>
              <w:rPr>
                <w:rFonts w:hint="eastAsia" w:ascii="Times New Roman" w:hAnsi="Times New Roman" w:eastAsia="宋体" w:cs="Times New Roman"/>
                <w:color w:val="auto"/>
                <w:highlight w:val="none"/>
                <w:lang w:val="zh-CN"/>
              </w:rPr>
              <w:fldChar w:fldCharType="end"/>
            </w:r>
            <w:r>
              <w:rPr>
                <w:rFonts w:hint="eastAsia" w:ascii="Times New Roman" w:hAnsi="Times New Roman" w:eastAsia="宋体" w:cs="Times New Roman"/>
                <w:color w:val="auto"/>
                <w:highlight w:val="none"/>
                <w:lang w:val="en-US" w:eastAsia="zh-CN"/>
              </w:rPr>
              <w:t>标准限值（mg/kg）</w:t>
            </w:r>
          </w:p>
        </w:tc>
        <w:tc>
          <w:tcPr>
            <w:tcW w:w="746" w:type="pct"/>
            <w:vMerge w:val="restart"/>
            <w:vAlign w:val="center"/>
          </w:tcPr>
          <w:p w14:paraId="5BB158C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达标情况</w:t>
            </w:r>
          </w:p>
        </w:tc>
      </w:tr>
      <w:tr w14:paraId="198A9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Merge w:val="continue"/>
            <w:vAlign w:val="center"/>
          </w:tcPr>
          <w:p w14:paraId="639A6156">
            <w:pPr>
              <w:pStyle w:val="146"/>
              <w:rPr>
                <w:rFonts w:hint="default" w:ascii="Times New Roman" w:hAnsi="Times New Roman" w:eastAsia="宋体" w:cs="Times New Roman"/>
                <w:color w:val="auto"/>
                <w:highlight w:val="none"/>
              </w:rPr>
            </w:pPr>
          </w:p>
        </w:tc>
        <w:tc>
          <w:tcPr>
            <w:tcW w:w="641" w:type="pct"/>
            <w:vAlign w:val="center"/>
          </w:tcPr>
          <w:p w14:paraId="180E10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640" w:type="pct"/>
            <w:vAlign w:val="center"/>
          </w:tcPr>
          <w:p w14:paraId="62419D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577" w:type="pct"/>
            <w:vAlign w:val="center"/>
          </w:tcPr>
          <w:p w14:paraId="7F9BD7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562" w:type="pct"/>
            <w:vMerge w:val="continue"/>
            <w:vAlign w:val="center"/>
          </w:tcPr>
          <w:p w14:paraId="1A5BD43A">
            <w:pPr>
              <w:pStyle w:val="146"/>
              <w:rPr>
                <w:rFonts w:hint="default" w:ascii="Times New Roman" w:hAnsi="Times New Roman" w:eastAsia="宋体" w:cs="Times New Roman"/>
                <w:color w:val="auto"/>
                <w:highlight w:val="none"/>
              </w:rPr>
            </w:pPr>
          </w:p>
        </w:tc>
        <w:tc>
          <w:tcPr>
            <w:tcW w:w="746" w:type="pct"/>
            <w:vMerge w:val="continue"/>
            <w:vAlign w:val="center"/>
          </w:tcPr>
          <w:p w14:paraId="0B4BEF4E">
            <w:pPr>
              <w:pStyle w:val="146"/>
              <w:rPr>
                <w:rFonts w:hint="default" w:ascii="Times New Roman" w:hAnsi="Times New Roman" w:eastAsia="宋体" w:cs="Times New Roman"/>
                <w:color w:val="auto"/>
                <w:highlight w:val="none"/>
              </w:rPr>
            </w:pPr>
          </w:p>
        </w:tc>
      </w:tr>
      <w:tr w14:paraId="43C64D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010569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641" w:type="pct"/>
            <w:vAlign w:val="center"/>
          </w:tcPr>
          <w:p w14:paraId="69AE3074">
            <w:pPr>
              <w:pStyle w:val="146"/>
              <w:rPr>
                <w:rFonts w:hint="default" w:ascii="Times New Roman" w:hAnsi="Times New Roman" w:eastAsia="宋体" w:cs="Times New Roman"/>
                <w:color w:val="auto"/>
                <w:highlight w:val="none"/>
                <w:lang w:val="en-US" w:eastAsia="zh-CN"/>
              </w:rPr>
            </w:pPr>
          </w:p>
        </w:tc>
        <w:tc>
          <w:tcPr>
            <w:tcW w:w="640" w:type="pct"/>
            <w:vAlign w:val="center"/>
          </w:tcPr>
          <w:p w14:paraId="620A5D15">
            <w:pPr>
              <w:pStyle w:val="146"/>
              <w:rPr>
                <w:rFonts w:hint="default" w:ascii="Times New Roman" w:hAnsi="Times New Roman" w:eastAsia="宋体" w:cs="Times New Roman"/>
                <w:color w:val="auto"/>
                <w:highlight w:val="none"/>
                <w:lang w:val="en-US" w:eastAsia="zh-CN"/>
              </w:rPr>
            </w:pPr>
          </w:p>
        </w:tc>
        <w:tc>
          <w:tcPr>
            <w:tcW w:w="577" w:type="pct"/>
            <w:vAlign w:val="center"/>
          </w:tcPr>
          <w:p w14:paraId="4F5C99ED">
            <w:pPr>
              <w:pStyle w:val="146"/>
              <w:rPr>
                <w:rFonts w:hint="default" w:ascii="Times New Roman" w:hAnsi="Times New Roman" w:eastAsia="宋体" w:cs="Times New Roman"/>
                <w:color w:val="auto"/>
                <w:highlight w:val="none"/>
                <w:lang w:val="en-US" w:eastAsia="zh-CN"/>
              </w:rPr>
            </w:pPr>
          </w:p>
        </w:tc>
        <w:tc>
          <w:tcPr>
            <w:tcW w:w="1562" w:type="pct"/>
            <w:vAlign w:val="center"/>
          </w:tcPr>
          <w:p w14:paraId="0C4C558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4500</w:t>
            </w:r>
          </w:p>
        </w:tc>
        <w:tc>
          <w:tcPr>
            <w:tcW w:w="746" w:type="pct"/>
            <w:vAlign w:val="center"/>
          </w:tcPr>
          <w:p w14:paraId="223D7FB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1EBEF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6B564F1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641" w:type="pct"/>
            <w:vAlign w:val="center"/>
          </w:tcPr>
          <w:p w14:paraId="5E06A13D">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0.002</w:t>
            </w:r>
          </w:p>
        </w:tc>
        <w:tc>
          <w:tcPr>
            <w:tcW w:w="640" w:type="pct"/>
            <w:vAlign w:val="center"/>
          </w:tcPr>
          <w:p w14:paraId="10141B8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0.002</w:t>
            </w:r>
          </w:p>
        </w:tc>
        <w:tc>
          <w:tcPr>
            <w:tcW w:w="577" w:type="pct"/>
            <w:vAlign w:val="center"/>
          </w:tcPr>
          <w:p w14:paraId="6897D39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0.002</w:t>
            </w:r>
          </w:p>
        </w:tc>
        <w:tc>
          <w:tcPr>
            <w:tcW w:w="1562" w:type="pct"/>
            <w:vAlign w:val="center"/>
          </w:tcPr>
          <w:p w14:paraId="079B5E5E">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38</w:t>
            </w:r>
          </w:p>
        </w:tc>
        <w:tc>
          <w:tcPr>
            <w:tcW w:w="746" w:type="pct"/>
            <w:vAlign w:val="center"/>
          </w:tcPr>
          <w:p w14:paraId="314B7B8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71574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661AEA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641" w:type="pct"/>
            <w:shd w:val="clear" w:color="auto" w:fill="auto"/>
            <w:vAlign w:val="center"/>
          </w:tcPr>
          <w:p w14:paraId="1EB5DB08">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0.1</w:t>
            </w:r>
            <w:r>
              <w:rPr>
                <w:rFonts w:hint="eastAsia" w:eastAsia="宋体" w:cs="Times New Roman"/>
                <w:color w:val="auto"/>
                <w:highlight w:val="none"/>
                <w:lang w:val="en-US" w:eastAsia="zh-CN"/>
              </w:rPr>
              <w:t>0</w:t>
            </w:r>
          </w:p>
        </w:tc>
        <w:tc>
          <w:tcPr>
            <w:tcW w:w="640" w:type="pct"/>
            <w:shd w:val="clear" w:color="auto" w:fill="auto"/>
            <w:vAlign w:val="center"/>
          </w:tcPr>
          <w:p w14:paraId="25CEC7EB">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09</w:t>
            </w:r>
          </w:p>
        </w:tc>
        <w:tc>
          <w:tcPr>
            <w:tcW w:w="577" w:type="pct"/>
            <w:shd w:val="clear" w:color="auto" w:fill="auto"/>
            <w:vAlign w:val="center"/>
          </w:tcPr>
          <w:p w14:paraId="04E1C0A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highlight w:val="none"/>
                <w:lang w:val="en-US" w:eastAsia="zh-CN"/>
              </w:rPr>
              <w:t>0.1</w:t>
            </w:r>
            <w:r>
              <w:rPr>
                <w:rFonts w:hint="eastAsia" w:eastAsia="宋体" w:cs="Times New Roman"/>
                <w:color w:val="auto"/>
                <w:highlight w:val="none"/>
                <w:lang w:val="en-US" w:eastAsia="zh-CN"/>
              </w:rPr>
              <w:t>0</w:t>
            </w:r>
          </w:p>
        </w:tc>
        <w:tc>
          <w:tcPr>
            <w:tcW w:w="1562" w:type="pct"/>
            <w:vAlign w:val="center"/>
          </w:tcPr>
          <w:p w14:paraId="0E411DA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60</w:t>
            </w:r>
          </w:p>
        </w:tc>
        <w:tc>
          <w:tcPr>
            <w:tcW w:w="746" w:type="pct"/>
            <w:vAlign w:val="center"/>
          </w:tcPr>
          <w:p w14:paraId="4FBB6DD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2D895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2993C52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641" w:type="pct"/>
            <w:vAlign w:val="center"/>
          </w:tcPr>
          <w:p w14:paraId="6CA198D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0.03</w:t>
            </w:r>
          </w:p>
        </w:tc>
        <w:tc>
          <w:tcPr>
            <w:tcW w:w="640" w:type="pct"/>
            <w:vAlign w:val="center"/>
          </w:tcPr>
          <w:p w14:paraId="6463E494">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0.03</w:t>
            </w:r>
          </w:p>
        </w:tc>
        <w:tc>
          <w:tcPr>
            <w:tcW w:w="577" w:type="pct"/>
            <w:vAlign w:val="center"/>
          </w:tcPr>
          <w:p w14:paraId="48EB467F">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0.03</w:t>
            </w:r>
          </w:p>
        </w:tc>
        <w:tc>
          <w:tcPr>
            <w:tcW w:w="1562" w:type="pct"/>
            <w:vAlign w:val="center"/>
          </w:tcPr>
          <w:p w14:paraId="4301005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800</w:t>
            </w:r>
          </w:p>
        </w:tc>
        <w:tc>
          <w:tcPr>
            <w:tcW w:w="746" w:type="pct"/>
            <w:vAlign w:val="center"/>
          </w:tcPr>
          <w:p w14:paraId="12009CE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0803D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1DCB688F">
            <w:pPr>
              <w:pStyle w:val="146"/>
              <w:rPr>
                <w:rFonts w:hint="eastAsia" w:eastAsia="宋体" w:cs="Times New Roman"/>
                <w:color w:val="auto"/>
                <w:highlight w:val="none"/>
                <w:lang w:val="en-US" w:eastAsia="zh-CN"/>
              </w:rPr>
            </w:pPr>
            <w:r>
              <w:rPr>
                <w:rFonts w:hint="default" w:eastAsia="宋体" w:cs="Times New Roman"/>
                <w:color w:val="auto"/>
                <w:highlight w:val="none"/>
                <w:lang w:val="en-US" w:eastAsia="zh-CN"/>
              </w:rPr>
              <w:t>铬</w:t>
            </w:r>
            <w:r>
              <w:rPr>
                <w:rFonts w:hint="eastAsia" w:eastAsia="宋体" w:cs="Times New Roman"/>
                <w:color w:val="auto"/>
                <w:highlight w:val="none"/>
                <w:lang w:val="en-US" w:eastAsia="zh-CN"/>
              </w:rPr>
              <w:t>（</w:t>
            </w:r>
            <w:r>
              <w:rPr>
                <w:rFonts w:hint="eastAsia" w:eastAsia="宋体" w:cs="Times New Roman"/>
                <w:color w:val="auto"/>
                <w:highlight w:val="none"/>
                <w:lang w:val="en-US" w:eastAsia="zh-CN"/>
              </w:rPr>
              <w:t>六价）</w:t>
            </w:r>
          </w:p>
        </w:tc>
        <w:tc>
          <w:tcPr>
            <w:tcW w:w="641" w:type="pct"/>
            <w:vAlign w:val="center"/>
          </w:tcPr>
          <w:p w14:paraId="386027AA">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w:t>
            </w:r>
          </w:p>
        </w:tc>
        <w:tc>
          <w:tcPr>
            <w:tcW w:w="640" w:type="pct"/>
            <w:vAlign w:val="center"/>
          </w:tcPr>
          <w:p w14:paraId="5895B6D4">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w:t>
            </w:r>
          </w:p>
        </w:tc>
        <w:tc>
          <w:tcPr>
            <w:tcW w:w="577" w:type="pct"/>
            <w:vAlign w:val="center"/>
          </w:tcPr>
          <w:p w14:paraId="3C7BEC45">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w:t>
            </w:r>
          </w:p>
        </w:tc>
        <w:tc>
          <w:tcPr>
            <w:tcW w:w="1562" w:type="pct"/>
            <w:vAlign w:val="center"/>
          </w:tcPr>
          <w:p w14:paraId="188B814D">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5.7</w:t>
            </w:r>
          </w:p>
        </w:tc>
        <w:tc>
          <w:tcPr>
            <w:tcW w:w="746" w:type="pct"/>
            <w:vAlign w:val="center"/>
          </w:tcPr>
          <w:p w14:paraId="062D021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48089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2516B0CD">
            <w:pPr>
              <w:pStyle w:val="146"/>
              <w:rPr>
                <w:rFonts w:hint="default" w:eastAsia="宋体" w:cs="Times New Roman"/>
                <w:color w:val="auto"/>
                <w:highlight w:val="none"/>
                <w:lang w:val="en-US" w:eastAsia="zh-CN"/>
              </w:rPr>
            </w:pPr>
            <w:r>
              <w:rPr>
                <w:rFonts w:hint="default" w:eastAsia="宋体" w:cs="Times New Roman"/>
                <w:color w:val="auto"/>
                <w:highlight w:val="none"/>
                <w:lang w:val="en-US" w:eastAsia="zh-CN"/>
              </w:rPr>
              <w:t>铜</w:t>
            </w:r>
          </w:p>
        </w:tc>
        <w:tc>
          <w:tcPr>
            <w:tcW w:w="1066" w:type="dxa"/>
            <w:vAlign w:val="center"/>
          </w:tcPr>
          <w:p w14:paraId="7233B1CB">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 xml:space="preserve">0.0006 </w:t>
            </w:r>
          </w:p>
        </w:tc>
        <w:tc>
          <w:tcPr>
            <w:tcW w:w="1064" w:type="dxa"/>
            <w:vAlign w:val="center"/>
          </w:tcPr>
          <w:p w14:paraId="36EE2F84">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 xml:space="preserve">0.0006 </w:t>
            </w:r>
          </w:p>
        </w:tc>
        <w:tc>
          <w:tcPr>
            <w:tcW w:w="959" w:type="dxa"/>
            <w:vAlign w:val="center"/>
          </w:tcPr>
          <w:p w14:paraId="66AFA6CD">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 xml:space="preserve">0.0006 </w:t>
            </w:r>
          </w:p>
        </w:tc>
        <w:tc>
          <w:tcPr>
            <w:tcW w:w="1562" w:type="pct"/>
            <w:vAlign w:val="center"/>
          </w:tcPr>
          <w:p w14:paraId="3E299E3F">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18000</w:t>
            </w:r>
          </w:p>
        </w:tc>
        <w:tc>
          <w:tcPr>
            <w:tcW w:w="746" w:type="pct"/>
            <w:vAlign w:val="center"/>
          </w:tcPr>
          <w:p w14:paraId="20AE38F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3A66B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38F61E60">
            <w:pPr>
              <w:pStyle w:val="146"/>
              <w:rPr>
                <w:rFonts w:hint="default" w:eastAsia="宋体" w:cs="Times New Roman"/>
                <w:color w:val="auto"/>
                <w:highlight w:val="none"/>
                <w:lang w:val="en-US" w:eastAsia="zh-CN"/>
              </w:rPr>
            </w:pPr>
            <w:r>
              <w:rPr>
                <w:rFonts w:hint="default" w:eastAsia="宋体" w:cs="Times New Roman"/>
                <w:color w:val="auto"/>
                <w:highlight w:val="none"/>
                <w:lang w:val="en-US" w:eastAsia="zh-CN"/>
              </w:rPr>
              <w:t>镍</w:t>
            </w:r>
          </w:p>
        </w:tc>
        <w:tc>
          <w:tcPr>
            <w:tcW w:w="641" w:type="pct"/>
            <w:vAlign w:val="center"/>
          </w:tcPr>
          <w:p w14:paraId="102270AC">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0.02</w:t>
            </w:r>
          </w:p>
        </w:tc>
        <w:tc>
          <w:tcPr>
            <w:tcW w:w="640" w:type="pct"/>
            <w:vAlign w:val="center"/>
          </w:tcPr>
          <w:p w14:paraId="505EF7C4">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0.02</w:t>
            </w:r>
          </w:p>
        </w:tc>
        <w:tc>
          <w:tcPr>
            <w:tcW w:w="577" w:type="pct"/>
            <w:vAlign w:val="center"/>
          </w:tcPr>
          <w:p w14:paraId="7882BED1">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0.02</w:t>
            </w:r>
          </w:p>
        </w:tc>
        <w:tc>
          <w:tcPr>
            <w:tcW w:w="1562" w:type="pct"/>
            <w:vAlign w:val="center"/>
          </w:tcPr>
          <w:p w14:paraId="413A790F">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900</w:t>
            </w:r>
          </w:p>
        </w:tc>
        <w:tc>
          <w:tcPr>
            <w:tcW w:w="746" w:type="pct"/>
            <w:vAlign w:val="center"/>
          </w:tcPr>
          <w:p w14:paraId="373B85F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r w14:paraId="2608F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2" w:type="pct"/>
            <w:vAlign w:val="center"/>
          </w:tcPr>
          <w:p w14:paraId="08E0EE6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锌</w:t>
            </w:r>
          </w:p>
        </w:tc>
        <w:tc>
          <w:tcPr>
            <w:tcW w:w="641" w:type="pct"/>
            <w:vAlign w:val="center"/>
          </w:tcPr>
          <w:p w14:paraId="1DC299E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640" w:type="pct"/>
            <w:vAlign w:val="center"/>
          </w:tcPr>
          <w:p w14:paraId="31DDED5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577" w:type="pct"/>
            <w:vAlign w:val="center"/>
          </w:tcPr>
          <w:p w14:paraId="5C5D157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1562" w:type="pct"/>
            <w:vAlign w:val="center"/>
          </w:tcPr>
          <w:p w14:paraId="5EFA0708">
            <w:pPr>
              <w:pStyle w:val="146"/>
              <w:rPr>
                <w:rFonts w:hint="eastAsia"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w:t>
            </w:r>
          </w:p>
        </w:tc>
        <w:tc>
          <w:tcPr>
            <w:tcW w:w="746" w:type="pct"/>
            <w:vAlign w:val="center"/>
          </w:tcPr>
          <w:p w14:paraId="320270C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w:t>
            </w:r>
          </w:p>
        </w:tc>
      </w:tr>
    </w:tbl>
    <w:p w14:paraId="1B3611BC">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由上表可见，本项目各监</w:t>
      </w:r>
      <w:r>
        <w:rPr>
          <w:rFonts w:hint="default" w:ascii="Times New Roman" w:hAnsi="Times New Roman" w:eastAsia="宋体" w:cs="Times New Roman"/>
          <w:color w:val="auto"/>
          <w:highlight w:val="none"/>
          <w:lang w:val="en-US" w:eastAsia="zh-CN"/>
        </w:rPr>
        <w:t>测因子满足</w:t>
      </w:r>
      <w:r>
        <w:rPr>
          <w:rFonts w:hint="default" w:ascii="Times New Roman" w:hAnsi="Times New Roman" w:eastAsia="宋体" w:cs="Times New Roman"/>
          <w:color w:val="auto"/>
          <w:highlight w:val="none"/>
          <w:lang w:val="zh-CN" w:eastAsia="zh-CN"/>
        </w:rPr>
        <w:t>《</w:t>
      </w:r>
      <w:r>
        <w:rPr>
          <w:rFonts w:hint="default" w:ascii="Times New Roman" w:hAnsi="Times New Roman" w:eastAsia="宋体" w:cs="Times New Roman"/>
          <w:color w:val="auto"/>
          <w:highlight w:val="none"/>
          <w:lang w:val="zh-CN" w:eastAsia="zh-CN"/>
        </w:rPr>
        <w:fldChar w:fldCharType="begin"/>
      </w:r>
      <w:r>
        <w:rPr>
          <w:rFonts w:hint="default" w:ascii="Times New Roman" w:hAnsi="Times New Roman" w:eastAsia="宋体" w:cs="Times New Roman"/>
          <w:color w:val="auto"/>
          <w:highlight w:val="none"/>
          <w:lang w:val="zh-CN" w:eastAsia="zh-CN"/>
        </w:rPr>
        <w:instrText xml:space="preserve"> HYPERLINK "https://www.mee.gov.cn/ywgz/fgbz/bz/bzwb/trhj/201807/W020190626596188930731.pdf" </w:instrText>
      </w:r>
      <w:r>
        <w:rPr>
          <w:rFonts w:hint="default" w:ascii="Times New Roman" w:hAnsi="Times New Roman" w:eastAsia="宋体" w:cs="Times New Roman"/>
          <w:color w:val="auto"/>
          <w:highlight w:val="none"/>
          <w:lang w:val="zh-CN" w:eastAsia="zh-CN"/>
        </w:rPr>
        <w:fldChar w:fldCharType="separate"/>
      </w:r>
      <w:r>
        <w:rPr>
          <w:rFonts w:hint="eastAsia" w:ascii="Times New Roman" w:hAnsi="Times New Roman" w:eastAsia="宋体" w:cs="Times New Roman"/>
          <w:color w:val="auto"/>
          <w:highlight w:val="none"/>
          <w:lang w:val="zh-CN" w:eastAsia="zh-CN"/>
        </w:rPr>
        <w:t>土壤环境质量 建设用地土壤污染风险管控标准（试行）</w:t>
      </w:r>
      <w:r>
        <w:rPr>
          <w:rFonts w:hint="default" w:ascii="Times New Roman" w:hAnsi="Times New Roman" w:eastAsia="宋体" w:cs="Times New Roman"/>
          <w:color w:val="auto"/>
          <w:highlight w:val="none"/>
          <w:lang w:val="zh-CN" w:eastAsia="zh-CN"/>
        </w:rPr>
        <w:t>》</w:t>
      </w:r>
      <w:r>
        <w:rPr>
          <w:rFonts w:hint="eastAsia" w:ascii="Times New Roman" w:hAnsi="Times New Roman" w:eastAsia="宋体" w:cs="Times New Roman"/>
          <w:color w:val="auto"/>
          <w:highlight w:val="none"/>
          <w:lang w:val="zh-CN" w:eastAsia="zh-CN"/>
        </w:rPr>
        <w:t>(GB36600—2018)</w:t>
      </w:r>
      <w:r>
        <w:rPr>
          <w:rFonts w:hint="eastAsia" w:ascii="Times New Roman" w:hAnsi="Times New Roman" w:eastAsia="宋体" w:cs="Times New Roman"/>
          <w:color w:val="auto"/>
          <w:highlight w:val="none"/>
          <w:lang w:val="zh-CN" w:eastAsia="zh-CN"/>
        </w:rPr>
        <w:fldChar w:fldCharType="end"/>
      </w:r>
      <w:r>
        <w:rPr>
          <w:rFonts w:hint="default" w:ascii="Times New Roman" w:hAnsi="Times New Roman" w:eastAsia="宋体" w:cs="Times New Roman"/>
          <w:color w:val="auto"/>
          <w:highlight w:val="none"/>
          <w:lang w:val="zh-CN" w:eastAsia="zh-CN"/>
        </w:rPr>
        <w:t>表1中</w:t>
      </w:r>
      <w:r>
        <w:rPr>
          <w:rFonts w:hint="eastAsia" w:ascii="Times New Roman" w:hAnsi="Times New Roman" w:eastAsia="宋体" w:cs="Times New Roman"/>
          <w:color w:val="auto"/>
          <w:highlight w:val="none"/>
          <w:lang w:val="en-US" w:eastAsia="zh-CN"/>
        </w:rPr>
        <w:t>二类</w:t>
      </w:r>
      <w:r>
        <w:rPr>
          <w:rFonts w:hint="default" w:ascii="Times New Roman" w:hAnsi="Times New Roman" w:eastAsia="宋体" w:cs="Times New Roman"/>
          <w:color w:val="auto"/>
          <w:highlight w:val="none"/>
          <w:lang w:val="zh-CN" w:eastAsia="zh-CN"/>
        </w:rPr>
        <w:t>用地</w:t>
      </w:r>
      <w:r>
        <w:rPr>
          <w:rFonts w:hint="eastAsia" w:ascii="Times New Roman" w:hAnsi="Times New Roman" w:eastAsia="宋体" w:cs="Times New Roman"/>
          <w:color w:val="auto"/>
          <w:highlight w:val="none"/>
          <w:lang w:val="en-US" w:eastAsia="zh-CN"/>
        </w:rPr>
        <w:t>筛选值</w:t>
      </w:r>
      <w:r>
        <w:rPr>
          <w:rFonts w:hint="default" w:ascii="Times New Roman" w:hAnsi="Times New Roman" w:eastAsia="宋体" w:cs="Times New Roman"/>
          <w:color w:val="auto"/>
          <w:highlight w:val="none"/>
          <w:lang w:val="zh-CN" w:eastAsia="zh-CN"/>
        </w:rPr>
        <w:t>标准限值要求</w:t>
      </w:r>
      <w:r>
        <w:rPr>
          <w:rFonts w:hint="eastAsia" w:ascii="Times New Roman" w:hAnsi="Times New Roman" w:eastAsia="宋体" w:cs="Times New Roman"/>
          <w:color w:val="auto"/>
          <w:highlight w:val="none"/>
          <w:lang w:val="zh-CN" w:eastAsia="zh-CN"/>
        </w:rPr>
        <w:t>，</w:t>
      </w:r>
      <w:r>
        <w:rPr>
          <w:rFonts w:hint="eastAsia" w:ascii="Times New Roman" w:hAnsi="Times New Roman" w:eastAsia="宋体" w:cs="Times New Roman"/>
          <w:color w:val="auto"/>
          <w:highlight w:val="none"/>
          <w:lang w:val="en-US" w:eastAsia="zh-CN"/>
        </w:rPr>
        <w:t>石油烃满足表2二类</w:t>
      </w:r>
      <w:r>
        <w:rPr>
          <w:rFonts w:hint="default" w:ascii="Times New Roman" w:hAnsi="Times New Roman" w:eastAsia="宋体" w:cs="Times New Roman"/>
          <w:color w:val="auto"/>
          <w:highlight w:val="none"/>
          <w:lang w:val="zh-CN" w:eastAsia="zh-CN"/>
        </w:rPr>
        <w:t>用地</w:t>
      </w:r>
      <w:r>
        <w:rPr>
          <w:rFonts w:hint="eastAsia" w:ascii="Times New Roman" w:hAnsi="Times New Roman" w:eastAsia="宋体" w:cs="Times New Roman"/>
          <w:color w:val="auto"/>
          <w:highlight w:val="none"/>
          <w:lang w:val="en-US" w:eastAsia="zh-CN"/>
        </w:rPr>
        <w:t>筛选值</w:t>
      </w:r>
      <w:r>
        <w:rPr>
          <w:rFonts w:hint="default" w:ascii="Times New Roman" w:hAnsi="Times New Roman" w:eastAsia="宋体" w:cs="Times New Roman"/>
          <w:color w:val="auto"/>
          <w:highlight w:val="none"/>
          <w:lang w:val="zh-CN" w:eastAsia="zh-CN"/>
        </w:rPr>
        <w:t>标准限值要求。</w:t>
      </w:r>
      <w:r>
        <w:rPr>
          <w:rFonts w:hint="eastAsia" w:eastAsia="宋体" w:cs="Times New Roman"/>
          <w:color w:val="auto"/>
          <w:highlight w:val="none"/>
          <w:lang w:val="en-US" w:eastAsia="zh-CN"/>
        </w:rPr>
        <w:t>其中锌检测数据为39mg/kg~52mg/kg，用作现状土壤的本底值</w:t>
      </w:r>
      <w:r>
        <w:rPr>
          <w:rFonts w:hint="eastAsia" w:ascii="Times New Roman" w:hAnsi="Times New Roman" w:eastAsia="宋体" w:cs="Times New Roman"/>
          <w:color w:val="auto"/>
          <w:highlight w:val="none"/>
          <w:lang w:val="en-US" w:eastAsia="zh-CN"/>
        </w:rPr>
        <w:t>。</w:t>
      </w:r>
    </w:p>
    <w:p w14:paraId="3A0427F1">
      <w:pPr>
        <w:pStyle w:val="5"/>
        <w:spacing w:line="500" w:lineRule="exact"/>
        <w:rPr>
          <w:rFonts w:hint="default" w:ascii="Times New Roman" w:hAnsi="Times New Roman" w:cs="Times New Roman"/>
          <w:color w:val="auto"/>
          <w:highlight w:val="none"/>
        </w:rPr>
      </w:pPr>
      <w:bookmarkStart w:id="390" w:name="_Toc10767"/>
      <w:r>
        <w:rPr>
          <w:rFonts w:hint="default" w:ascii="Times New Roman" w:hAnsi="Times New Roman" w:cs="Times New Roman"/>
          <w:color w:val="auto"/>
          <w:highlight w:val="none"/>
        </w:rPr>
        <w:t>4.2.6生态环境质量现状调查</w:t>
      </w:r>
      <w:bookmarkEnd w:id="390"/>
    </w:p>
    <w:p w14:paraId="48AC8BBE">
      <w:pPr>
        <w:pStyle w:val="6"/>
        <w:bidi w:val="0"/>
        <w:rPr>
          <w:color w:val="auto"/>
          <w:highlight w:val="none"/>
        </w:rPr>
      </w:pPr>
      <w:r>
        <w:rPr>
          <w:rFonts w:hint="eastAsia"/>
          <w:color w:val="auto"/>
          <w:highlight w:val="none"/>
          <w:lang w:val="en-US" w:eastAsia="zh-CN"/>
        </w:rPr>
        <w:t>4.2.6.1</w:t>
      </w:r>
      <w:r>
        <w:rPr>
          <w:color w:val="auto"/>
          <w:highlight w:val="none"/>
          <w:lang w:val="en-US"/>
        </w:rPr>
        <w:t>现状调查内容和方法</w:t>
      </w:r>
    </w:p>
    <w:p w14:paraId="252B01B8">
      <w:pPr>
        <w:pStyle w:val="6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rPr>
        <w:t>现状调查内容</w:t>
      </w:r>
    </w:p>
    <w:p w14:paraId="1D448080">
      <w:pPr>
        <w:pStyle w:val="67"/>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陆生生态现状调查内容主要包括：评价范围内的植物区系、植被类型，植物群落结构及演替规律，群落中的关键种、建群种、优势种；动物区系、物种组成及分布特征；生态系统的类型、面积及空间分布；重要物种的分布、生态学特征、种群现状，迁徙物种的主要迁徙路线、迁徙时间，重要生境的分布及现状。</w:t>
      </w:r>
    </w:p>
    <w:p w14:paraId="6F135336">
      <w:pPr>
        <w:pStyle w:val="67"/>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rPr>
        <w:t>现状调查方法</w:t>
      </w:r>
    </w:p>
    <w:p w14:paraId="2E4819BC">
      <w:pPr>
        <w:pStyle w:val="67"/>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（1）资料收集法</w:t>
      </w:r>
    </w:p>
    <w:p w14:paraId="0969D218">
      <w:pPr>
        <w:pStyle w:val="67"/>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收集整理项目涉及行政区内现有的能反映生态现状或生态本底的资料（如：生态公益林、重点保护动植物等），并参考《黑龙江省地方重点保护野生动物名录》、《黑龙江省种子植物区系的研究》（于爽等，2008年）、《东北草本植物志》（傅沛云等，1998年）、《黑龙江省植物志》（周以良等，1985年）、《黑龙江树木志》（周以良等，1986年）、《黑龙江省两栖爬行动物志》（赵文阁，2008年）、《黑龙江省两栖爬行动物物种分布与生态因子关系的分析》（陈辉等，2007年）、《黑龙江省两栖爬行动物研究简史》（赵文阁，1998年）《黑龙江省脊椎动物检索》（赵文阁，徐纯柱等，2010年）、《中国动物志》（两栖纲）（科学出版社，2009年）、《中国两栖纲和爬行纲动物校正名录》（赵尔宓，张学文等，2000年）、《中国鸟类分类与分布名录（第3版）》（郑光美，2017年）、《中国哺乳动物种和亚种分类名录与分布大全》（王应祥，2003年）等著作及相关科研论文。</w:t>
      </w:r>
    </w:p>
    <w:p w14:paraId="03E9E97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（2）现场调查法</w:t>
      </w:r>
    </w:p>
    <w:p w14:paraId="546C1DA8">
      <w:pPr>
        <w:autoSpaceDE/>
        <w:autoSpaceDN/>
        <w:spacing w:line="360" w:lineRule="auto"/>
        <w:ind w:firstLine="480" w:firstLineChars="200"/>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根据环评单位与建设单位于202</w:t>
      </w:r>
      <w:r>
        <w:rPr>
          <w:rFonts w:hint="eastAsia" w:cs="Times New Roman"/>
          <w:color w:val="auto"/>
          <w:kern w:val="21"/>
          <w:highlight w:val="none"/>
          <w:lang w:val="en-US" w:eastAsia="zh-CN"/>
        </w:rPr>
        <w:t>6</w:t>
      </w:r>
      <w:r>
        <w:rPr>
          <w:rFonts w:ascii="Times New Roman" w:hAnsi="Times New Roman" w:cs="Times New Roman"/>
          <w:color w:val="auto"/>
          <w:kern w:val="21"/>
          <w:highlight w:val="none"/>
          <w:lang w:val="en-US"/>
        </w:rPr>
        <w:t>年</w:t>
      </w:r>
      <w:r>
        <w:rPr>
          <w:rFonts w:hint="eastAsia" w:cs="Times New Roman"/>
          <w:color w:val="auto"/>
          <w:kern w:val="21"/>
          <w:highlight w:val="none"/>
          <w:lang w:val="en-US" w:eastAsia="zh-CN"/>
        </w:rPr>
        <w:t>5</w:t>
      </w:r>
      <w:r>
        <w:rPr>
          <w:rFonts w:ascii="Times New Roman" w:hAnsi="Times New Roman" w:cs="Times New Roman"/>
          <w:color w:val="auto"/>
          <w:kern w:val="21"/>
          <w:highlight w:val="none"/>
          <w:lang w:val="en-US"/>
        </w:rPr>
        <w:t>月进行现场调查</w:t>
      </w:r>
      <w:r>
        <w:rPr>
          <w:rFonts w:ascii="Times New Roman" w:hAnsi="Times New Roman" w:cs="Times New Roman"/>
          <w:color w:val="auto"/>
          <w:kern w:val="21"/>
          <w:highlight w:val="none"/>
          <w:lang w:val="en-US"/>
        </w:rPr>
        <w:t>，收集资料并咨询相关管理部门，确认项目评价范围内动植物主要分布类型及保护物种分布等具体情况。调查内容依据《环境影响评价技术导则 生态影响》（HJ 19-2022）确定。生态调查采用“以点带线、点线结合”的方法进行，生态现状评价利用野外调查和收集的资料，采用生态机理分析法、类比法、景观生态方法等进行。</w:t>
      </w:r>
    </w:p>
    <w:p w14:paraId="45BAB48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1）GPS地面类型取样</w:t>
      </w:r>
    </w:p>
    <w:p w14:paraId="79566F5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GPS样点是卫星遥感影像判读各种景观类型的基础，根据室内判读的植被与土地利用类型初图，现场核实判读的正误率，并对每个GPS取样点作如下记录：</w:t>
      </w:r>
    </w:p>
    <w:p w14:paraId="2671B00F">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a.海拔表读出测点的海拔值和经纬度；</w:t>
      </w:r>
    </w:p>
    <w:p w14:paraId="22727DFE">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b.记录样点植被类型，以群系为单位；</w:t>
      </w:r>
    </w:p>
    <w:p w14:paraId="043E55A4">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c.记录样点优势植物以及观察动物的活动的情况；</w:t>
      </w:r>
    </w:p>
    <w:p w14:paraId="34606A76">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d.拍摄典型植被外貌与结构特征。</w:t>
      </w:r>
    </w:p>
    <w:p w14:paraId="7EC5B395">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2）陆生植物调查</w:t>
      </w:r>
    </w:p>
    <w:p w14:paraId="33E212C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在对评价区植物资源历年资料检索分析的基础上，根据工程布置确定调查方案，进行现场调查。调查时要确定评价区的主要植物种类、植被类型、重点保护野生植物等重要生态因子的分布及生存状况。</w:t>
      </w:r>
    </w:p>
    <w:p w14:paraId="6A5F6115">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1.植物群落调查</w:t>
      </w:r>
    </w:p>
    <w:p w14:paraId="75CEC95E">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在实地调查的基础上，结合重点施工区域植被情况，确定典型的群落地段，采取典型样方法进行群落调查。根据评价区群落特点，乔木群落样方面积设置为</w:t>
      </w:r>
      <w:r>
        <w:rPr>
          <w:rFonts w:hint="eastAsia" w:cs="Times New Roman"/>
          <w:color w:val="auto"/>
          <w:kern w:val="21"/>
          <w:highlight w:val="none"/>
          <w:lang w:val="en-US" w:eastAsia="zh-CN"/>
        </w:rPr>
        <w:t>1</w:t>
      </w:r>
      <w:r>
        <w:rPr>
          <w:rFonts w:ascii="Times New Roman" w:hAnsi="Times New Roman" w:cs="Times New Roman"/>
          <w:color w:val="auto"/>
          <w:kern w:val="21"/>
          <w:highlight w:val="none"/>
          <w:lang w:val="en-US"/>
        </w:rPr>
        <w:t>0m×</w:t>
      </w:r>
      <w:r>
        <w:rPr>
          <w:rFonts w:hint="eastAsia" w:cs="Times New Roman"/>
          <w:color w:val="auto"/>
          <w:kern w:val="21"/>
          <w:highlight w:val="none"/>
          <w:lang w:val="en-US" w:eastAsia="zh-CN"/>
        </w:rPr>
        <w:t>1</w:t>
      </w:r>
      <w:r>
        <w:rPr>
          <w:rFonts w:ascii="Times New Roman" w:hAnsi="Times New Roman" w:cs="Times New Roman"/>
          <w:color w:val="auto"/>
          <w:kern w:val="21"/>
          <w:highlight w:val="none"/>
          <w:lang w:val="en-US"/>
        </w:rPr>
        <w:t>0m，灌丛或灌草丛植物样方5m×5m，草本样设置方为1m×1m，记录样方内所有植物种类，选取的植物群落应涵盖针叶林、阔叶林、草地、农业植被等评价区常见且具有代表性的植被类型。</w:t>
      </w:r>
    </w:p>
    <w:p w14:paraId="221A0C8B">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2.植物种类调查</w:t>
      </w:r>
    </w:p>
    <w:p w14:paraId="7DC1C11F">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植物种类调查首先向林业部门进行咨询，然后对工程建设可能影响到的重点保护野生植物进行复核调查。通过调查，明确</w:t>
      </w:r>
      <w:r>
        <w:rPr>
          <w:rFonts w:hint="eastAsia" w:cs="Times New Roman"/>
          <w:color w:val="auto"/>
          <w:kern w:val="21"/>
          <w:highlight w:val="none"/>
          <w:lang w:val="en-US" w:eastAsia="zh-CN"/>
        </w:rPr>
        <w:t>项目</w:t>
      </w:r>
      <w:r>
        <w:rPr>
          <w:rFonts w:ascii="Times New Roman" w:hAnsi="Times New Roman" w:cs="Times New Roman"/>
          <w:color w:val="auto"/>
          <w:kern w:val="21"/>
          <w:highlight w:val="none"/>
          <w:lang w:val="en-US"/>
        </w:rPr>
        <w:t>区域内的植物种类、重点保护野生植物种类、数量、分布、生存状况等。</w:t>
      </w:r>
    </w:p>
    <w:p w14:paraId="77FEFA83">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3）陆生动物调查</w:t>
      </w:r>
    </w:p>
    <w:p w14:paraId="1359E1F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在调查过程中，确定评价区内动物的种类、资源状况及生存状况，尤其是重点保护种类。调查方法主要有样点法、访问和资料查询。</w:t>
      </w:r>
    </w:p>
    <w:p w14:paraId="7CC1EAF8">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兽类主要采用现场环境调查，野外踪迹调查，包括：足迹链、窝迹、粪便，再结合访问调查及市场调查确定种类及数量等。</w:t>
      </w:r>
    </w:p>
    <w:p w14:paraId="2759C734">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鸟类主要采用样线法与样点法，根据生境类型及其面积的大小设计样线或样点，抽样强度高于2%。样线法是沿着预先设计的一定路线，观测者沿着固定的线路行走，并记录沿途所见到的所有鸟类，一般样线长度在1km~3km为宜。样点法是变形的样线法，适合于崎岖的山地以及片段化的生境。样点法是以一个中心点为圆心，调查周围能见距离内的鸟类数量与种类。</w:t>
      </w:r>
    </w:p>
    <w:p w14:paraId="1E536932">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两栖类与爬行类活动能力相对较差，调查时主要在有水域之处及其它适合其生存的生境中采用样点法，观察其种类与数量。</w:t>
      </w:r>
    </w:p>
    <w:p w14:paraId="05B6AAA3">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从上述调查得到的种类之中，对相关重点保护物种进行进一步调查与核实，确定其种类及数量。对有疑问的动物、重点保护动物尽量采集凭证标本并拍摄照片。</w:t>
      </w:r>
    </w:p>
    <w:p w14:paraId="63CAEE29">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（3）遥感调查法</w:t>
      </w:r>
    </w:p>
    <w:p w14:paraId="1B932720">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充分利用遥感和地理信息系统等技术手段，编制土地利用现状图、生态系统类型图、植被类型图等图件，在地理信息系统支持下分析和评价区生态现状，根据评价区生态现状，结合工程施工和运营特点，运用地理信息系统的空间分析功能，分析和评价工程建设对区域生态及其敏感保护目标的影响。</w:t>
      </w:r>
    </w:p>
    <w:p w14:paraId="2AF0343F">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为了科学准确地反映项目区主要生态环境要素信息，本次工作采用3S技术结合的方法进行环境影响项目区生态环境信息的获取。首先，根据国家或相关行业规范，结合遥感图像的时相与空间分辨率，建立各图件分级体系；其次，对资源三号（ZY-3）遥感图像数据进行投影转换、几何纠正、直方图匹配等预处理；第三，以项目区资源三号（ZY-3）遥感影像为信息源，结合项目区的相关资料，建立基于图件分类分级系统的遥感解译标志，采用人机交互目视判读对遥感数据进行解译，编制项目区生态环境专题图件。第四，采用专业制图软件ARCGIS进行专题图件数字化，并进行分类面积统计。</w:t>
      </w:r>
    </w:p>
    <w:p w14:paraId="4A4DD873">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1）遥感信息源的选取</w:t>
      </w:r>
    </w:p>
    <w:p w14:paraId="49AD654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以2022年6月的资源三号（ZY-3）影像像数据作为基本信息源，全色空间分辨率2.1米，经过融合处理后的图像地表信息丰富，有利于生态环境因子遥感解译标志的建立，保证了各生态环境要素解译成果的准确性。</w:t>
      </w:r>
    </w:p>
    <w:p w14:paraId="40B45B7A">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2）资源三号（ZY-3）影像图处理</w:t>
      </w:r>
    </w:p>
    <w:p w14:paraId="6B5DFE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olor w:val="auto"/>
          <w:highlight w:val="none"/>
          <w:lang w:val="en-US" w:eastAsia="zh-CN"/>
        </w:rPr>
      </w:pPr>
      <w:r>
        <w:rPr>
          <w:rFonts w:ascii="Times New Roman" w:hAnsi="Times New Roman" w:cs="Times New Roman"/>
          <w:color w:val="auto"/>
          <w:kern w:val="21"/>
          <w:highlight w:val="none"/>
          <w:lang w:val="en-US"/>
        </w:rPr>
        <w:t>在ERDAS等遥感图像处理软件的支持下，对资源三号（ZY-3）影像数据进行了投影转换、几何纠正、直方图匹配等图像预处理。根据土地利用现状、植被类型、土壤侵蚀、植被覆盖度等生态环境要素的地物光谱特征的差异性，选择全波段合成方案，全波段合成图像色彩丰富、层次分明，地类边界明显，有利于生态要素的判读解译</w:t>
      </w:r>
      <w:r>
        <w:rPr>
          <w:rFonts w:hint="eastAsia" w:cs="Times New Roman"/>
          <w:color w:val="auto"/>
          <w:kern w:val="21"/>
          <w:highlight w:val="none"/>
          <w:lang w:val="en-US" w:eastAsia="zh-CN"/>
        </w:rPr>
        <w:t>。</w:t>
      </w:r>
      <w:r>
        <w:rPr>
          <w:rFonts w:hint="eastAsia"/>
          <w:color w:val="auto"/>
          <w:highlight w:val="none"/>
          <w:lang w:val="en-US" w:eastAsia="zh-CN"/>
        </w:rPr>
        <w:t xml:space="preserve"> </w:t>
      </w:r>
    </w:p>
    <w:p w14:paraId="0DE9624F">
      <w:pPr>
        <w:pStyle w:val="6"/>
        <w:bidi w:val="0"/>
        <w:ind w:firstLine="240" w:firstLineChars="100"/>
        <w:rPr>
          <w:rFonts w:hint="eastAsia"/>
          <w:color w:val="auto"/>
          <w:highlight w:val="none"/>
          <w:lang w:val="en-US" w:eastAsia="zh-CN"/>
        </w:rPr>
      </w:pPr>
      <w:r>
        <w:rPr>
          <w:rFonts w:hint="eastAsia"/>
          <w:color w:val="auto"/>
          <w:highlight w:val="none"/>
          <w:lang w:val="en-US" w:eastAsia="zh-CN"/>
        </w:rPr>
        <w:t>4.2.6.2生态系统类型及分布</w:t>
      </w:r>
    </w:p>
    <w:p w14:paraId="231457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1.</w:t>
      </w:r>
      <w:r>
        <w:rPr>
          <w:rFonts w:ascii="Times New Roman" w:hAnsi="Times New Roman" w:cs="Times New Roman"/>
          <w:color w:val="auto"/>
          <w:kern w:val="21"/>
          <w:highlight w:val="none"/>
          <w:lang w:val="en-US" w:eastAsia="zh-CN"/>
        </w:rPr>
        <w:t>生态系统类型</w:t>
      </w:r>
    </w:p>
    <w:p w14:paraId="0D7CF8C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eastAsia="zh-CN"/>
        </w:rPr>
        <w:t>根据《全国生态状况调查评估技术规范 生态系统遥感解译与野外核查》（HJ 1166-2021）的二级分类方法，并采用遥感和地理信息系统的技术手段，对评价区生态现状进</w:t>
      </w:r>
      <w:r>
        <w:rPr>
          <w:rFonts w:ascii="Times New Roman" w:hAnsi="Times New Roman" w:cs="Times New Roman"/>
          <w:color w:val="auto"/>
          <w:kern w:val="21"/>
          <w:highlight w:val="none"/>
          <w:lang w:val="en-US"/>
        </w:rPr>
        <w:t>行生态系统划分，可分为森林生态系统、灌丛生态系统、草地生态系统、农田生态系统。区域生态系统以农田生态系统为主，面积为0.2116km</w:t>
      </w:r>
      <w:r>
        <w:rPr>
          <w:rFonts w:ascii="Times New Roman" w:hAnsi="Times New Roman" w:cs="Times New Roman"/>
          <w:color w:val="auto"/>
          <w:kern w:val="21"/>
          <w:highlight w:val="none"/>
          <w:vertAlign w:val="superscript"/>
          <w:lang w:val="en-US"/>
        </w:rPr>
        <w:t>2</w:t>
      </w:r>
      <w:r>
        <w:rPr>
          <w:rFonts w:ascii="Times New Roman" w:hAnsi="Times New Roman" w:cs="Times New Roman"/>
          <w:color w:val="auto"/>
          <w:kern w:val="21"/>
          <w:highlight w:val="none"/>
          <w:lang w:val="en-US"/>
        </w:rPr>
        <w:t>，占总面积的44.72%。评价区各生态系统类型及面积见下表。</w:t>
      </w:r>
    </w:p>
    <w:p w14:paraId="4A7E7C4A">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w:t>
      </w:r>
      <w:r>
        <w:rPr>
          <w:rFonts w:hint="eastAsia" w:ascii="Times New Roman" w:hAnsi="Times New Roman" w:eastAsia="黑体" w:cs="Times New Roman"/>
          <w:snapToGrid w:val="0"/>
          <w:color w:val="auto"/>
          <w:kern w:val="0"/>
          <w:highlight w:val="none"/>
          <w:lang w:val="en-US" w:eastAsia="zh-CN"/>
        </w:rPr>
        <w:t>4-2-2</w:t>
      </w:r>
      <w:r>
        <w:rPr>
          <w:rFonts w:hint="eastAsia" w:eastAsia="黑体" w:cs="Times New Roman"/>
          <w:snapToGrid w:val="0"/>
          <w:color w:val="auto"/>
          <w:kern w:val="0"/>
          <w:highlight w:val="none"/>
          <w:lang w:val="en-US" w:eastAsia="zh-CN"/>
        </w:rPr>
        <w:t>3</w:t>
      </w:r>
      <w:r>
        <w:rPr>
          <w:rFonts w:hint="default" w:ascii="Times New Roman" w:hAnsi="Times New Roman" w:eastAsia="黑体" w:cs="Times New Roman"/>
          <w:snapToGrid w:val="0"/>
          <w:color w:val="auto"/>
          <w:kern w:val="0"/>
          <w:highlight w:val="none"/>
          <w:lang w:val="zh-CN"/>
        </w:rPr>
        <w:t>评价区生态系统类型面积统计</w:t>
      </w:r>
    </w:p>
    <w:tbl>
      <w:tblPr>
        <w:tblStyle w:val="4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85" w:type="dxa"/>
          <w:left w:w="57" w:type="dxa"/>
          <w:bottom w:w="85" w:type="dxa"/>
          <w:right w:w="57" w:type="dxa"/>
        </w:tblCellMar>
      </w:tblPr>
      <w:tblGrid>
        <w:gridCol w:w="796"/>
        <w:gridCol w:w="2085"/>
        <w:gridCol w:w="1044"/>
        <w:gridCol w:w="1647"/>
        <w:gridCol w:w="1460"/>
        <w:gridCol w:w="1277"/>
      </w:tblGrid>
      <w:tr w14:paraId="76BAB0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479" w:type="pct"/>
            <w:vMerge w:val="restart"/>
            <w:vAlign w:val="center"/>
          </w:tcPr>
          <w:p w14:paraId="2FD517C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I级代码</w:t>
            </w:r>
          </w:p>
        </w:tc>
        <w:tc>
          <w:tcPr>
            <w:tcW w:w="1254" w:type="pct"/>
            <w:vMerge w:val="restart"/>
            <w:vAlign w:val="center"/>
          </w:tcPr>
          <w:p w14:paraId="1AD0ACD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I级分类</w:t>
            </w:r>
          </w:p>
        </w:tc>
        <w:tc>
          <w:tcPr>
            <w:tcW w:w="628" w:type="pct"/>
            <w:vMerge w:val="restart"/>
            <w:vAlign w:val="center"/>
          </w:tcPr>
          <w:p w14:paraId="6F6FAC6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II级代码</w:t>
            </w:r>
          </w:p>
        </w:tc>
        <w:tc>
          <w:tcPr>
            <w:tcW w:w="991" w:type="pct"/>
            <w:vMerge w:val="restart"/>
            <w:vAlign w:val="center"/>
          </w:tcPr>
          <w:p w14:paraId="3A329EA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II级分类</w:t>
            </w:r>
          </w:p>
        </w:tc>
        <w:tc>
          <w:tcPr>
            <w:tcW w:w="1646" w:type="pct"/>
            <w:gridSpan w:val="2"/>
            <w:vAlign w:val="center"/>
          </w:tcPr>
          <w:p w14:paraId="08530EE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评价区</w:t>
            </w:r>
          </w:p>
        </w:tc>
      </w:tr>
      <w:tr w14:paraId="215EE2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479" w:type="pct"/>
            <w:vMerge w:val="continue"/>
            <w:vAlign w:val="center"/>
          </w:tcPr>
          <w:p w14:paraId="0924539B">
            <w:pPr>
              <w:pStyle w:val="492"/>
              <w:bidi w:val="0"/>
              <w:ind w:firstLine="0" w:firstLineChars="0"/>
              <w:rPr>
                <w:rFonts w:hint="eastAsia" w:ascii="Times New Roman" w:hAnsi="Times New Roman" w:eastAsia="宋体" w:cs="Times New Roman"/>
                <w:color w:val="auto"/>
                <w:highlight w:val="none"/>
                <w:lang w:val="en-US" w:eastAsia="zh-CN"/>
              </w:rPr>
            </w:pPr>
          </w:p>
        </w:tc>
        <w:tc>
          <w:tcPr>
            <w:tcW w:w="1254" w:type="pct"/>
            <w:vMerge w:val="continue"/>
            <w:vAlign w:val="center"/>
          </w:tcPr>
          <w:p w14:paraId="079EE8C2">
            <w:pPr>
              <w:pStyle w:val="492"/>
              <w:bidi w:val="0"/>
              <w:ind w:firstLine="0" w:firstLineChars="0"/>
              <w:rPr>
                <w:rFonts w:hint="eastAsia" w:ascii="Times New Roman" w:hAnsi="Times New Roman" w:eastAsia="宋体" w:cs="Times New Roman"/>
                <w:color w:val="auto"/>
                <w:highlight w:val="none"/>
                <w:lang w:val="en-US" w:eastAsia="zh-CN"/>
              </w:rPr>
            </w:pPr>
          </w:p>
        </w:tc>
        <w:tc>
          <w:tcPr>
            <w:tcW w:w="628" w:type="pct"/>
            <w:vMerge w:val="continue"/>
            <w:vAlign w:val="center"/>
          </w:tcPr>
          <w:p w14:paraId="261F45E0">
            <w:pPr>
              <w:pStyle w:val="492"/>
              <w:bidi w:val="0"/>
              <w:ind w:firstLine="0" w:firstLineChars="0"/>
              <w:rPr>
                <w:rFonts w:hint="eastAsia" w:ascii="Times New Roman" w:hAnsi="Times New Roman" w:eastAsia="宋体" w:cs="Times New Roman"/>
                <w:color w:val="auto"/>
                <w:highlight w:val="none"/>
                <w:lang w:val="en-US" w:eastAsia="zh-CN"/>
              </w:rPr>
            </w:pPr>
          </w:p>
        </w:tc>
        <w:tc>
          <w:tcPr>
            <w:tcW w:w="991" w:type="pct"/>
            <w:vMerge w:val="continue"/>
            <w:vAlign w:val="center"/>
          </w:tcPr>
          <w:p w14:paraId="38BF4F69">
            <w:pPr>
              <w:pStyle w:val="492"/>
              <w:bidi w:val="0"/>
              <w:ind w:firstLine="0" w:firstLineChars="0"/>
              <w:rPr>
                <w:rFonts w:hint="eastAsia" w:ascii="Times New Roman" w:hAnsi="Times New Roman" w:eastAsia="宋体" w:cs="Times New Roman"/>
                <w:color w:val="auto"/>
                <w:highlight w:val="none"/>
                <w:lang w:val="en-US" w:eastAsia="zh-CN"/>
              </w:rPr>
            </w:pPr>
          </w:p>
        </w:tc>
        <w:tc>
          <w:tcPr>
            <w:tcW w:w="878" w:type="pct"/>
            <w:vAlign w:val="center"/>
          </w:tcPr>
          <w:p w14:paraId="2FB1F6C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面积(hm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p>
        </w:tc>
        <w:tc>
          <w:tcPr>
            <w:tcW w:w="767" w:type="pct"/>
            <w:vAlign w:val="center"/>
          </w:tcPr>
          <w:p w14:paraId="6F2B2BD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比例(%)</w:t>
            </w:r>
          </w:p>
        </w:tc>
      </w:tr>
      <w:tr w14:paraId="44F808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479" w:type="pct"/>
            <w:vMerge w:val="restart"/>
            <w:vAlign w:val="center"/>
          </w:tcPr>
          <w:p w14:paraId="6B55D09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254" w:type="pct"/>
            <w:vMerge w:val="restart"/>
            <w:vAlign w:val="center"/>
          </w:tcPr>
          <w:p w14:paraId="5D04251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森林生态系统</w:t>
            </w:r>
          </w:p>
        </w:tc>
        <w:tc>
          <w:tcPr>
            <w:tcW w:w="628" w:type="pct"/>
            <w:vAlign w:val="center"/>
          </w:tcPr>
          <w:p w14:paraId="4F928C0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991" w:type="pct"/>
            <w:vAlign w:val="center"/>
          </w:tcPr>
          <w:p w14:paraId="6676E95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阔叶林</w:t>
            </w:r>
          </w:p>
        </w:tc>
        <w:tc>
          <w:tcPr>
            <w:tcW w:w="878" w:type="pct"/>
            <w:vAlign w:val="center"/>
          </w:tcPr>
          <w:p w14:paraId="05C2163C">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5.43</w:t>
            </w:r>
          </w:p>
        </w:tc>
        <w:tc>
          <w:tcPr>
            <w:tcW w:w="767" w:type="pct"/>
            <w:vAlign w:val="center"/>
          </w:tcPr>
          <w:p w14:paraId="66750527">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2.42</w:t>
            </w:r>
          </w:p>
        </w:tc>
      </w:tr>
      <w:tr w14:paraId="67A61F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479" w:type="pct"/>
            <w:vMerge w:val="continue"/>
            <w:vAlign w:val="center"/>
          </w:tcPr>
          <w:p w14:paraId="1FB54678">
            <w:pPr>
              <w:pStyle w:val="492"/>
              <w:bidi w:val="0"/>
              <w:ind w:firstLine="0" w:firstLineChars="0"/>
              <w:rPr>
                <w:rFonts w:hint="eastAsia" w:ascii="Times New Roman" w:hAnsi="Times New Roman" w:eastAsia="宋体" w:cs="Times New Roman"/>
                <w:color w:val="auto"/>
                <w:highlight w:val="none"/>
                <w:lang w:val="en-US" w:eastAsia="zh-CN"/>
              </w:rPr>
            </w:pPr>
          </w:p>
        </w:tc>
        <w:tc>
          <w:tcPr>
            <w:tcW w:w="1254" w:type="pct"/>
            <w:vMerge w:val="continue"/>
            <w:vAlign w:val="center"/>
          </w:tcPr>
          <w:p w14:paraId="58BACDBF">
            <w:pPr>
              <w:pStyle w:val="492"/>
              <w:bidi w:val="0"/>
              <w:ind w:firstLine="0" w:firstLineChars="0"/>
              <w:rPr>
                <w:rFonts w:hint="eastAsia" w:ascii="Times New Roman" w:hAnsi="Times New Roman" w:eastAsia="宋体" w:cs="Times New Roman"/>
                <w:color w:val="auto"/>
                <w:highlight w:val="none"/>
                <w:lang w:val="en-US" w:eastAsia="zh-CN"/>
              </w:rPr>
            </w:pPr>
          </w:p>
        </w:tc>
        <w:tc>
          <w:tcPr>
            <w:tcW w:w="628" w:type="pct"/>
            <w:vAlign w:val="center"/>
          </w:tcPr>
          <w:p w14:paraId="4F895D9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991" w:type="pct"/>
            <w:vAlign w:val="center"/>
          </w:tcPr>
          <w:p w14:paraId="1BD1A8C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针叶林</w:t>
            </w:r>
          </w:p>
        </w:tc>
        <w:tc>
          <w:tcPr>
            <w:tcW w:w="878" w:type="pct"/>
            <w:vAlign w:val="center"/>
          </w:tcPr>
          <w:p w14:paraId="7770497E">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115.04</w:t>
            </w:r>
          </w:p>
        </w:tc>
        <w:tc>
          <w:tcPr>
            <w:tcW w:w="767" w:type="pct"/>
            <w:vAlign w:val="center"/>
          </w:tcPr>
          <w:p w14:paraId="30FB42EF">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51.3</w:t>
            </w:r>
          </w:p>
        </w:tc>
      </w:tr>
      <w:tr w14:paraId="3A03FE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479" w:type="pct"/>
            <w:vAlign w:val="center"/>
          </w:tcPr>
          <w:p w14:paraId="4769F02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1254" w:type="pct"/>
            <w:vAlign w:val="center"/>
          </w:tcPr>
          <w:p w14:paraId="34BF920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农田生态系统</w:t>
            </w:r>
          </w:p>
        </w:tc>
        <w:tc>
          <w:tcPr>
            <w:tcW w:w="628" w:type="pct"/>
            <w:vAlign w:val="center"/>
          </w:tcPr>
          <w:p w14:paraId="19685CE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w:t>
            </w:r>
          </w:p>
        </w:tc>
        <w:tc>
          <w:tcPr>
            <w:tcW w:w="991" w:type="pct"/>
            <w:vAlign w:val="center"/>
          </w:tcPr>
          <w:p w14:paraId="5702B67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耕地</w:t>
            </w:r>
          </w:p>
        </w:tc>
        <w:tc>
          <w:tcPr>
            <w:tcW w:w="878" w:type="pct"/>
            <w:vAlign w:val="center"/>
          </w:tcPr>
          <w:p w14:paraId="064D95D0">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39.93</w:t>
            </w:r>
          </w:p>
        </w:tc>
        <w:tc>
          <w:tcPr>
            <w:tcW w:w="767" w:type="pct"/>
            <w:vAlign w:val="center"/>
          </w:tcPr>
          <w:p w14:paraId="25A53C80">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17.80</w:t>
            </w:r>
          </w:p>
        </w:tc>
      </w:tr>
    </w:tbl>
    <w:p w14:paraId="28C2ADE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2.生态系统分布</w:t>
      </w:r>
    </w:p>
    <w:p w14:paraId="51F5C56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（1）森林生态系统</w:t>
      </w:r>
    </w:p>
    <w:p w14:paraId="23200E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评价区位于黑龙江省北部，评价区森林生态系统分布广泛，区域气候温和，光照充足，自然环境良好，较有利于森林生态系统发育。根据遥感解译，评价区森林生态系统面积为</w:t>
      </w:r>
      <w:r>
        <w:rPr>
          <w:rFonts w:hint="eastAsia" w:cs="Times New Roman"/>
          <w:color w:val="auto"/>
          <w:kern w:val="21"/>
          <w:highlight w:val="none"/>
          <w:lang w:val="en-US" w:eastAsia="zh-CN"/>
        </w:rPr>
        <w:t>120.47h</w:t>
      </w:r>
      <w:r>
        <w:rPr>
          <w:rFonts w:hint="eastAsia" w:ascii="Times New Roman" w:hAnsi="Times New Roman" w:cs="Times New Roman"/>
          <w:color w:val="auto"/>
          <w:kern w:val="21"/>
          <w:highlight w:val="none"/>
          <w:lang w:val="en-US" w:eastAsia="zh-CN"/>
        </w:rPr>
        <w:t>m</w:t>
      </w:r>
      <w:r>
        <w:rPr>
          <w:rFonts w:hint="eastAsia" w:ascii="Times New Roman" w:hAnsi="Times New Roman"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，占总面积的</w:t>
      </w:r>
      <w:r>
        <w:rPr>
          <w:rFonts w:hint="eastAsia" w:cs="Times New Roman"/>
          <w:color w:val="auto"/>
          <w:kern w:val="21"/>
          <w:highlight w:val="none"/>
          <w:lang w:val="en-US" w:eastAsia="zh-CN"/>
        </w:rPr>
        <w:t>53.72</w:t>
      </w:r>
      <w:r>
        <w:rPr>
          <w:rFonts w:hint="eastAsia" w:ascii="Times New Roman" w:hAnsi="Times New Roman" w:cs="Times New Roman"/>
          <w:color w:val="auto"/>
          <w:kern w:val="21"/>
          <w:highlight w:val="none"/>
          <w:lang w:val="en-US" w:eastAsia="zh-CN"/>
        </w:rPr>
        <w:t>%。根据现场调查及结合评价区植被类型图，区域森林生态系统主要分布于项目拟选厂址周边。</w:t>
      </w:r>
    </w:p>
    <w:p w14:paraId="5B5114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w:t>
      </w:r>
      <w:r>
        <w:rPr>
          <w:rFonts w:hint="eastAsia" w:cs="Times New Roman"/>
          <w:color w:val="auto"/>
          <w:kern w:val="21"/>
          <w:highlight w:val="none"/>
          <w:lang w:val="en-US" w:eastAsia="zh-CN"/>
        </w:rPr>
        <w:t>2</w:t>
      </w:r>
      <w:r>
        <w:rPr>
          <w:rFonts w:hint="eastAsia" w:ascii="Times New Roman" w:hAnsi="Times New Roman" w:cs="Times New Roman"/>
          <w:color w:val="auto"/>
          <w:kern w:val="21"/>
          <w:highlight w:val="none"/>
          <w:lang w:val="en-US" w:eastAsia="zh-CN"/>
        </w:rPr>
        <w:t>）农田生态系统</w:t>
      </w:r>
    </w:p>
    <w:p w14:paraId="6D7920E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根遥感解译，评价区农田生态系统面积为</w:t>
      </w:r>
      <w:r>
        <w:rPr>
          <w:rFonts w:hint="eastAsia" w:cs="Times New Roman"/>
          <w:color w:val="auto"/>
          <w:kern w:val="21"/>
          <w:highlight w:val="none"/>
          <w:lang w:val="en-US" w:eastAsia="zh-CN"/>
        </w:rPr>
        <w:t>39.93</w:t>
      </w:r>
      <w:r>
        <w:rPr>
          <w:rFonts w:hint="eastAsia" w:ascii="Times New Roman" w:hAnsi="Times New Roman" w:cs="Times New Roman"/>
          <w:color w:val="auto"/>
          <w:kern w:val="21"/>
          <w:highlight w:val="none"/>
          <w:lang w:val="en-US" w:eastAsia="zh-CN"/>
        </w:rPr>
        <w:t>m</w:t>
      </w:r>
      <w:r>
        <w:rPr>
          <w:rFonts w:hint="eastAsia" w:ascii="Times New Roman" w:hAnsi="Times New Roman"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，占总面积的</w:t>
      </w:r>
      <w:r>
        <w:rPr>
          <w:rFonts w:hint="eastAsia" w:cs="Times New Roman"/>
          <w:color w:val="auto"/>
          <w:kern w:val="21"/>
          <w:highlight w:val="none"/>
          <w:lang w:val="en-US" w:eastAsia="zh-CN"/>
        </w:rPr>
        <w:t>17.8</w:t>
      </w:r>
      <w:r>
        <w:rPr>
          <w:rFonts w:hint="eastAsia" w:ascii="Times New Roman" w:hAnsi="Times New Roman" w:cs="Times New Roman"/>
          <w:color w:val="auto"/>
          <w:kern w:val="21"/>
          <w:highlight w:val="none"/>
          <w:lang w:val="en-US" w:eastAsia="zh-CN"/>
        </w:rPr>
        <w:t>%，根据现场调查及结合评价区植被类型图，区域农田生态系统主要</w:t>
      </w:r>
      <w:r>
        <w:rPr>
          <w:rFonts w:hint="eastAsia" w:cs="Times New Roman"/>
          <w:color w:val="auto"/>
          <w:kern w:val="21"/>
          <w:highlight w:val="none"/>
          <w:lang w:val="en-US" w:eastAsia="zh-CN"/>
        </w:rPr>
        <w:t>位于</w:t>
      </w:r>
      <w:r>
        <w:rPr>
          <w:rFonts w:hint="eastAsia" w:ascii="Times New Roman" w:hAnsi="Times New Roman" w:cs="Times New Roman"/>
          <w:color w:val="auto"/>
          <w:kern w:val="21"/>
          <w:highlight w:val="none"/>
          <w:lang w:val="en-US" w:eastAsia="zh-CN"/>
        </w:rPr>
        <w:t>拟选厂址</w:t>
      </w:r>
      <w:r>
        <w:rPr>
          <w:rFonts w:hint="eastAsia" w:cs="Times New Roman"/>
          <w:color w:val="auto"/>
          <w:kern w:val="21"/>
          <w:highlight w:val="none"/>
          <w:lang w:val="en-US" w:eastAsia="zh-CN"/>
        </w:rPr>
        <w:t>北侧和西侧</w:t>
      </w:r>
      <w:r>
        <w:rPr>
          <w:rFonts w:hint="eastAsia" w:ascii="Times New Roman" w:hAnsi="Times New Roman" w:cs="Times New Roman"/>
          <w:color w:val="auto"/>
          <w:kern w:val="21"/>
          <w:highlight w:val="none"/>
          <w:lang w:val="en-US" w:eastAsia="zh-CN"/>
        </w:rPr>
        <w:t>。</w:t>
      </w:r>
    </w:p>
    <w:p w14:paraId="7930E6B4">
      <w:pPr>
        <w:pStyle w:val="6"/>
        <w:bidi w:val="0"/>
        <w:rPr>
          <w:color w:val="auto"/>
          <w:highlight w:val="none"/>
        </w:rPr>
      </w:pPr>
      <w:r>
        <w:rPr>
          <w:rFonts w:hint="eastAsia"/>
          <w:color w:val="auto"/>
          <w:highlight w:val="none"/>
          <w:lang w:val="en-US" w:eastAsia="zh-CN"/>
        </w:rPr>
        <w:t>4.2.6.3</w:t>
      </w:r>
      <w:r>
        <w:rPr>
          <w:color w:val="auto"/>
          <w:highlight w:val="none"/>
          <w:lang w:val="en-US"/>
        </w:rPr>
        <w:t>工程占地情况</w:t>
      </w:r>
    </w:p>
    <w:p w14:paraId="2880282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项目永久占地共</w:t>
      </w:r>
      <w:r>
        <w:rPr>
          <w:rFonts w:hint="eastAsia" w:cs="Times New Roman"/>
          <w:color w:val="auto"/>
          <w:kern w:val="21"/>
          <w:highlight w:val="none"/>
          <w:lang w:val="en-US" w:eastAsia="zh-CN"/>
        </w:rPr>
        <w:t>56.43</w:t>
      </w:r>
      <w:r>
        <w:rPr>
          <w:rFonts w:hint="eastAsia" w:ascii="Times New Roman" w:hAnsi="Times New Roman" w:cs="Times New Roman"/>
          <w:color w:val="auto"/>
          <w:kern w:val="21"/>
          <w:highlight w:val="none"/>
          <w:lang w:val="en-US" w:eastAsia="zh-CN"/>
        </w:rPr>
        <w:t>m</w:t>
      </w:r>
      <w:r>
        <w:rPr>
          <w:rFonts w:hint="eastAsia" w:ascii="Times New Roman" w:hAnsi="Times New Roman"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，全部为新增占地，新增占地</w:t>
      </w:r>
      <w:r>
        <w:rPr>
          <w:rFonts w:hint="eastAsia" w:cs="Times New Roman"/>
          <w:color w:val="auto"/>
          <w:kern w:val="21"/>
          <w:highlight w:val="none"/>
          <w:lang w:val="en-US" w:eastAsia="zh-CN"/>
        </w:rPr>
        <w:t>土地类型为农村设施用地，项目土地现状为空闲地</w:t>
      </w:r>
      <w:r>
        <w:rPr>
          <w:rFonts w:hint="eastAsia" w:ascii="Times New Roman" w:hAnsi="Times New Roman" w:cs="Times New Roman"/>
          <w:color w:val="auto"/>
          <w:kern w:val="21"/>
          <w:highlight w:val="none"/>
          <w:lang w:val="en-US" w:eastAsia="zh-CN"/>
        </w:rPr>
        <w:t>。</w:t>
      </w:r>
    </w:p>
    <w:p w14:paraId="129261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根据遥感解译获取的调查范围内的评价区土地利用类型及面积统计数据，项目永久占地统计情况见下表。</w:t>
      </w:r>
    </w:p>
    <w:p w14:paraId="3925FAE9">
      <w:pPr>
        <w:pStyle w:val="6"/>
        <w:bidi w:val="0"/>
        <w:rPr>
          <w:color w:val="auto"/>
          <w:highlight w:val="none"/>
        </w:rPr>
      </w:pPr>
      <w:r>
        <w:rPr>
          <w:rFonts w:hint="eastAsia"/>
          <w:color w:val="auto"/>
          <w:highlight w:val="none"/>
          <w:lang w:val="en-US" w:eastAsia="zh-CN"/>
        </w:rPr>
        <w:t>4.2.6.4</w:t>
      </w:r>
      <w:r>
        <w:rPr>
          <w:color w:val="auto"/>
          <w:highlight w:val="none"/>
          <w:lang w:val="en-US"/>
        </w:rPr>
        <w:t>土地利用现状</w:t>
      </w:r>
    </w:p>
    <w:p w14:paraId="5CC6AE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1、评价范围内土地利用类型调查</w:t>
      </w:r>
    </w:p>
    <w:p w14:paraId="3E46862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kern w:val="21"/>
          <w:highlight w:val="none"/>
          <w:lang w:val="en-US"/>
        </w:rPr>
      </w:pPr>
      <w:r>
        <w:rPr>
          <w:rFonts w:hint="eastAsia" w:ascii="Times New Roman" w:hAnsi="Times New Roman" w:cs="Times New Roman"/>
          <w:color w:val="auto"/>
          <w:kern w:val="21"/>
          <w:highlight w:val="none"/>
          <w:lang w:val="en-US" w:eastAsia="zh-CN"/>
        </w:rPr>
        <w:t>按照《土地利用现状分类标准》（GBT 21010-2017）的进行地类划分。项目评价区土地利用类型及面积见下表。</w:t>
      </w:r>
    </w:p>
    <w:p w14:paraId="29176765">
      <w:pPr>
        <w:spacing w:line="500" w:lineRule="exact"/>
        <w:ind w:firstLine="0" w:firstLineChars="0"/>
        <w:jc w:val="center"/>
        <w:rPr>
          <w:rFonts w:hint="default" w:ascii="Times New Roman" w:hAnsi="Times New Roman" w:eastAsia="黑体" w:cs="Times New Roman"/>
          <w:snapToGrid w:val="0"/>
          <w:color w:val="auto"/>
          <w:kern w:val="0"/>
          <w:highlight w:val="none"/>
          <w:lang w:val="en-US"/>
        </w:rPr>
      </w:pPr>
      <w:r>
        <w:rPr>
          <w:rFonts w:hint="default" w:ascii="Times New Roman" w:hAnsi="Times New Roman" w:eastAsia="黑体" w:cs="Times New Roman"/>
          <w:snapToGrid w:val="0"/>
          <w:color w:val="auto"/>
          <w:kern w:val="0"/>
          <w:highlight w:val="none"/>
          <w:lang w:val="zh-CN"/>
        </w:rPr>
        <w:t>表</w:t>
      </w:r>
      <w:r>
        <w:rPr>
          <w:rFonts w:hint="eastAsia" w:ascii="Times New Roman" w:hAnsi="Times New Roman" w:eastAsia="黑体" w:cs="Times New Roman"/>
          <w:snapToGrid w:val="0"/>
          <w:color w:val="auto"/>
          <w:kern w:val="0"/>
          <w:highlight w:val="none"/>
          <w:lang w:val="en-US" w:eastAsia="zh-CN"/>
        </w:rPr>
        <w:t>4-2-2</w:t>
      </w:r>
      <w:r>
        <w:rPr>
          <w:rFonts w:hint="eastAsia" w:eastAsia="黑体" w:cs="Times New Roman"/>
          <w:snapToGrid w:val="0"/>
          <w:color w:val="auto"/>
          <w:kern w:val="0"/>
          <w:highlight w:val="none"/>
          <w:lang w:val="en-US" w:eastAsia="zh-CN"/>
        </w:rPr>
        <w:t xml:space="preserve">4 </w:t>
      </w:r>
      <w:r>
        <w:rPr>
          <w:rFonts w:hint="default" w:ascii="Times New Roman" w:hAnsi="Times New Roman" w:eastAsia="黑体" w:cs="Times New Roman"/>
          <w:snapToGrid w:val="0"/>
          <w:color w:val="auto"/>
          <w:kern w:val="0"/>
          <w:highlight w:val="none"/>
          <w:lang w:val="zh-CN"/>
        </w:rPr>
        <w:t>环境防护距离范围内土地利用类型及面积统计</w:t>
      </w:r>
    </w:p>
    <w:tbl>
      <w:tblPr>
        <w:tblStyle w:val="47"/>
        <w:tblW w:w="496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1514"/>
        <w:gridCol w:w="897"/>
        <w:gridCol w:w="1612"/>
        <w:gridCol w:w="1086"/>
        <w:gridCol w:w="1037"/>
        <w:gridCol w:w="1116"/>
        <w:gridCol w:w="992"/>
      </w:tblGrid>
      <w:tr w14:paraId="22092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Merge w:val="restart"/>
            <w:vAlign w:val="center"/>
          </w:tcPr>
          <w:p w14:paraId="47517F3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一级类</w:t>
            </w:r>
          </w:p>
        </w:tc>
        <w:tc>
          <w:tcPr>
            <w:tcW w:w="1519" w:type="pct"/>
            <w:gridSpan w:val="2"/>
            <w:vAlign w:val="center"/>
          </w:tcPr>
          <w:p w14:paraId="2B88810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二级类</w:t>
            </w:r>
          </w:p>
        </w:tc>
        <w:tc>
          <w:tcPr>
            <w:tcW w:w="1286" w:type="pct"/>
            <w:gridSpan w:val="2"/>
            <w:vAlign w:val="center"/>
          </w:tcPr>
          <w:p w14:paraId="03ABC9F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评价范围内</w:t>
            </w:r>
          </w:p>
        </w:tc>
        <w:tc>
          <w:tcPr>
            <w:tcW w:w="1277" w:type="pct"/>
            <w:gridSpan w:val="2"/>
            <w:vAlign w:val="center"/>
          </w:tcPr>
          <w:p w14:paraId="10AD0F6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项目区</w:t>
            </w:r>
          </w:p>
        </w:tc>
      </w:tr>
      <w:tr w14:paraId="0169F7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Merge w:val="continue"/>
            <w:vAlign w:val="center"/>
          </w:tcPr>
          <w:p w14:paraId="53B7BA13">
            <w:pPr>
              <w:pStyle w:val="492"/>
              <w:bidi w:val="0"/>
              <w:ind w:firstLine="0" w:firstLineChars="0"/>
              <w:rPr>
                <w:rFonts w:hint="eastAsia" w:ascii="Times New Roman" w:hAnsi="Times New Roman" w:eastAsia="宋体" w:cs="Times New Roman"/>
                <w:color w:val="auto"/>
                <w:highlight w:val="none"/>
                <w:lang w:val="en-US" w:eastAsia="zh-CN"/>
              </w:rPr>
            </w:pPr>
          </w:p>
        </w:tc>
        <w:tc>
          <w:tcPr>
            <w:tcW w:w="543" w:type="pct"/>
            <w:vAlign w:val="center"/>
          </w:tcPr>
          <w:p w14:paraId="0421830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地类代码</w:t>
            </w:r>
          </w:p>
        </w:tc>
        <w:tc>
          <w:tcPr>
            <w:tcW w:w="975" w:type="pct"/>
            <w:vAlign w:val="center"/>
          </w:tcPr>
          <w:p w14:paraId="0E72826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地类名称</w:t>
            </w:r>
          </w:p>
        </w:tc>
        <w:tc>
          <w:tcPr>
            <w:tcW w:w="658" w:type="pct"/>
            <w:vAlign w:val="center"/>
          </w:tcPr>
          <w:p w14:paraId="6D3BA67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面积（hm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p>
        </w:tc>
        <w:tc>
          <w:tcPr>
            <w:tcW w:w="628" w:type="pct"/>
            <w:vAlign w:val="center"/>
          </w:tcPr>
          <w:p w14:paraId="227F351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比例（%）</w:t>
            </w:r>
          </w:p>
        </w:tc>
        <w:tc>
          <w:tcPr>
            <w:tcW w:w="676" w:type="pct"/>
            <w:vAlign w:val="center"/>
          </w:tcPr>
          <w:p w14:paraId="1228AB6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面积（hm</w:t>
            </w:r>
            <w:r>
              <w:rPr>
                <w:rFonts w:hint="eastAsia" w:ascii="Times New Roman" w:hAnsi="Times New Roman" w:eastAsia="宋体" w:cs="Times New Roman"/>
                <w:color w:val="auto"/>
                <w:highlight w:val="none"/>
                <w:vertAlign w:val="superscript"/>
                <w:lang w:val="en-US" w:eastAsia="zh-CN"/>
              </w:rPr>
              <w:t>2</w:t>
            </w:r>
            <w:r>
              <w:rPr>
                <w:rFonts w:hint="eastAsia" w:ascii="Times New Roman" w:hAnsi="Times New Roman" w:eastAsia="宋体" w:cs="Times New Roman"/>
                <w:color w:val="auto"/>
                <w:highlight w:val="none"/>
                <w:lang w:val="en-US" w:eastAsia="zh-CN"/>
              </w:rPr>
              <w:t>）</w:t>
            </w:r>
          </w:p>
        </w:tc>
        <w:tc>
          <w:tcPr>
            <w:tcW w:w="601" w:type="pct"/>
            <w:vAlign w:val="center"/>
          </w:tcPr>
          <w:p w14:paraId="0ADB2D7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比例（%）</w:t>
            </w:r>
          </w:p>
        </w:tc>
      </w:tr>
      <w:tr w14:paraId="5FF007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Align w:val="center"/>
          </w:tcPr>
          <w:p w14:paraId="2C14B6F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耕地</w:t>
            </w:r>
          </w:p>
        </w:tc>
        <w:tc>
          <w:tcPr>
            <w:tcW w:w="543" w:type="pct"/>
            <w:vAlign w:val="center"/>
          </w:tcPr>
          <w:p w14:paraId="1777A83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0103</w:t>
            </w:r>
          </w:p>
        </w:tc>
        <w:tc>
          <w:tcPr>
            <w:tcW w:w="975" w:type="pct"/>
            <w:vAlign w:val="center"/>
          </w:tcPr>
          <w:p w14:paraId="2D33870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旱地</w:t>
            </w:r>
          </w:p>
        </w:tc>
        <w:tc>
          <w:tcPr>
            <w:tcW w:w="658" w:type="pct"/>
            <w:vAlign w:val="center"/>
          </w:tcPr>
          <w:p w14:paraId="7D15B1E1">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39.93</w:t>
            </w:r>
          </w:p>
        </w:tc>
        <w:tc>
          <w:tcPr>
            <w:tcW w:w="628" w:type="pct"/>
            <w:vAlign w:val="center"/>
          </w:tcPr>
          <w:p w14:paraId="6D4F10C7">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17.80</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3C7021F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01" w:type="pct"/>
            <w:vAlign w:val="center"/>
          </w:tcPr>
          <w:p w14:paraId="34BF06F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3D4CE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Align w:val="center"/>
          </w:tcPr>
          <w:p w14:paraId="29EE000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林地</w:t>
            </w:r>
          </w:p>
        </w:tc>
        <w:tc>
          <w:tcPr>
            <w:tcW w:w="543" w:type="pct"/>
            <w:vAlign w:val="center"/>
          </w:tcPr>
          <w:p w14:paraId="5936602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0301</w:t>
            </w:r>
          </w:p>
        </w:tc>
        <w:tc>
          <w:tcPr>
            <w:tcW w:w="975" w:type="pct"/>
            <w:vAlign w:val="center"/>
          </w:tcPr>
          <w:p w14:paraId="5913725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乔木林地</w:t>
            </w:r>
          </w:p>
        </w:tc>
        <w:tc>
          <w:tcPr>
            <w:tcW w:w="658" w:type="pct"/>
            <w:vAlign w:val="center"/>
          </w:tcPr>
          <w:p w14:paraId="77AA3FA4">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120.48</w:t>
            </w:r>
          </w:p>
        </w:tc>
        <w:tc>
          <w:tcPr>
            <w:tcW w:w="628" w:type="pct"/>
            <w:vAlign w:val="center"/>
          </w:tcPr>
          <w:p w14:paraId="3A65A5C3">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53.71</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77FF1B6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01" w:type="pct"/>
            <w:vAlign w:val="center"/>
          </w:tcPr>
          <w:p w14:paraId="648D76E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20324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Merge w:val="restart"/>
            <w:vAlign w:val="center"/>
          </w:tcPr>
          <w:p w14:paraId="0614DE6C">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交通设施用地</w:t>
            </w:r>
          </w:p>
        </w:tc>
        <w:tc>
          <w:tcPr>
            <w:tcW w:w="543" w:type="pct"/>
            <w:vAlign w:val="center"/>
          </w:tcPr>
          <w:p w14:paraId="5171B2F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r>
              <w:rPr>
                <w:rFonts w:hint="eastAsia" w:cs="Times New Roman"/>
                <w:color w:val="auto"/>
                <w:highlight w:val="none"/>
                <w:lang w:val="en-US" w:eastAsia="zh-CN"/>
              </w:rPr>
              <w:t>3</w:t>
            </w:r>
          </w:p>
        </w:tc>
        <w:tc>
          <w:tcPr>
            <w:tcW w:w="975" w:type="pct"/>
            <w:vAlign w:val="center"/>
          </w:tcPr>
          <w:p w14:paraId="78AD8A9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公路用地</w:t>
            </w:r>
          </w:p>
        </w:tc>
        <w:tc>
          <w:tcPr>
            <w:tcW w:w="658" w:type="pct"/>
            <w:vAlign w:val="center"/>
          </w:tcPr>
          <w:p w14:paraId="2BA6148C">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2.97</w:t>
            </w:r>
          </w:p>
        </w:tc>
        <w:tc>
          <w:tcPr>
            <w:tcW w:w="628" w:type="pct"/>
            <w:vAlign w:val="center"/>
          </w:tcPr>
          <w:p w14:paraId="612BC55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1.32</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2BEC564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01" w:type="pct"/>
            <w:vAlign w:val="center"/>
          </w:tcPr>
          <w:p w14:paraId="79DC7D0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401729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Merge w:val="continue"/>
            <w:vAlign w:val="center"/>
          </w:tcPr>
          <w:p w14:paraId="49AD0C24">
            <w:pPr>
              <w:pStyle w:val="492"/>
              <w:bidi w:val="0"/>
              <w:ind w:firstLine="0" w:firstLineChars="0"/>
              <w:rPr>
                <w:rFonts w:hint="eastAsia" w:ascii="Times New Roman" w:hAnsi="Times New Roman" w:eastAsia="宋体" w:cs="Times New Roman"/>
                <w:color w:val="auto"/>
                <w:highlight w:val="none"/>
                <w:lang w:val="en-US" w:eastAsia="zh-CN"/>
              </w:rPr>
            </w:pPr>
          </w:p>
        </w:tc>
        <w:tc>
          <w:tcPr>
            <w:tcW w:w="543" w:type="pct"/>
            <w:vAlign w:val="center"/>
          </w:tcPr>
          <w:p w14:paraId="6749BF4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1006</w:t>
            </w:r>
          </w:p>
        </w:tc>
        <w:tc>
          <w:tcPr>
            <w:tcW w:w="975" w:type="pct"/>
            <w:vAlign w:val="center"/>
          </w:tcPr>
          <w:p w14:paraId="375B54E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农村道路</w:t>
            </w:r>
          </w:p>
        </w:tc>
        <w:tc>
          <w:tcPr>
            <w:tcW w:w="658" w:type="pct"/>
            <w:vAlign w:val="center"/>
          </w:tcPr>
          <w:p w14:paraId="47D33B58">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4.15</w:t>
            </w:r>
          </w:p>
        </w:tc>
        <w:tc>
          <w:tcPr>
            <w:tcW w:w="628" w:type="pct"/>
            <w:vAlign w:val="center"/>
          </w:tcPr>
          <w:p w14:paraId="7287AA7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83</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1AF6597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01" w:type="pct"/>
            <w:vAlign w:val="center"/>
          </w:tcPr>
          <w:p w14:paraId="10EF638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32834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Align w:val="center"/>
          </w:tcPr>
          <w:p w14:paraId="5006022E">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水域及水利设施用地</w:t>
            </w:r>
          </w:p>
        </w:tc>
        <w:tc>
          <w:tcPr>
            <w:tcW w:w="543" w:type="pct"/>
            <w:vAlign w:val="center"/>
          </w:tcPr>
          <w:p w14:paraId="4DFB5512">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1104</w:t>
            </w:r>
          </w:p>
        </w:tc>
        <w:tc>
          <w:tcPr>
            <w:tcW w:w="975" w:type="pct"/>
            <w:vAlign w:val="center"/>
          </w:tcPr>
          <w:p w14:paraId="1BA40DF5">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坑塘水面</w:t>
            </w:r>
          </w:p>
        </w:tc>
        <w:tc>
          <w:tcPr>
            <w:tcW w:w="658" w:type="pct"/>
            <w:vAlign w:val="center"/>
          </w:tcPr>
          <w:p w14:paraId="3ED1EE11">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0.32</w:t>
            </w:r>
          </w:p>
        </w:tc>
        <w:tc>
          <w:tcPr>
            <w:tcW w:w="628" w:type="pct"/>
            <w:vAlign w:val="center"/>
          </w:tcPr>
          <w:p w14:paraId="725DC12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w:t>
            </w: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7A55B79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01" w:type="pct"/>
            <w:vAlign w:val="center"/>
          </w:tcPr>
          <w:p w14:paraId="779DD67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519C0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17" w:type="pct"/>
            <w:vAlign w:val="center"/>
          </w:tcPr>
          <w:p w14:paraId="323D65A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其他土地</w:t>
            </w:r>
          </w:p>
        </w:tc>
        <w:tc>
          <w:tcPr>
            <w:tcW w:w="543" w:type="pct"/>
            <w:vAlign w:val="center"/>
          </w:tcPr>
          <w:p w14:paraId="1A16AF57">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1201</w:t>
            </w:r>
          </w:p>
        </w:tc>
        <w:tc>
          <w:tcPr>
            <w:tcW w:w="975" w:type="pct"/>
            <w:vAlign w:val="center"/>
          </w:tcPr>
          <w:p w14:paraId="25DDB1A0">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空闲地</w:t>
            </w:r>
          </w:p>
        </w:tc>
        <w:tc>
          <w:tcPr>
            <w:tcW w:w="658" w:type="pct"/>
            <w:vAlign w:val="center"/>
          </w:tcPr>
          <w:p w14:paraId="692B1A0B">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56.43</w:t>
            </w:r>
          </w:p>
        </w:tc>
        <w:tc>
          <w:tcPr>
            <w:tcW w:w="628" w:type="pct"/>
            <w:vAlign w:val="center"/>
          </w:tcPr>
          <w:p w14:paraId="3F7E8E8F">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25.16</w:t>
            </w:r>
            <w:r>
              <w:rPr>
                <w:rFonts w:hint="eastAsia" w:ascii="Times New Roman" w:hAnsi="Times New Roman" w:eastAsia="宋体" w:cs="Times New Roman"/>
                <w:color w:val="auto"/>
                <w:highlight w:val="none"/>
                <w:lang w:val="en-US" w:eastAsia="zh-CN"/>
              </w:rPr>
              <w:t xml:space="preserve"> </w:t>
            </w:r>
          </w:p>
        </w:tc>
        <w:tc>
          <w:tcPr>
            <w:tcW w:w="676" w:type="pct"/>
            <w:vAlign w:val="center"/>
          </w:tcPr>
          <w:p w14:paraId="1FC80FB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56.43</w:t>
            </w:r>
          </w:p>
        </w:tc>
        <w:tc>
          <w:tcPr>
            <w:tcW w:w="601" w:type="pct"/>
            <w:vAlign w:val="center"/>
          </w:tcPr>
          <w:p w14:paraId="2F623695">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r w14:paraId="014AE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2436" w:type="pct"/>
            <w:gridSpan w:val="3"/>
            <w:vAlign w:val="center"/>
          </w:tcPr>
          <w:p w14:paraId="6ACAB5D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合计</w:t>
            </w:r>
          </w:p>
        </w:tc>
        <w:tc>
          <w:tcPr>
            <w:tcW w:w="658" w:type="pct"/>
            <w:shd w:val="clear" w:color="auto" w:fill="auto"/>
            <w:vAlign w:val="center"/>
          </w:tcPr>
          <w:p w14:paraId="7345315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224.29</w:t>
            </w:r>
          </w:p>
        </w:tc>
        <w:tc>
          <w:tcPr>
            <w:tcW w:w="628" w:type="pct"/>
            <w:vAlign w:val="center"/>
          </w:tcPr>
          <w:p w14:paraId="755858D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fldChar w:fldCharType="begin"/>
            </w:r>
            <w:r>
              <w:rPr>
                <w:rFonts w:hint="eastAsia" w:ascii="Times New Roman" w:hAnsi="Times New Roman" w:eastAsia="宋体" w:cs="Times New Roman"/>
                <w:color w:val="auto"/>
                <w:highlight w:val="none"/>
                <w:lang w:val="en-US" w:eastAsia="zh-CN"/>
              </w:rPr>
              <w:instrText xml:space="preserve"> =SUM(ABOVE) </w:instrText>
            </w:r>
            <w:r>
              <w:rPr>
                <w:rFonts w:hint="eastAsia" w:ascii="Times New Roman" w:hAnsi="Times New Roman" w:eastAsia="宋体" w:cs="Times New Roman"/>
                <w:color w:val="auto"/>
                <w:highlight w:val="none"/>
                <w:lang w:val="en-US" w:eastAsia="zh-CN"/>
              </w:rPr>
              <w:fldChar w:fldCharType="separate"/>
            </w:r>
            <w:r>
              <w:rPr>
                <w:rFonts w:hint="eastAsia" w:ascii="Times New Roman" w:hAnsi="Times New Roman" w:eastAsia="宋体" w:cs="Times New Roman"/>
                <w:color w:val="auto"/>
                <w:highlight w:val="none"/>
                <w:lang w:val="en-US" w:eastAsia="zh-CN"/>
              </w:rPr>
              <w:t>100</w:t>
            </w:r>
            <w:r>
              <w:rPr>
                <w:rFonts w:hint="eastAsia" w:ascii="Times New Roman" w:hAnsi="Times New Roman" w:eastAsia="宋体" w:cs="Times New Roman"/>
                <w:color w:val="auto"/>
                <w:highlight w:val="none"/>
                <w:lang w:val="en-US" w:eastAsia="zh-CN"/>
              </w:rPr>
              <w:fldChar w:fldCharType="end"/>
            </w:r>
          </w:p>
        </w:tc>
        <w:tc>
          <w:tcPr>
            <w:tcW w:w="676" w:type="pct"/>
            <w:vAlign w:val="center"/>
          </w:tcPr>
          <w:p w14:paraId="11D76C96">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56.4</w:t>
            </w:r>
            <w:r>
              <w:rPr>
                <w:rFonts w:hint="eastAsia" w:cs="Times New Roman"/>
                <w:color w:val="auto"/>
                <w:highlight w:val="none"/>
                <w:lang w:val="en-US" w:eastAsia="zh-CN"/>
              </w:rPr>
              <w:t>3</w:t>
            </w:r>
          </w:p>
        </w:tc>
        <w:tc>
          <w:tcPr>
            <w:tcW w:w="601" w:type="pct"/>
            <w:vAlign w:val="center"/>
          </w:tcPr>
          <w:p w14:paraId="4A4D534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bl>
    <w:p w14:paraId="37C50E55">
      <w:pPr>
        <w:autoSpaceDE/>
        <w:autoSpaceDN/>
        <w:spacing w:before="120" w:beforeLines="50"/>
        <w:ind w:left="0" w:leftChars="0" w:firstLine="480" w:firstLineChars="200"/>
        <w:jc w:val="both"/>
        <w:rPr>
          <w:rFonts w:hint="eastAsia" w:ascii="Times New Roman" w:hAnsi="Times New Roman" w:cs="Times New Roman"/>
          <w:color w:val="auto"/>
          <w:kern w:val="21"/>
          <w:highlight w:val="none"/>
          <w:lang w:val="en-US" w:eastAsia="zh-CN"/>
        </w:rPr>
      </w:pPr>
      <w:r>
        <w:rPr>
          <w:rFonts w:hint="eastAsia" w:ascii="Times New Roman" w:hAnsi="Times New Roman" w:cs="Times New Roman"/>
          <w:color w:val="auto"/>
          <w:kern w:val="21"/>
          <w:highlight w:val="none"/>
          <w:lang w:val="en-US" w:eastAsia="zh-CN"/>
        </w:rPr>
        <w:t>根据遥感解译获取的环境防护距离内土地利用现状，项目生态调查面积为</w:t>
      </w:r>
      <w:r>
        <w:rPr>
          <w:rFonts w:hint="eastAsia" w:cs="Times New Roman"/>
          <w:color w:val="auto"/>
          <w:kern w:val="21"/>
          <w:highlight w:val="none"/>
          <w:lang w:val="en-US" w:eastAsia="zh-CN"/>
        </w:rPr>
        <w:t>224.29h</w:t>
      </w:r>
      <w:r>
        <w:rPr>
          <w:rFonts w:hint="eastAsia" w:ascii="Times New Roman" w:hAnsi="Times New Roman" w:cs="Times New Roman"/>
          <w:color w:val="auto"/>
          <w:kern w:val="21"/>
          <w:highlight w:val="none"/>
          <w:lang w:val="en-US" w:eastAsia="zh-CN"/>
        </w:rPr>
        <w:t>m</w:t>
      </w:r>
      <w:r>
        <w:rPr>
          <w:rFonts w:hint="eastAsia" w:ascii="Times New Roman" w:hAnsi="Times New Roman"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，其中以</w:t>
      </w:r>
      <w:r>
        <w:rPr>
          <w:rFonts w:hint="eastAsia" w:cs="Times New Roman"/>
          <w:color w:val="auto"/>
          <w:kern w:val="21"/>
          <w:highlight w:val="none"/>
          <w:lang w:val="en-US" w:eastAsia="zh-CN"/>
        </w:rPr>
        <w:t>林地</w:t>
      </w:r>
      <w:r>
        <w:rPr>
          <w:rFonts w:hint="eastAsia" w:ascii="Times New Roman" w:hAnsi="Times New Roman" w:cs="Times New Roman"/>
          <w:color w:val="auto"/>
          <w:kern w:val="21"/>
          <w:highlight w:val="none"/>
          <w:lang w:val="en-US" w:eastAsia="zh-CN"/>
        </w:rPr>
        <w:t>面积最大，面积为</w:t>
      </w:r>
      <w:r>
        <w:rPr>
          <w:rFonts w:hint="eastAsia" w:cs="Times New Roman"/>
          <w:color w:val="auto"/>
          <w:kern w:val="21"/>
          <w:highlight w:val="none"/>
          <w:lang w:val="en-US" w:eastAsia="zh-CN"/>
        </w:rPr>
        <w:t>120.48h</w:t>
      </w:r>
      <w:r>
        <w:rPr>
          <w:rFonts w:hint="eastAsia" w:ascii="Times New Roman" w:hAnsi="Times New Roman" w:cs="Times New Roman"/>
          <w:color w:val="auto"/>
          <w:kern w:val="21"/>
          <w:highlight w:val="none"/>
          <w:lang w:val="en-US" w:eastAsia="zh-CN"/>
        </w:rPr>
        <w:t>m</w:t>
      </w:r>
      <w:r>
        <w:rPr>
          <w:rFonts w:hint="eastAsia" w:ascii="Times New Roman" w:hAnsi="Times New Roman"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，占总面积的</w:t>
      </w:r>
      <w:r>
        <w:rPr>
          <w:rFonts w:hint="eastAsia" w:cs="Times New Roman"/>
          <w:color w:val="auto"/>
          <w:kern w:val="21"/>
          <w:highlight w:val="none"/>
          <w:lang w:val="en-US" w:eastAsia="zh-CN"/>
        </w:rPr>
        <w:t>53.71</w:t>
      </w:r>
      <w:r>
        <w:rPr>
          <w:rFonts w:hint="eastAsia" w:ascii="Times New Roman" w:hAnsi="Times New Roman" w:cs="Times New Roman"/>
          <w:color w:val="auto"/>
          <w:kern w:val="21"/>
          <w:highlight w:val="none"/>
          <w:lang w:val="en-US" w:eastAsia="zh-CN"/>
        </w:rPr>
        <w:t>%；其次</w:t>
      </w:r>
      <w:r>
        <w:rPr>
          <w:rFonts w:hint="eastAsia" w:cs="Times New Roman"/>
          <w:color w:val="auto"/>
          <w:kern w:val="21"/>
          <w:highlight w:val="none"/>
          <w:lang w:val="en-US" w:eastAsia="zh-CN"/>
        </w:rPr>
        <w:t>为空闲地</w:t>
      </w:r>
      <w:r>
        <w:rPr>
          <w:rFonts w:hint="eastAsia" w:ascii="Times New Roman" w:hAnsi="Times New Roman" w:cs="Times New Roman"/>
          <w:color w:val="auto"/>
          <w:kern w:val="21"/>
          <w:highlight w:val="none"/>
          <w:lang w:val="en-US" w:eastAsia="zh-CN"/>
        </w:rPr>
        <w:t>，面积</w:t>
      </w:r>
      <w:r>
        <w:rPr>
          <w:rFonts w:hint="eastAsia" w:cs="Times New Roman"/>
          <w:color w:val="auto"/>
          <w:kern w:val="21"/>
          <w:highlight w:val="none"/>
          <w:lang w:val="en-US" w:eastAsia="zh-CN"/>
        </w:rPr>
        <w:t>56.43hm</w:t>
      </w:r>
      <w:r>
        <w:rPr>
          <w:rFonts w:hint="eastAsia" w:cs="Times New Roman"/>
          <w:color w:val="auto"/>
          <w:kern w:val="21"/>
          <w:highlight w:val="none"/>
          <w:vertAlign w:val="superscript"/>
          <w:lang w:val="en-US" w:eastAsia="zh-CN"/>
        </w:rPr>
        <w:t>2</w:t>
      </w:r>
      <w:r>
        <w:rPr>
          <w:rFonts w:hint="eastAsia" w:ascii="Times New Roman" w:hAnsi="Times New Roman" w:cs="Times New Roman"/>
          <w:color w:val="auto"/>
          <w:kern w:val="21"/>
          <w:highlight w:val="none"/>
          <w:lang w:val="en-US" w:eastAsia="zh-CN"/>
        </w:rPr>
        <w:t>，占总面积的</w:t>
      </w:r>
      <w:r>
        <w:rPr>
          <w:rFonts w:hint="eastAsia" w:cs="Times New Roman"/>
          <w:color w:val="auto"/>
          <w:kern w:val="21"/>
          <w:highlight w:val="none"/>
          <w:lang w:val="en-US" w:eastAsia="zh-CN"/>
        </w:rPr>
        <w:t>25.16</w:t>
      </w:r>
      <w:r>
        <w:rPr>
          <w:rFonts w:hint="eastAsia" w:ascii="Times New Roman" w:hAnsi="Times New Roman" w:cs="Times New Roman"/>
          <w:color w:val="auto"/>
          <w:kern w:val="21"/>
          <w:highlight w:val="none"/>
          <w:lang w:val="en-US" w:eastAsia="zh-CN"/>
        </w:rPr>
        <w:t>%。</w:t>
      </w:r>
    </w:p>
    <w:p w14:paraId="5C371E8B">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r>
        <w:rPr>
          <w:rFonts w:hint="eastAsia" w:ascii="Times New Roman" w:hAnsi="Times New Roman" w:eastAsia="宋体" w:cs="Times New Roman"/>
          <w:b/>
          <w:bCs/>
          <w:color w:val="auto"/>
          <w:kern w:val="21"/>
          <w:szCs w:val="28"/>
          <w:highlight w:val="none"/>
          <w:lang w:eastAsia="zh-CN"/>
        </w:rPr>
        <w:drawing>
          <wp:inline distT="0" distB="0" distL="114300" distR="114300">
            <wp:extent cx="5271135" cy="7449185"/>
            <wp:effectExtent l="0" t="0" r="5715" b="18415"/>
            <wp:docPr id="24" name="图片 24"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土地利用"/>
                    <pic:cNvPicPr>
                      <a:picLocks noChangeAspect="1"/>
                    </pic:cNvPicPr>
                  </pic:nvPicPr>
                  <pic:blipFill>
                    <a:blip r:embed="rId52"/>
                    <a:stretch>
                      <a:fillRect/>
                    </a:stretch>
                  </pic:blipFill>
                  <pic:spPr>
                    <a:xfrm>
                      <a:off x="0" y="0"/>
                      <a:ext cx="5271135" cy="7449185"/>
                    </a:xfrm>
                    <a:prstGeom prst="rect">
                      <a:avLst/>
                    </a:prstGeom>
                  </pic:spPr>
                </pic:pic>
              </a:graphicData>
            </a:graphic>
          </wp:inline>
        </w:drawing>
      </w:r>
    </w:p>
    <w:p w14:paraId="3AEFDAAB">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图4</w:t>
      </w:r>
      <w:r>
        <w:rPr>
          <w:rFonts w:hint="eastAsia" w:eastAsia="黑体" w:cs="Times New Roman"/>
          <w:snapToGrid w:val="0"/>
          <w:color w:val="auto"/>
          <w:kern w:val="0"/>
          <w:highlight w:val="none"/>
          <w:lang w:val="en-US" w:eastAsia="zh-CN"/>
        </w:rPr>
        <w:t>.</w:t>
      </w:r>
      <w:r>
        <w:rPr>
          <w:rFonts w:hint="eastAsia" w:ascii="Times New Roman" w:hAnsi="Times New Roman" w:eastAsia="黑体" w:cs="Times New Roman"/>
          <w:snapToGrid w:val="0"/>
          <w:color w:val="auto"/>
          <w:kern w:val="0"/>
          <w:highlight w:val="none"/>
          <w:lang w:val="en-US" w:eastAsia="zh-CN"/>
        </w:rPr>
        <w:t>2-</w:t>
      </w:r>
      <w:r>
        <w:rPr>
          <w:rFonts w:hint="eastAsia" w:eastAsia="黑体" w:cs="Times New Roman"/>
          <w:snapToGrid w:val="0"/>
          <w:color w:val="auto"/>
          <w:kern w:val="0"/>
          <w:highlight w:val="none"/>
          <w:lang w:val="en-US" w:eastAsia="zh-CN"/>
        </w:rPr>
        <w:t>4</w:t>
      </w:r>
      <w:r>
        <w:rPr>
          <w:rFonts w:hint="eastAsia" w:ascii="Times New Roman" w:hAnsi="Times New Roman" w:eastAsia="黑体" w:cs="Times New Roman"/>
          <w:snapToGrid w:val="0"/>
          <w:color w:val="auto"/>
          <w:kern w:val="0"/>
          <w:highlight w:val="none"/>
          <w:lang w:val="en-US" w:eastAsia="zh-CN"/>
        </w:rPr>
        <w:t xml:space="preserve"> 评价范围内土地利用现状示意图</w:t>
      </w:r>
    </w:p>
    <w:p w14:paraId="1281951B">
      <w:pPr>
        <w:pStyle w:val="6"/>
        <w:bidi w:val="0"/>
        <w:rPr>
          <w:color w:val="auto"/>
          <w:highlight w:val="none"/>
        </w:rPr>
      </w:pPr>
      <w:r>
        <w:rPr>
          <w:rFonts w:hint="eastAsia"/>
          <w:color w:val="auto"/>
          <w:highlight w:val="none"/>
          <w:lang w:val="en-US" w:eastAsia="zh-CN"/>
        </w:rPr>
        <w:t>4.2.6.5</w:t>
      </w:r>
      <w:r>
        <w:rPr>
          <w:color w:val="auto"/>
          <w:highlight w:val="none"/>
          <w:lang w:val="en-US"/>
        </w:rPr>
        <w:t>土壤现状</w:t>
      </w:r>
    </w:p>
    <w:p w14:paraId="558DACF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根据资料收集及现场调查，项目评价区土壤主要类型为黑土、黑钙土、草甸土等，以黑土为主，土壤有机质含量较高。</w:t>
      </w:r>
    </w:p>
    <w:p w14:paraId="55B3BF16">
      <w:pPr>
        <w:pStyle w:val="6"/>
        <w:bidi w:val="0"/>
        <w:rPr>
          <w:color w:val="auto"/>
          <w:highlight w:val="none"/>
        </w:rPr>
      </w:pPr>
      <w:r>
        <w:rPr>
          <w:rFonts w:hint="eastAsia"/>
          <w:color w:val="auto"/>
          <w:highlight w:val="none"/>
          <w:lang w:val="en-US" w:eastAsia="zh-CN"/>
        </w:rPr>
        <w:t>4.2.6.6</w:t>
      </w:r>
      <w:r>
        <w:rPr>
          <w:color w:val="auto"/>
          <w:highlight w:val="none"/>
          <w:lang w:val="en-US"/>
        </w:rPr>
        <w:t>水土流失现状</w:t>
      </w:r>
    </w:p>
    <w:p w14:paraId="6503EB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黑龙江省水土保持规划》（2015-2030年），项目拟选厂址位于I-1-2wt小兴安岭山地丘陵生态维护保土区，属于黑龙江省水土流失重点预防区，水土流失较为轻微。水土流失主要发生在火烧迹地、疏幼林地、林间采伐道、林间坡耕地、人口集中的区域等。本区水土流失防治以预防监督为主，耕地集中区域进行小规模的综合治理工程、侵蚀沟治理工程、清洁小流域建设工程等。</w:t>
      </w:r>
    </w:p>
    <w:p w14:paraId="10223F36">
      <w:pPr>
        <w:pStyle w:val="6"/>
        <w:bidi w:val="0"/>
        <w:rPr>
          <w:color w:val="auto"/>
          <w:highlight w:val="none"/>
        </w:rPr>
      </w:pPr>
      <w:r>
        <w:rPr>
          <w:rFonts w:hint="eastAsia"/>
          <w:color w:val="auto"/>
          <w:highlight w:val="none"/>
          <w:lang w:val="en-US" w:eastAsia="zh-CN"/>
        </w:rPr>
        <w:t>4.2.6.7</w:t>
      </w:r>
      <w:r>
        <w:rPr>
          <w:color w:val="auto"/>
          <w:highlight w:val="none"/>
          <w:lang w:val="en-US"/>
        </w:rPr>
        <w:t>植被现状</w:t>
      </w:r>
    </w:p>
    <w:p w14:paraId="215FD194">
      <w:pPr>
        <w:keepNext w:val="0"/>
        <w:keepLines w:val="0"/>
        <w:pageBreakBefore w:val="0"/>
        <w:widowControl w:val="0"/>
        <w:tabs>
          <w:tab w:val="left" w:pos="381"/>
        </w:tabs>
        <w:kinsoku/>
        <w:wordWrap/>
        <w:overflowPunct/>
        <w:topLinePunct w:val="0"/>
        <w:autoSpaceDE/>
        <w:autoSpaceDN/>
        <w:bidi w:val="0"/>
        <w:adjustRightInd/>
        <w:snapToGrid/>
        <w:textAlignment w:val="auto"/>
        <w:rPr>
          <w:color w:val="auto"/>
          <w:highlight w:val="none"/>
        </w:rPr>
      </w:pPr>
      <w:r>
        <w:rPr>
          <w:rFonts w:hint="eastAsia"/>
          <w:color w:val="auto"/>
          <w:highlight w:val="none"/>
          <w:lang w:val="en-US" w:eastAsia="zh-CN"/>
        </w:rPr>
        <w:t>1.</w:t>
      </w:r>
      <w:r>
        <w:rPr>
          <w:color w:val="auto"/>
          <w:highlight w:val="none"/>
          <w:lang w:val="en-US"/>
        </w:rPr>
        <w:t>植物区系</w:t>
      </w:r>
    </w:p>
    <w:p w14:paraId="230213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中国植被区划》，项目所在区域位于寒温带针叶林区域，位于IIA1小兴安岭、完达山地红松针阔叶混交林区。本区位于黑龙江省小兴安岭北部，以落叶松、寒温带常绿针叶林樟子松林为典型植被，通过资料收集及现场调查，评价区维管束植物名录见下表。</w:t>
      </w:r>
    </w:p>
    <w:p w14:paraId="5B21936A">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en-US"/>
        </w:rPr>
        <w:t>表</w:t>
      </w:r>
      <w:r>
        <w:rPr>
          <w:rFonts w:hint="eastAsia" w:ascii="Times New Roman" w:hAnsi="Times New Roman" w:eastAsia="黑体" w:cs="Times New Roman"/>
          <w:snapToGrid w:val="0"/>
          <w:color w:val="auto"/>
          <w:kern w:val="0"/>
          <w:highlight w:val="none"/>
          <w:lang w:val="en-US" w:eastAsia="zh-CN"/>
        </w:rPr>
        <w:t>4-2-2</w:t>
      </w:r>
      <w:r>
        <w:rPr>
          <w:rFonts w:hint="eastAsia" w:eastAsia="黑体" w:cs="Times New Roman"/>
          <w:snapToGrid w:val="0"/>
          <w:color w:val="auto"/>
          <w:kern w:val="0"/>
          <w:highlight w:val="none"/>
          <w:lang w:val="en-US" w:eastAsia="zh-CN"/>
        </w:rPr>
        <w:t>5</w:t>
      </w:r>
      <w:r>
        <w:rPr>
          <w:rFonts w:hint="default" w:ascii="Times New Roman" w:hAnsi="Times New Roman" w:eastAsia="黑体" w:cs="Times New Roman"/>
          <w:snapToGrid w:val="0"/>
          <w:color w:val="auto"/>
          <w:kern w:val="0"/>
          <w:highlight w:val="none"/>
          <w:lang w:val="zh-CN"/>
        </w:rPr>
        <w:t>裸子植物门名录（裸子植物门 Gymnospermae）</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4"/>
        <w:gridCol w:w="1483"/>
        <w:gridCol w:w="2541"/>
        <w:gridCol w:w="1071"/>
      </w:tblGrid>
      <w:tr w14:paraId="5099E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9" w:type="pct"/>
            <w:tcBorders>
              <w:top w:val="single" w:color="auto" w:sz="12" w:space="0"/>
              <w:left w:val="nil"/>
            </w:tcBorders>
            <w:vAlign w:val="center"/>
          </w:tcPr>
          <w:p w14:paraId="3B84153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中文名（学名）</w:t>
            </w:r>
          </w:p>
        </w:tc>
        <w:tc>
          <w:tcPr>
            <w:tcW w:w="893" w:type="pct"/>
            <w:tcBorders>
              <w:top w:val="single" w:color="auto" w:sz="12" w:space="0"/>
            </w:tcBorders>
            <w:vAlign w:val="center"/>
          </w:tcPr>
          <w:p w14:paraId="78B662E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科（学名）</w:t>
            </w:r>
          </w:p>
        </w:tc>
        <w:tc>
          <w:tcPr>
            <w:tcW w:w="1530" w:type="pct"/>
            <w:tcBorders>
              <w:top w:val="single" w:color="auto" w:sz="12" w:space="0"/>
            </w:tcBorders>
            <w:vAlign w:val="center"/>
          </w:tcPr>
          <w:p w14:paraId="385C61E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属（学名）</w:t>
            </w:r>
          </w:p>
        </w:tc>
        <w:tc>
          <w:tcPr>
            <w:tcW w:w="645" w:type="pct"/>
            <w:tcBorders>
              <w:top w:val="single" w:color="auto" w:sz="12" w:space="0"/>
              <w:right w:val="nil"/>
            </w:tcBorders>
            <w:vAlign w:val="center"/>
          </w:tcPr>
          <w:p w14:paraId="3432743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保护等级</w:t>
            </w:r>
          </w:p>
        </w:tc>
      </w:tr>
      <w:tr w14:paraId="30B68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9" w:type="pct"/>
            <w:tcBorders>
              <w:left w:val="nil"/>
            </w:tcBorders>
            <w:vAlign w:val="center"/>
          </w:tcPr>
          <w:p w14:paraId="68F756F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1、落叶松 Larix gmelinii</w:t>
            </w:r>
          </w:p>
        </w:tc>
        <w:tc>
          <w:tcPr>
            <w:tcW w:w="893" w:type="pct"/>
            <w:vMerge w:val="restart"/>
            <w:vAlign w:val="center"/>
          </w:tcPr>
          <w:p w14:paraId="582199D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一、松科</w:t>
            </w:r>
          </w:p>
          <w:p w14:paraId="0AB189D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Pinaceae</w:t>
            </w:r>
          </w:p>
        </w:tc>
        <w:tc>
          <w:tcPr>
            <w:tcW w:w="1530" w:type="pct"/>
            <w:vAlign w:val="center"/>
          </w:tcPr>
          <w:p w14:paraId="6DEF7EE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（一）落叶松属 Larix</w:t>
            </w:r>
          </w:p>
        </w:tc>
        <w:tc>
          <w:tcPr>
            <w:tcW w:w="645" w:type="pct"/>
            <w:tcBorders>
              <w:right w:val="nil"/>
            </w:tcBorders>
            <w:vAlign w:val="center"/>
          </w:tcPr>
          <w:p w14:paraId="7298EE3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B9EC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9" w:type="pct"/>
            <w:tcBorders>
              <w:left w:val="nil"/>
              <w:bottom w:val="single" w:color="auto" w:sz="12" w:space="0"/>
            </w:tcBorders>
            <w:vAlign w:val="center"/>
          </w:tcPr>
          <w:p w14:paraId="48DB515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3、樟子松Pinus sylvestris var. Mongholica Litv.</w:t>
            </w:r>
          </w:p>
        </w:tc>
        <w:tc>
          <w:tcPr>
            <w:tcW w:w="893" w:type="pct"/>
            <w:vMerge w:val="continue"/>
            <w:tcBorders>
              <w:bottom w:val="single" w:color="auto" w:sz="12" w:space="0"/>
            </w:tcBorders>
            <w:vAlign w:val="center"/>
          </w:tcPr>
          <w:p w14:paraId="0CD97260">
            <w:pPr>
              <w:pStyle w:val="492"/>
              <w:bidi w:val="0"/>
              <w:ind w:firstLine="0" w:firstLineChars="0"/>
              <w:rPr>
                <w:rFonts w:hint="eastAsia" w:ascii="Times New Roman" w:hAnsi="Times New Roman" w:eastAsia="宋体" w:cs="Times New Roman"/>
                <w:color w:val="auto"/>
                <w:highlight w:val="none"/>
                <w:lang w:val="en-US" w:eastAsia="zh-CN"/>
              </w:rPr>
            </w:pPr>
          </w:p>
        </w:tc>
        <w:tc>
          <w:tcPr>
            <w:tcW w:w="1530" w:type="pct"/>
            <w:tcBorders>
              <w:bottom w:val="single" w:color="auto" w:sz="12" w:space="0"/>
            </w:tcBorders>
            <w:vAlign w:val="center"/>
          </w:tcPr>
          <w:p w14:paraId="4044ECA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（二）松属 Pinus Linn</w:t>
            </w:r>
          </w:p>
        </w:tc>
        <w:tc>
          <w:tcPr>
            <w:tcW w:w="645" w:type="pct"/>
            <w:tcBorders>
              <w:bottom w:val="single" w:color="auto" w:sz="12" w:space="0"/>
              <w:right w:val="nil"/>
            </w:tcBorders>
            <w:vAlign w:val="center"/>
          </w:tcPr>
          <w:p w14:paraId="11E4176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bl>
    <w:p w14:paraId="2E7402E5">
      <w:pPr>
        <w:spacing w:line="500" w:lineRule="exact"/>
        <w:ind w:firstLine="0" w:firstLineChars="0"/>
        <w:jc w:val="center"/>
        <w:rPr>
          <w:rFonts w:hint="default" w:ascii="Times New Roman" w:hAnsi="Times New Roman" w:eastAsia="黑体" w:cs="Times New Roman"/>
          <w:snapToGrid w:val="0"/>
          <w:color w:val="auto"/>
          <w:kern w:val="0"/>
          <w:highlight w:val="none"/>
          <w:lang w:val="en-US"/>
        </w:rPr>
      </w:pPr>
      <w:r>
        <w:rPr>
          <w:rFonts w:hint="default" w:ascii="Times New Roman" w:hAnsi="Times New Roman" w:eastAsia="黑体" w:cs="Times New Roman"/>
          <w:snapToGrid w:val="0"/>
          <w:color w:val="auto"/>
          <w:kern w:val="0"/>
          <w:highlight w:val="none"/>
          <w:lang w:val="en-US"/>
        </w:rPr>
        <w:t>表</w:t>
      </w:r>
      <w:r>
        <w:rPr>
          <w:rFonts w:hint="eastAsia" w:ascii="Times New Roman" w:hAnsi="Times New Roman" w:eastAsia="黑体" w:cs="Times New Roman"/>
          <w:snapToGrid w:val="0"/>
          <w:color w:val="auto"/>
          <w:kern w:val="0"/>
          <w:highlight w:val="none"/>
          <w:lang w:val="en-US" w:eastAsia="zh-CN"/>
        </w:rPr>
        <w:t>4-2-2</w:t>
      </w:r>
      <w:r>
        <w:rPr>
          <w:rFonts w:hint="eastAsia" w:eastAsia="黑体" w:cs="Times New Roman"/>
          <w:snapToGrid w:val="0"/>
          <w:color w:val="auto"/>
          <w:kern w:val="0"/>
          <w:highlight w:val="none"/>
          <w:lang w:val="en-US" w:eastAsia="zh-CN"/>
        </w:rPr>
        <w:t>6</w:t>
      </w:r>
      <w:r>
        <w:rPr>
          <w:rFonts w:hint="default" w:ascii="Times New Roman" w:hAnsi="Times New Roman" w:eastAsia="黑体" w:cs="Times New Roman"/>
          <w:snapToGrid w:val="0"/>
          <w:color w:val="auto"/>
          <w:kern w:val="0"/>
          <w:highlight w:val="none"/>
          <w:lang w:val="en-US"/>
        </w:rPr>
        <w:t>被子植物门名录</w:t>
      </w:r>
    </w:p>
    <w:p w14:paraId="2EC11D61">
      <w:pPr>
        <w:spacing w:line="500" w:lineRule="exact"/>
        <w:ind w:firstLine="0" w:firstLineChars="0"/>
        <w:jc w:val="center"/>
        <w:rPr>
          <w:rFonts w:hint="default" w:ascii="Times New Roman" w:hAnsi="Times New Roman" w:eastAsia="黑体" w:cs="Times New Roman"/>
          <w:snapToGrid w:val="0"/>
          <w:color w:val="auto"/>
          <w:kern w:val="0"/>
          <w:highlight w:val="none"/>
          <w:lang w:val="en-US"/>
        </w:rPr>
      </w:pPr>
      <w:r>
        <w:rPr>
          <w:rFonts w:hint="default" w:ascii="Times New Roman" w:hAnsi="Times New Roman" w:eastAsia="黑体" w:cs="Times New Roman"/>
          <w:snapToGrid w:val="0"/>
          <w:color w:val="auto"/>
          <w:kern w:val="0"/>
          <w:highlight w:val="none"/>
          <w:lang w:val="en-US"/>
        </w:rPr>
        <w:t>（被子植物门AgniospermaⅠ 双子叶植物纲 Dicotyledonae）</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00"/>
        <w:gridCol w:w="1854"/>
        <w:gridCol w:w="2023"/>
        <w:gridCol w:w="632"/>
      </w:tblGrid>
      <w:tr w14:paraId="2C4BF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2286" w:type="pct"/>
            <w:vAlign w:val="center"/>
          </w:tcPr>
          <w:p w14:paraId="2A0ACF4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中文名（学名）</w:t>
            </w:r>
          </w:p>
        </w:tc>
        <w:tc>
          <w:tcPr>
            <w:tcW w:w="1115" w:type="pct"/>
            <w:vAlign w:val="center"/>
          </w:tcPr>
          <w:p w14:paraId="0527654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科（学名）</w:t>
            </w:r>
          </w:p>
        </w:tc>
        <w:tc>
          <w:tcPr>
            <w:tcW w:w="1217" w:type="pct"/>
            <w:vAlign w:val="center"/>
          </w:tcPr>
          <w:p w14:paraId="3E96F6B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属（学名）</w:t>
            </w:r>
          </w:p>
        </w:tc>
        <w:tc>
          <w:tcPr>
            <w:tcW w:w="380" w:type="pct"/>
            <w:vAlign w:val="center"/>
          </w:tcPr>
          <w:p w14:paraId="10ADC4A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保护等级</w:t>
            </w:r>
          </w:p>
        </w:tc>
      </w:tr>
      <w:tr w14:paraId="521EC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4ACDBF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1、白桦 Betula platyphylla.</w:t>
            </w:r>
          </w:p>
        </w:tc>
        <w:tc>
          <w:tcPr>
            <w:tcW w:w="1115" w:type="pct"/>
            <w:vMerge w:val="restart"/>
            <w:vAlign w:val="center"/>
          </w:tcPr>
          <w:p w14:paraId="4DD33DB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一、桦木科 Betulaceae</w:t>
            </w:r>
          </w:p>
        </w:tc>
        <w:tc>
          <w:tcPr>
            <w:tcW w:w="1217" w:type="pct"/>
            <w:vMerge w:val="restart"/>
            <w:vAlign w:val="center"/>
          </w:tcPr>
          <w:p w14:paraId="04B8E7B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（一）桦属</w:t>
            </w:r>
          </w:p>
          <w:p w14:paraId="38DB222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Betula</w:t>
            </w:r>
          </w:p>
        </w:tc>
        <w:tc>
          <w:tcPr>
            <w:tcW w:w="380" w:type="pct"/>
            <w:vAlign w:val="center"/>
          </w:tcPr>
          <w:p w14:paraId="77B07DD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610B4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2A0A19B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2、黑桦 Betula dahurica.</w:t>
            </w:r>
          </w:p>
        </w:tc>
        <w:tc>
          <w:tcPr>
            <w:tcW w:w="1115" w:type="pct"/>
            <w:vMerge w:val="continue"/>
            <w:vAlign w:val="center"/>
          </w:tcPr>
          <w:p w14:paraId="4488A8EB">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Merge w:val="continue"/>
            <w:vAlign w:val="center"/>
          </w:tcPr>
          <w:p w14:paraId="4C312C3F">
            <w:pPr>
              <w:pStyle w:val="492"/>
              <w:bidi w:val="0"/>
              <w:ind w:firstLine="0" w:firstLineChars="0"/>
              <w:rPr>
                <w:rFonts w:hint="eastAsia" w:ascii="Times New Roman" w:hAnsi="Times New Roman" w:eastAsia="宋体" w:cs="Times New Roman"/>
                <w:color w:val="auto"/>
                <w:highlight w:val="none"/>
                <w:lang w:val="en-US" w:eastAsia="zh-CN"/>
              </w:rPr>
            </w:pPr>
          </w:p>
        </w:tc>
        <w:tc>
          <w:tcPr>
            <w:tcW w:w="380" w:type="pct"/>
            <w:vAlign w:val="center"/>
          </w:tcPr>
          <w:p w14:paraId="024FD78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4B43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04BC329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3、蒙古栎 Quercus mongolica.</w:t>
            </w:r>
          </w:p>
        </w:tc>
        <w:tc>
          <w:tcPr>
            <w:tcW w:w="1115" w:type="pct"/>
            <w:vAlign w:val="center"/>
          </w:tcPr>
          <w:p w14:paraId="0D36669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二、壳斗科 Fagaceae</w:t>
            </w:r>
          </w:p>
        </w:tc>
        <w:tc>
          <w:tcPr>
            <w:tcW w:w="1217" w:type="pct"/>
            <w:vAlign w:val="center"/>
          </w:tcPr>
          <w:p w14:paraId="1DABC55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（二）栎属</w:t>
            </w:r>
          </w:p>
          <w:p w14:paraId="4E54C58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Quercus</w:t>
            </w:r>
          </w:p>
        </w:tc>
        <w:tc>
          <w:tcPr>
            <w:tcW w:w="380" w:type="pct"/>
            <w:vAlign w:val="center"/>
          </w:tcPr>
          <w:p w14:paraId="3DE358C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0AAD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37CA0EE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r>
              <w:rPr>
                <w:rFonts w:hint="eastAsia" w:cs="Times New Roman"/>
                <w:color w:val="auto"/>
                <w:kern w:val="21"/>
                <w:highlight w:val="none"/>
                <w:lang w:val="en-US" w:eastAsia="zh-CN"/>
              </w:rPr>
              <w:t>山杨</w:t>
            </w:r>
            <w:r>
              <w:rPr>
                <w:rFonts w:hint="eastAsia" w:ascii="Times New Roman" w:hAnsi="Times New Roman" w:cs="Times New Roman"/>
                <w:i/>
                <w:iCs/>
                <w:color w:val="auto"/>
                <w:kern w:val="21"/>
                <w:highlight w:val="none"/>
                <w:lang w:val="en-US"/>
              </w:rPr>
              <w:t>Populus davidiana Dode</w:t>
            </w:r>
            <w:r>
              <w:rPr>
                <w:rFonts w:ascii="Times New Roman" w:hAnsi="Times New Roman" w:cs="Times New Roman"/>
                <w:color w:val="auto"/>
                <w:kern w:val="21"/>
                <w:highlight w:val="none"/>
                <w:lang w:val="en-US"/>
              </w:rPr>
              <w:t>.</w:t>
            </w:r>
            <w:r>
              <w:rPr>
                <w:rFonts w:hint="eastAsia" w:ascii="Times New Roman" w:hAnsi="Times New Roman" w:eastAsia="宋体" w:cs="Times New Roman"/>
                <w:color w:val="auto"/>
                <w:highlight w:val="none"/>
                <w:lang w:val="en-US" w:eastAsia="zh-CN"/>
              </w:rPr>
              <w:t>.</w:t>
            </w:r>
          </w:p>
        </w:tc>
        <w:tc>
          <w:tcPr>
            <w:tcW w:w="1115" w:type="pct"/>
            <w:vAlign w:val="center"/>
          </w:tcPr>
          <w:p w14:paraId="12E3484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三、杨柳科 Salicaceae</w:t>
            </w:r>
          </w:p>
        </w:tc>
        <w:tc>
          <w:tcPr>
            <w:tcW w:w="1217" w:type="pct"/>
            <w:vAlign w:val="center"/>
          </w:tcPr>
          <w:p w14:paraId="7845066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（三）杨属</w:t>
            </w:r>
          </w:p>
          <w:p w14:paraId="0EE42BA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Populus</w:t>
            </w:r>
          </w:p>
        </w:tc>
        <w:tc>
          <w:tcPr>
            <w:tcW w:w="380" w:type="pct"/>
            <w:vAlign w:val="center"/>
          </w:tcPr>
          <w:p w14:paraId="3E53103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2A54A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114086C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5、椴树Tilia tuan Szyszyl.</w:t>
            </w:r>
          </w:p>
        </w:tc>
        <w:tc>
          <w:tcPr>
            <w:tcW w:w="1115" w:type="pct"/>
            <w:vAlign w:val="center"/>
          </w:tcPr>
          <w:p w14:paraId="0A2A824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四、椴树科Tilia tuan Szyszyl. in Hook. Ic. Pl.</w:t>
            </w:r>
          </w:p>
        </w:tc>
        <w:tc>
          <w:tcPr>
            <w:tcW w:w="1217" w:type="pct"/>
            <w:vAlign w:val="center"/>
          </w:tcPr>
          <w:p w14:paraId="3767947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（四）椴树属</w:t>
            </w:r>
          </w:p>
          <w:p w14:paraId="30B59CF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Tilia Linn.</w:t>
            </w:r>
          </w:p>
        </w:tc>
        <w:tc>
          <w:tcPr>
            <w:tcW w:w="380" w:type="pct"/>
            <w:vAlign w:val="center"/>
          </w:tcPr>
          <w:p w14:paraId="28BD3F5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5136A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1AC037D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6、色叶槭Acer mono Maxim</w:t>
            </w:r>
          </w:p>
        </w:tc>
        <w:tc>
          <w:tcPr>
            <w:tcW w:w="1115" w:type="pct"/>
            <w:vAlign w:val="center"/>
          </w:tcPr>
          <w:p w14:paraId="771090D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五、槭树科Aceraceae Juss.</w:t>
            </w:r>
          </w:p>
        </w:tc>
        <w:tc>
          <w:tcPr>
            <w:tcW w:w="1217" w:type="pct"/>
            <w:vAlign w:val="center"/>
          </w:tcPr>
          <w:p w14:paraId="0D6EC30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（五）槭属</w:t>
            </w:r>
          </w:p>
          <w:p w14:paraId="4DFA669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Acer L.</w:t>
            </w:r>
          </w:p>
        </w:tc>
        <w:tc>
          <w:tcPr>
            <w:tcW w:w="380" w:type="pct"/>
            <w:vAlign w:val="center"/>
          </w:tcPr>
          <w:p w14:paraId="32AC280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50092D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15177F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9、毛脉柳叶菜 Epilobium amurense Hausskn</w:t>
            </w:r>
          </w:p>
        </w:tc>
        <w:tc>
          <w:tcPr>
            <w:tcW w:w="1115" w:type="pct"/>
            <w:vAlign w:val="center"/>
          </w:tcPr>
          <w:p w14:paraId="7056ED3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八、柳叶菜科Onagraceae</w:t>
            </w:r>
          </w:p>
        </w:tc>
        <w:tc>
          <w:tcPr>
            <w:tcW w:w="1217" w:type="pct"/>
            <w:vAlign w:val="center"/>
          </w:tcPr>
          <w:p w14:paraId="7A681C9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（八）柳叶菜属Epilobium</w:t>
            </w:r>
          </w:p>
        </w:tc>
        <w:tc>
          <w:tcPr>
            <w:tcW w:w="380" w:type="pct"/>
            <w:vAlign w:val="center"/>
          </w:tcPr>
          <w:p w14:paraId="17B5032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2A5A9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2B8BD48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10、卫矛Euonymus alatus (Thunb.) Sieb.</w:t>
            </w:r>
          </w:p>
        </w:tc>
        <w:tc>
          <w:tcPr>
            <w:tcW w:w="1115" w:type="pct"/>
            <w:vAlign w:val="center"/>
          </w:tcPr>
          <w:p w14:paraId="080759F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九、卫矛科Celastraceae R. Br.</w:t>
            </w:r>
          </w:p>
        </w:tc>
        <w:tc>
          <w:tcPr>
            <w:tcW w:w="1217" w:type="pct"/>
            <w:vAlign w:val="center"/>
          </w:tcPr>
          <w:p w14:paraId="52D9330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（九）卫矛属Euonymus L</w:t>
            </w:r>
          </w:p>
        </w:tc>
        <w:tc>
          <w:tcPr>
            <w:tcW w:w="380" w:type="pct"/>
            <w:vAlign w:val="center"/>
          </w:tcPr>
          <w:p w14:paraId="2C47C5C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DC13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66D44E7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11、藜Chenopodium album L.</w:t>
            </w:r>
          </w:p>
        </w:tc>
        <w:tc>
          <w:tcPr>
            <w:tcW w:w="1115" w:type="pct"/>
            <w:vMerge w:val="restart"/>
            <w:vAlign w:val="center"/>
          </w:tcPr>
          <w:p w14:paraId="416AF44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十、藜科Chenopodiaceae</w:t>
            </w:r>
          </w:p>
        </w:tc>
        <w:tc>
          <w:tcPr>
            <w:tcW w:w="1217" w:type="pct"/>
            <w:vAlign w:val="center"/>
          </w:tcPr>
          <w:p w14:paraId="20D89CA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（十）藜属Chenopodium L.</w:t>
            </w:r>
          </w:p>
        </w:tc>
        <w:tc>
          <w:tcPr>
            <w:tcW w:w="380" w:type="pct"/>
            <w:vAlign w:val="center"/>
          </w:tcPr>
          <w:p w14:paraId="63BB070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6607C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0D7215C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12、地肤Kochia scoparia (L.) Schrad.</w:t>
            </w:r>
          </w:p>
        </w:tc>
        <w:tc>
          <w:tcPr>
            <w:tcW w:w="1115" w:type="pct"/>
            <w:vMerge w:val="continue"/>
            <w:vAlign w:val="center"/>
          </w:tcPr>
          <w:p w14:paraId="37B70D17">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3534BFD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（十一）地肤属Kochia</w:t>
            </w:r>
          </w:p>
        </w:tc>
        <w:tc>
          <w:tcPr>
            <w:tcW w:w="380" w:type="pct"/>
            <w:vAlign w:val="center"/>
          </w:tcPr>
          <w:p w14:paraId="1FC46DE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869A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9185B1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13、茜草Rubia cordifolia L.</w:t>
            </w:r>
          </w:p>
        </w:tc>
        <w:tc>
          <w:tcPr>
            <w:tcW w:w="1115" w:type="pct"/>
            <w:vAlign w:val="center"/>
          </w:tcPr>
          <w:p w14:paraId="5B30C12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十一、茜草科Rubiaceae Juss.</w:t>
            </w:r>
          </w:p>
        </w:tc>
        <w:tc>
          <w:tcPr>
            <w:tcW w:w="1217" w:type="pct"/>
            <w:vAlign w:val="center"/>
          </w:tcPr>
          <w:p w14:paraId="41BF28D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（十二）茜草属</w:t>
            </w:r>
          </w:p>
          <w:p w14:paraId="672A0C5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Rubia Linn</w:t>
            </w:r>
          </w:p>
        </w:tc>
        <w:tc>
          <w:tcPr>
            <w:tcW w:w="380" w:type="pct"/>
            <w:vAlign w:val="center"/>
          </w:tcPr>
          <w:p w14:paraId="0AB8220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608D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34D1876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14、蚊子草Filipendula Palmata (Pall.) Maxim.</w:t>
            </w:r>
          </w:p>
        </w:tc>
        <w:tc>
          <w:tcPr>
            <w:tcW w:w="1115" w:type="pct"/>
            <w:vMerge w:val="restart"/>
            <w:vAlign w:val="center"/>
          </w:tcPr>
          <w:p w14:paraId="2D3733F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十二、蔷薇科 Rosaceae</w:t>
            </w:r>
          </w:p>
        </w:tc>
        <w:tc>
          <w:tcPr>
            <w:tcW w:w="1217" w:type="pct"/>
            <w:vAlign w:val="center"/>
          </w:tcPr>
          <w:p w14:paraId="648FFB4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（十三）蚊子草属</w:t>
            </w:r>
          </w:p>
          <w:p w14:paraId="2D449DE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Filipendual Adans.</w:t>
            </w:r>
          </w:p>
        </w:tc>
        <w:tc>
          <w:tcPr>
            <w:tcW w:w="380" w:type="pct"/>
            <w:vAlign w:val="center"/>
          </w:tcPr>
          <w:p w14:paraId="645C288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A144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7564F8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15、山里红</w:t>
            </w:r>
          </w:p>
          <w:p w14:paraId="7A9EEA1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Crataeguspinnatifidavar.majorN. E. Brown</w:t>
            </w:r>
          </w:p>
        </w:tc>
        <w:tc>
          <w:tcPr>
            <w:tcW w:w="1115" w:type="pct"/>
            <w:vMerge w:val="continue"/>
            <w:vAlign w:val="center"/>
          </w:tcPr>
          <w:p w14:paraId="45E91152">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383CCD6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（十四）山楂属Crataegus L.</w:t>
            </w:r>
          </w:p>
        </w:tc>
        <w:tc>
          <w:tcPr>
            <w:tcW w:w="380" w:type="pct"/>
            <w:vAlign w:val="center"/>
          </w:tcPr>
          <w:p w14:paraId="34497A3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39AC4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3C78903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16、牛叠肚Rubus crataegifolius Bge.</w:t>
            </w:r>
          </w:p>
        </w:tc>
        <w:tc>
          <w:tcPr>
            <w:tcW w:w="1115" w:type="pct"/>
            <w:vMerge w:val="continue"/>
            <w:vAlign w:val="center"/>
          </w:tcPr>
          <w:p w14:paraId="467EBBB4">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79113EA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（十五）悬钩子属Rubus L.</w:t>
            </w:r>
          </w:p>
        </w:tc>
        <w:tc>
          <w:tcPr>
            <w:tcW w:w="380" w:type="pct"/>
            <w:vAlign w:val="center"/>
          </w:tcPr>
          <w:p w14:paraId="59A80C9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20A25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63351B8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17、龙芽草Agrimonia pilosa Ldb.</w:t>
            </w:r>
          </w:p>
        </w:tc>
        <w:tc>
          <w:tcPr>
            <w:tcW w:w="1115" w:type="pct"/>
            <w:vMerge w:val="continue"/>
            <w:vAlign w:val="center"/>
          </w:tcPr>
          <w:p w14:paraId="05EAF7A0">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0A07196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（十六）龙芽草属Agrimonia L.</w:t>
            </w:r>
          </w:p>
        </w:tc>
        <w:tc>
          <w:tcPr>
            <w:tcW w:w="380" w:type="pct"/>
            <w:vAlign w:val="center"/>
          </w:tcPr>
          <w:p w14:paraId="466EF64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359F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7A3F69F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18、葎草Humulus scandens (Lour.) Merr.</w:t>
            </w:r>
          </w:p>
        </w:tc>
        <w:tc>
          <w:tcPr>
            <w:tcW w:w="1115" w:type="pct"/>
            <w:vAlign w:val="center"/>
          </w:tcPr>
          <w:p w14:paraId="0416BC5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十三、桑科Moraceae Gaudich.</w:t>
            </w:r>
          </w:p>
        </w:tc>
        <w:tc>
          <w:tcPr>
            <w:tcW w:w="1217" w:type="pct"/>
            <w:vAlign w:val="center"/>
          </w:tcPr>
          <w:p w14:paraId="17873D6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（十七）葎草属Humulus</w:t>
            </w:r>
          </w:p>
        </w:tc>
        <w:tc>
          <w:tcPr>
            <w:tcW w:w="380" w:type="pct"/>
            <w:vAlign w:val="center"/>
          </w:tcPr>
          <w:p w14:paraId="7B49923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33F9A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161518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19、野西瓜苗Hibiscus trionum L.</w:t>
            </w:r>
          </w:p>
        </w:tc>
        <w:tc>
          <w:tcPr>
            <w:tcW w:w="1115" w:type="pct"/>
            <w:vMerge w:val="restart"/>
            <w:vAlign w:val="center"/>
          </w:tcPr>
          <w:p w14:paraId="5EC9AB1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十四、锦葵科</w:t>
            </w:r>
          </w:p>
          <w:p w14:paraId="6C7812F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Malvaceae Juss.</w:t>
            </w:r>
          </w:p>
        </w:tc>
        <w:tc>
          <w:tcPr>
            <w:tcW w:w="1217" w:type="pct"/>
            <w:vAlign w:val="center"/>
          </w:tcPr>
          <w:p w14:paraId="165DAF4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（十八）木槿属</w:t>
            </w:r>
          </w:p>
          <w:p w14:paraId="4F09A10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Hibiscus L.</w:t>
            </w:r>
          </w:p>
        </w:tc>
        <w:tc>
          <w:tcPr>
            <w:tcW w:w="380" w:type="pct"/>
            <w:vAlign w:val="center"/>
          </w:tcPr>
          <w:p w14:paraId="454CC83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2B7D7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9A35DE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20、苘麻Abutilon theophrasti Medicus</w:t>
            </w:r>
          </w:p>
        </w:tc>
        <w:tc>
          <w:tcPr>
            <w:tcW w:w="1115" w:type="pct"/>
            <w:vMerge w:val="continue"/>
            <w:vAlign w:val="center"/>
          </w:tcPr>
          <w:p w14:paraId="57943EE2">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008E326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（十九）苘麻属Abutilon Miller</w:t>
            </w:r>
          </w:p>
        </w:tc>
        <w:tc>
          <w:tcPr>
            <w:tcW w:w="380" w:type="pct"/>
            <w:vAlign w:val="center"/>
          </w:tcPr>
          <w:p w14:paraId="4DA2368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31978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180699E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21、鸡眼草Kummerowia striata (Thunb.) Schindl. Vicia cracca</w:t>
            </w:r>
          </w:p>
        </w:tc>
        <w:tc>
          <w:tcPr>
            <w:tcW w:w="1115" w:type="pct"/>
            <w:vMerge w:val="restart"/>
            <w:vAlign w:val="center"/>
          </w:tcPr>
          <w:p w14:paraId="3FF4B22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十五、豆科 Leguminosae</w:t>
            </w:r>
          </w:p>
        </w:tc>
        <w:tc>
          <w:tcPr>
            <w:tcW w:w="1217" w:type="pct"/>
            <w:vAlign w:val="center"/>
          </w:tcPr>
          <w:p w14:paraId="537874D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（二十）鸡眼草属 Kummerowia Schindl.</w:t>
            </w:r>
          </w:p>
        </w:tc>
        <w:tc>
          <w:tcPr>
            <w:tcW w:w="380" w:type="pct"/>
            <w:vAlign w:val="center"/>
          </w:tcPr>
          <w:p w14:paraId="1B2E9C3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3716B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C1C9FD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22、大豆Glycine max (Linn.) Merr.</w:t>
            </w:r>
          </w:p>
        </w:tc>
        <w:tc>
          <w:tcPr>
            <w:tcW w:w="1115" w:type="pct"/>
            <w:vMerge w:val="continue"/>
            <w:vAlign w:val="center"/>
          </w:tcPr>
          <w:p w14:paraId="0C2E7BFE">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09F3E64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（二一）大豆属Glycine</w:t>
            </w:r>
          </w:p>
        </w:tc>
        <w:tc>
          <w:tcPr>
            <w:tcW w:w="380" w:type="pct"/>
            <w:vAlign w:val="center"/>
          </w:tcPr>
          <w:p w14:paraId="4226999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2717C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67DFF09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23、舞草Codariocalyx motorius(Houtt.) Ohashi</w:t>
            </w:r>
          </w:p>
        </w:tc>
        <w:tc>
          <w:tcPr>
            <w:tcW w:w="1115" w:type="pct"/>
            <w:vMerge w:val="continue"/>
            <w:vAlign w:val="center"/>
          </w:tcPr>
          <w:p w14:paraId="1FC28C50">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07FB8E7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（二二）舞草属Codariocalyx Hassk.</w:t>
            </w:r>
          </w:p>
        </w:tc>
        <w:tc>
          <w:tcPr>
            <w:tcW w:w="380" w:type="pct"/>
            <w:vAlign w:val="center"/>
          </w:tcPr>
          <w:p w14:paraId="5E331C6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30E6B8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2151BE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24、荨麻Urtica fissa E. Pritz.</w:t>
            </w:r>
          </w:p>
        </w:tc>
        <w:tc>
          <w:tcPr>
            <w:tcW w:w="1115" w:type="pct"/>
            <w:vMerge w:val="restart"/>
            <w:vAlign w:val="center"/>
          </w:tcPr>
          <w:p w14:paraId="1CBDB8C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十六、荨麻科Urticaceae Juss.</w:t>
            </w:r>
          </w:p>
        </w:tc>
        <w:tc>
          <w:tcPr>
            <w:tcW w:w="1217" w:type="pct"/>
            <w:vMerge w:val="restart"/>
            <w:vAlign w:val="center"/>
          </w:tcPr>
          <w:p w14:paraId="49A706F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（二三）荨麻属Urtica L.</w:t>
            </w:r>
          </w:p>
        </w:tc>
        <w:tc>
          <w:tcPr>
            <w:tcW w:w="380" w:type="pct"/>
            <w:vAlign w:val="center"/>
          </w:tcPr>
          <w:p w14:paraId="4D94A1E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6B08C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13C8118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25、狭叶荨麻 UrticaangustifoliaFisch. ex Hornem</w:t>
            </w:r>
          </w:p>
        </w:tc>
        <w:tc>
          <w:tcPr>
            <w:tcW w:w="1115" w:type="pct"/>
            <w:vMerge w:val="continue"/>
            <w:vAlign w:val="center"/>
          </w:tcPr>
          <w:p w14:paraId="2FDF5234">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Merge w:val="continue"/>
            <w:vAlign w:val="center"/>
          </w:tcPr>
          <w:p w14:paraId="1BB95E96">
            <w:pPr>
              <w:pStyle w:val="492"/>
              <w:bidi w:val="0"/>
              <w:ind w:firstLine="0" w:firstLineChars="0"/>
              <w:rPr>
                <w:rFonts w:hint="eastAsia" w:ascii="Times New Roman" w:hAnsi="Times New Roman" w:eastAsia="宋体" w:cs="Times New Roman"/>
                <w:color w:val="auto"/>
                <w:highlight w:val="none"/>
                <w:lang w:val="en-US" w:eastAsia="zh-CN"/>
              </w:rPr>
            </w:pPr>
          </w:p>
        </w:tc>
        <w:tc>
          <w:tcPr>
            <w:tcW w:w="380" w:type="pct"/>
            <w:vAlign w:val="center"/>
          </w:tcPr>
          <w:p w14:paraId="63EF03F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6699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F8DAEB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26、透茎冷水花Pileapumila(L.) A. Gray</w:t>
            </w:r>
          </w:p>
        </w:tc>
        <w:tc>
          <w:tcPr>
            <w:tcW w:w="1115" w:type="pct"/>
            <w:vMerge w:val="continue"/>
            <w:vAlign w:val="center"/>
          </w:tcPr>
          <w:p w14:paraId="12299822">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7C4169A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（二四）冷水花属Pilea Lindl.</w:t>
            </w:r>
          </w:p>
        </w:tc>
        <w:tc>
          <w:tcPr>
            <w:tcW w:w="380" w:type="pct"/>
            <w:vAlign w:val="center"/>
          </w:tcPr>
          <w:p w14:paraId="15BE630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2FC3C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5A14304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27、老鹳草Geranium wilfordii Maxim.</w:t>
            </w:r>
          </w:p>
        </w:tc>
        <w:tc>
          <w:tcPr>
            <w:tcW w:w="1115" w:type="pct"/>
            <w:vAlign w:val="center"/>
          </w:tcPr>
          <w:p w14:paraId="2CA74CD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十七、牻牛儿苗科Geraniaceae Juss.</w:t>
            </w:r>
          </w:p>
        </w:tc>
        <w:tc>
          <w:tcPr>
            <w:tcW w:w="1217" w:type="pct"/>
            <w:vAlign w:val="center"/>
          </w:tcPr>
          <w:p w14:paraId="62CA191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（二五）老鹳草属Geranium L.</w:t>
            </w:r>
          </w:p>
        </w:tc>
        <w:tc>
          <w:tcPr>
            <w:tcW w:w="380" w:type="pct"/>
            <w:vAlign w:val="center"/>
          </w:tcPr>
          <w:p w14:paraId="106E917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73048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636781A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28、尾叶香茶菜Isodon excisus</w:t>
            </w:r>
          </w:p>
        </w:tc>
        <w:tc>
          <w:tcPr>
            <w:tcW w:w="1115" w:type="pct"/>
            <w:vAlign w:val="center"/>
          </w:tcPr>
          <w:p w14:paraId="6BACCE1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十八、唇形科Lamiaceae Martinov</w:t>
            </w:r>
          </w:p>
        </w:tc>
        <w:tc>
          <w:tcPr>
            <w:tcW w:w="1217" w:type="pct"/>
            <w:vAlign w:val="center"/>
          </w:tcPr>
          <w:p w14:paraId="3A6A53C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（二六）香茶属菜Isodon (Schrad. ex Benth.) Spach</w:t>
            </w:r>
          </w:p>
        </w:tc>
        <w:tc>
          <w:tcPr>
            <w:tcW w:w="380" w:type="pct"/>
            <w:vAlign w:val="center"/>
          </w:tcPr>
          <w:p w14:paraId="43FBD15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3C5E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1A21E5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29、茵陈蒿Artemisia capillaris Thunb.</w:t>
            </w:r>
          </w:p>
        </w:tc>
        <w:tc>
          <w:tcPr>
            <w:tcW w:w="1115" w:type="pct"/>
            <w:vMerge w:val="restart"/>
            <w:vAlign w:val="center"/>
          </w:tcPr>
          <w:p w14:paraId="4D84975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十九、菊科</w:t>
            </w:r>
          </w:p>
          <w:p w14:paraId="508DC13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Compositae</w:t>
            </w:r>
          </w:p>
        </w:tc>
        <w:tc>
          <w:tcPr>
            <w:tcW w:w="1217" w:type="pct"/>
            <w:vMerge w:val="restart"/>
            <w:vAlign w:val="center"/>
          </w:tcPr>
          <w:p w14:paraId="13889E1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（二七）蒿属</w:t>
            </w:r>
          </w:p>
          <w:p w14:paraId="49A7B92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ArtemisiaLinn</w:t>
            </w:r>
          </w:p>
        </w:tc>
        <w:tc>
          <w:tcPr>
            <w:tcW w:w="380" w:type="pct"/>
            <w:vAlign w:val="center"/>
          </w:tcPr>
          <w:p w14:paraId="4E98277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0B585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2CACA57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30、艾Artemisia argyi Lévl. et Van.</w:t>
            </w:r>
          </w:p>
        </w:tc>
        <w:tc>
          <w:tcPr>
            <w:tcW w:w="1115" w:type="pct"/>
            <w:vMerge w:val="continue"/>
            <w:vAlign w:val="center"/>
          </w:tcPr>
          <w:p w14:paraId="1BCAF4B0">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Merge w:val="continue"/>
            <w:vAlign w:val="center"/>
          </w:tcPr>
          <w:p w14:paraId="33B3E115">
            <w:pPr>
              <w:pStyle w:val="492"/>
              <w:bidi w:val="0"/>
              <w:ind w:firstLine="0" w:firstLineChars="0"/>
              <w:rPr>
                <w:rFonts w:hint="eastAsia" w:ascii="Times New Roman" w:hAnsi="Times New Roman" w:eastAsia="宋体" w:cs="Times New Roman"/>
                <w:color w:val="auto"/>
                <w:highlight w:val="none"/>
                <w:lang w:val="en-US" w:eastAsia="zh-CN"/>
              </w:rPr>
            </w:pPr>
          </w:p>
        </w:tc>
        <w:tc>
          <w:tcPr>
            <w:tcW w:w="380" w:type="pct"/>
            <w:vAlign w:val="center"/>
          </w:tcPr>
          <w:p w14:paraId="3A45A20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1345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745A6B5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31、牧蒿Artemisia japonica Thunb.</w:t>
            </w:r>
          </w:p>
        </w:tc>
        <w:tc>
          <w:tcPr>
            <w:tcW w:w="1115" w:type="pct"/>
            <w:vMerge w:val="continue"/>
            <w:vAlign w:val="center"/>
          </w:tcPr>
          <w:p w14:paraId="5F6A0D09">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Merge w:val="continue"/>
            <w:vAlign w:val="center"/>
          </w:tcPr>
          <w:p w14:paraId="62804EC3">
            <w:pPr>
              <w:pStyle w:val="492"/>
              <w:bidi w:val="0"/>
              <w:ind w:firstLine="0" w:firstLineChars="0"/>
              <w:rPr>
                <w:rFonts w:hint="eastAsia" w:ascii="Times New Roman" w:hAnsi="Times New Roman" w:eastAsia="宋体" w:cs="Times New Roman"/>
                <w:color w:val="auto"/>
                <w:highlight w:val="none"/>
                <w:lang w:val="en-US" w:eastAsia="zh-CN"/>
              </w:rPr>
            </w:pPr>
          </w:p>
        </w:tc>
        <w:tc>
          <w:tcPr>
            <w:tcW w:w="380" w:type="pct"/>
            <w:vAlign w:val="center"/>
          </w:tcPr>
          <w:p w14:paraId="0DEB55E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567C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00EE150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32、一年蓬Erigeron annuus (L.) Pers.</w:t>
            </w:r>
          </w:p>
        </w:tc>
        <w:tc>
          <w:tcPr>
            <w:tcW w:w="1115" w:type="pct"/>
            <w:vMerge w:val="continue"/>
            <w:vAlign w:val="center"/>
          </w:tcPr>
          <w:p w14:paraId="4C3C8772">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35FE0B8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（二八）飞蓬属Erigeron L.</w:t>
            </w:r>
          </w:p>
        </w:tc>
        <w:tc>
          <w:tcPr>
            <w:tcW w:w="380" w:type="pct"/>
            <w:vAlign w:val="center"/>
          </w:tcPr>
          <w:p w14:paraId="7B6CBA2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4D0F2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686847A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33、紫苑Aster tataricus L. f.</w:t>
            </w:r>
          </w:p>
        </w:tc>
        <w:tc>
          <w:tcPr>
            <w:tcW w:w="1115" w:type="pct"/>
            <w:vMerge w:val="continue"/>
            <w:vAlign w:val="center"/>
          </w:tcPr>
          <w:p w14:paraId="102F1146">
            <w:pPr>
              <w:pStyle w:val="492"/>
              <w:bidi w:val="0"/>
              <w:ind w:firstLine="0" w:firstLineChars="0"/>
              <w:rPr>
                <w:rFonts w:hint="eastAsia" w:ascii="Times New Roman" w:hAnsi="Times New Roman" w:eastAsia="宋体" w:cs="Times New Roman"/>
                <w:color w:val="auto"/>
                <w:highlight w:val="none"/>
                <w:lang w:val="en-US" w:eastAsia="zh-CN"/>
              </w:rPr>
            </w:pPr>
          </w:p>
        </w:tc>
        <w:tc>
          <w:tcPr>
            <w:tcW w:w="1217" w:type="pct"/>
            <w:vAlign w:val="center"/>
          </w:tcPr>
          <w:p w14:paraId="4FF1085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（二九）紫苑属Aster L.</w:t>
            </w:r>
          </w:p>
        </w:tc>
        <w:tc>
          <w:tcPr>
            <w:tcW w:w="380" w:type="pct"/>
            <w:vAlign w:val="center"/>
          </w:tcPr>
          <w:p w14:paraId="2DEACEE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60A78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4319207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34、黄堇Corydalis pallida (Thunb.) Pers.</w:t>
            </w:r>
          </w:p>
        </w:tc>
        <w:tc>
          <w:tcPr>
            <w:tcW w:w="1115" w:type="pct"/>
            <w:vAlign w:val="center"/>
          </w:tcPr>
          <w:p w14:paraId="192F20C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二十、罂粟科Papaveraceae Juss.</w:t>
            </w:r>
          </w:p>
        </w:tc>
        <w:tc>
          <w:tcPr>
            <w:tcW w:w="1217" w:type="pct"/>
            <w:vAlign w:val="center"/>
          </w:tcPr>
          <w:p w14:paraId="1E77A95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（三十）紫堇属Corydalis DC.</w:t>
            </w:r>
          </w:p>
        </w:tc>
        <w:tc>
          <w:tcPr>
            <w:tcW w:w="380" w:type="pct"/>
            <w:vAlign w:val="center"/>
          </w:tcPr>
          <w:p w14:paraId="189F974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7BD16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1C3D2A4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35、水金凤 Impatiens noli-tangere L.</w:t>
            </w:r>
          </w:p>
        </w:tc>
        <w:tc>
          <w:tcPr>
            <w:tcW w:w="1115" w:type="pct"/>
            <w:vAlign w:val="center"/>
          </w:tcPr>
          <w:p w14:paraId="799E6D2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二一、凤仙花科Balsaminaceae A. Rich.</w:t>
            </w:r>
          </w:p>
        </w:tc>
        <w:tc>
          <w:tcPr>
            <w:tcW w:w="1217" w:type="pct"/>
            <w:vAlign w:val="center"/>
          </w:tcPr>
          <w:p w14:paraId="591612F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（三一）凤仙花属</w:t>
            </w:r>
          </w:p>
          <w:p w14:paraId="5342894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Impatiens L.</w:t>
            </w:r>
          </w:p>
        </w:tc>
        <w:tc>
          <w:tcPr>
            <w:tcW w:w="380" w:type="pct"/>
            <w:vAlign w:val="center"/>
          </w:tcPr>
          <w:p w14:paraId="3BF611E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8F39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86" w:type="pct"/>
            <w:vAlign w:val="center"/>
          </w:tcPr>
          <w:p w14:paraId="2CEEB87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36、香蓼 Polygonum viscosum Buch.-Ham. ex D. Don</w:t>
            </w:r>
          </w:p>
        </w:tc>
        <w:tc>
          <w:tcPr>
            <w:tcW w:w="1115" w:type="pct"/>
            <w:vAlign w:val="center"/>
          </w:tcPr>
          <w:p w14:paraId="584DE7C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二二、蓼科Polygonaceae Juss.</w:t>
            </w:r>
          </w:p>
        </w:tc>
        <w:tc>
          <w:tcPr>
            <w:tcW w:w="1217" w:type="pct"/>
            <w:vAlign w:val="center"/>
          </w:tcPr>
          <w:p w14:paraId="3A770D7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（三二）蓼属Polygonum L.</w:t>
            </w:r>
          </w:p>
        </w:tc>
        <w:tc>
          <w:tcPr>
            <w:tcW w:w="380" w:type="pct"/>
            <w:vAlign w:val="center"/>
          </w:tcPr>
          <w:p w14:paraId="2644B39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bl>
    <w:p w14:paraId="4D363AB7">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表4-2-2</w:t>
      </w:r>
      <w:r>
        <w:rPr>
          <w:rFonts w:hint="eastAsia" w:eastAsia="黑体" w:cs="Times New Roman"/>
          <w:snapToGrid w:val="0"/>
          <w:color w:val="auto"/>
          <w:kern w:val="0"/>
          <w:highlight w:val="none"/>
          <w:lang w:val="en-US" w:eastAsia="zh-CN"/>
        </w:rPr>
        <w:t>7</w:t>
      </w:r>
      <w:r>
        <w:rPr>
          <w:rFonts w:hint="eastAsia" w:ascii="Times New Roman" w:hAnsi="Times New Roman" w:eastAsia="黑体" w:cs="Times New Roman"/>
          <w:snapToGrid w:val="0"/>
          <w:color w:val="auto"/>
          <w:kern w:val="0"/>
          <w:highlight w:val="none"/>
          <w:lang w:val="en-US" w:eastAsia="zh-CN"/>
        </w:rPr>
        <w:t>被子植物门名录</w:t>
      </w:r>
    </w:p>
    <w:p w14:paraId="4BA8CFE9">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（被子植物门AgniospermaⅠ  Ⅱ单子叶植物纲 Monocotyledoneae）</w:t>
      </w:r>
    </w:p>
    <w:tbl>
      <w:tblPr>
        <w:tblStyle w:val="4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7"/>
        <w:gridCol w:w="1983"/>
        <w:gridCol w:w="2128"/>
        <w:gridCol w:w="1082"/>
      </w:tblGrid>
      <w:tr w14:paraId="0C9E9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5" w:type="pct"/>
            <w:vAlign w:val="center"/>
          </w:tcPr>
          <w:p w14:paraId="2C987D3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种（学名）</w:t>
            </w:r>
          </w:p>
        </w:tc>
        <w:tc>
          <w:tcPr>
            <w:tcW w:w="1193" w:type="pct"/>
            <w:vAlign w:val="center"/>
          </w:tcPr>
          <w:p w14:paraId="330C6F4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科（学名）</w:t>
            </w:r>
          </w:p>
        </w:tc>
        <w:tc>
          <w:tcPr>
            <w:tcW w:w="1280" w:type="pct"/>
            <w:vAlign w:val="center"/>
          </w:tcPr>
          <w:p w14:paraId="03D6508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属（学名）</w:t>
            </w:r>
          </w:p>
        </w:tc>
        <w:tc>
          <w:tcPr>
            <w:tcW w:w="650" w:type="pct"/>
            <w:vAlign w:val="center"/>
          </w:tcPr>
          <w:p w14:paraId="09BAA66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保护等级</w:t>
            </w:r>
          </w:p>
        </w:tc>
      </w:tr>
      <w:tr w14:paraId="7D83D4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5" w:type="pct"/>
            <w:vAlign w:val="center"/>
          </w:tcPr>
          <w:p w14:paraId="5B7DAF7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37、半夏 Pinellia ternata (Thunb.) Breit.</w:t>
            </w:r>
          </w:p>
        </w:tc>
        <w:tc>
          <w:tcPr>
            <w:tcW w:w="1193" w:type="pct"/>
            <w:vAlign w:val="center"/>
          </w:tcPr>
          <w:p w14:paraId="686686C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二三、天南星科</w:t>
            </w:r>
          </w:p>
          <w:p w14:paraId="15CFB8C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Araceae Juss.</w:t>
            </w:r>
          </w:p>
        </w:tc>
        <w:tc>
          <w:tcPr>
            <w:tcW w:w="1280" w:type="pct"/>
            <w:vAlign w:val="center"/>
          </w:tcPr>
          <w:p w14:paraId="62F7559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（三三）</w:t>
            </w:r>
          </w:p>
          <w:p w14:paraId="00E43CA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半夏属Pinellia Ten.</w:t>
            </w:r>
          </w:p>
        </w:tc>
        <w:tc>
          <w:tcPr>
            <w:tcW w:w="650" w:type="pct"/>
            <w:vAlign w:val="center"/>
          </w:tcPr>
          <w:p w14:paraId="1756FFF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E91C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5" w:type="pct"/>
            <w:vAlign w:val="center"/>
          </w:tcPr>
          <w:p w14:paraId="10F9535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38、青绿薹草Carex breviculmis</w:t>
            </w:r>
          </w:p>
        </w:tc>
        <w:tc>
          <w:tcPr>
            <w:tcW w:w="1193" w:type="pct"/>
            <w:vAlign w:val="center"/>
          </w:tcPr>
          <w:p w14:paraId="4CF4226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二四、莎草科 Cyperaceae</w:t>
            </w:r>
          </w:p>
        </w:tc>
        <w:tc>
          <w:tcPr>
            <w:tcW w:w="1280" w:type="pct"/>
            <w:vAlign w:val="center"/>
          </w:tcPr>
          <w:p w14:paraId="14AE78B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（三四）薹草属</w:t>
            </w:r>
          </w:p>
          <w:p w14:paraId="3C54D43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Carex</w:t>
            </w:r>
          </w:p>
        </w:tc>
        <w:tc>
          <w:tcPr>
            <w:tcW w:w="650" w:type="pct"/>
            <w:vAlign w:val="center"/>
          </w:tcPr>
          <w:p w14:paraId="0E07FA7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bl>
    <w:p w14:paraId="1A6D73CA">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表4-2-2</w:t>
      </w:r>
      <w:r>
        <w:rPr>
          <w:rFonts w:hint="eastAsia" w:eastAsia="黑体" w:cs="Times New Roman"/>
          <w:snapToGrid w:val="0"/>
          <w:color w:val="auto"/>
          <w:kern w:val="0"/>
          <w:highlight w:val="none"/>
          <w:lang w:val="en-US" w:eastAsia="zh-CN"/>
        </w:rPr>
        <w:t>8</w:t>
      </w:r>
      <w:r>
        <w:rPr>
          <w:rFonts w:hint="eastAsia" w:ascii="Times New Roman" w:hAnsi="Times New Roman" w:eastAsia="黑体" w:cs="Times New Roman"/>
          <w:snapToGrid w:val="0"/>
          <w:color w:val="auto"/>
          <w:kern w:val="0"/>
          <w:highlight w:val="none"/>
          <w:lang w:val="en-US" w:eastAsia="zh-CN"/>
        </w:rPr>
        <w:t>蕨类植物门名录</w:t>
      </w:r>
    </w:p>
    <w:tbl>
      <w:tblPr>
        <w:tblStyle w:val="4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81"/>
        <w:gridCol w:w="1857"/>
        <w:gridCol w:w="1782"/>
        <w:gridCol w:w="780"/>
      </w:tblGrid>
      <w:tr w14:paraId="6163E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7" w:type="pct"/>
            <w:tcBorders>
              <w:top w:val="single" w:color="auto" w:sz="12" w:space="0"/>
              <w:left w:val="nil"/>
            </w:tcBorders>
            <w:vAlign w:val="center"/>
          </w:tcPr>
          <w:p w14:paraId="4DE49AF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种（学名）</w:t>
            </w:r>
          </w:p>
        </w:tc>
        <w:tc>
          <w:tcPr>
            <w:tcW w:w="1118" w:type="pct"/>
            <w:tcBorders>
              <w:top w:val="single" w:color="auto" w:sz="12" w:space="0"/>
            </w:tcBorders>
            <w:vAlign w:val="center"/>
          </w:tcPr>
          <w:p w14:paraId="58446B6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科（学名）</w:t>
            </w:r>
          </w:p>
        </w:tc>
        <w:tc>
          <w:tcPr>
            <w:tcW w:w="1073" w:type="pct"/>
            <w:tcBorders>
              <w:top w:val="single" w:color="auto" w:sz="12" w:space="0"/>
            </w:tcBorders>
            <w:vAlign w:val="center"/>
          </w:tcPr>
          <w:p w14:paraId="3F625EB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属（学名）</w:t>
            </w:r>
          </w:p>
        </w:tc>
        <w:tc>
          <w:tcPr>
            <w:tcW w:w="470" w:type="pct"/>
            <w:tcBorders>
              <w:top w:val="single" w:color="auto" w:sz="12" w:space="0"/>
              <w:right w:val="nil"/>
            </w:tcBorders>
            <w:vAlign w:val="center"/>
          </w:tcPr>
          <w:p w14:paraId="454688B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保护等级</w:t>
            </w:r>
          </w:p>
        </w:tc>
      </w:tr>
      <w:tr w14:paraId="3FE23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7" w:type="pct"/>
            <w:tcBorders>
              <w:left w:val="nil"/>
              <w:bottom w:val="single" w:color="auto" w:sz="12" w:space="0"/>
            </w:tcBorders>
            <w:vAlign w:val="center"/>
          </w:tcPr>
          <w:p w14:paraId="22E8A66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蕨 Pteridium aquilinum var. Latiusculum (Desv.)Underw.ex Heller</w:t>
            </w:r>
          </w:p>
        </w:tc>
        <w:tc>
          <w:tcPr>
            <w:tcW w:w="1118" w:type="pct"/>
            <w:tcBorders>
              <w:bottom w:val="single" w:color="auto" w:sz="12" w:space="0"/>
            </w:tcBorders>
            <w:vAlign w:val="center"/>
          </w:tcPr>
          <w:p w14:paraId="6A68DFF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蕨科Pteridiaceae</w:t>
            </w:r>
          </w:p>
        </w:tc>
        <w:tc>
          <w:tcPr>
            <w:tcW w:w="1073" w:type="pct"/>
            <w:tcBorders>
              <w:bottom w:val="single" w:color="auto" w:sz="12" w:space="0"/>
            </w:tcBorders>
            <w:vAlign w:val="center"/>
          </w:tcPr>
          <w:p w14:paraId="33B218D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蕨属Pteridum</w:t>
            </w:r>
          </w:p>
        </w:tc>
        <w:tc>
          <w:tcPr>
            <w:tcW w:w="470" w:type="pct"/>
            <w:tcBorders>
              <w:bottom w:val="single" w:color="auto" w:sz="12" w:space="0"/>
              <w:right w:val="nil"/>
            </w:tcBorders>
            <w:vAlign w:val="center"/>
          </w:tcPr>
          <w:p w14:paraId="345A1F4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bl>
    <w:p w14:paraId="4DA1CC95">
      <w:pPr>
        <w:bidi w:val="0"/>
        <w:rPr>
          <w:color w:val="auto"/>
          <w:highlight w:val="none"/>
        </w:rPr>
      </w:pPr>
      <w:r>
        <w:rPr>
          <w:rFonts w:hint="eastAsia"/>
          <w:color w:val="auto"/>
          <w:highlight w:val="none"/>
          <w:lang w:val="en-US" w:eastAsia="zh-CN"/>
        </w:rPr>
        <w:t>2.</w:t>
      </w:r>
      <w:r>
        <w:rPr>
          <w:color w:val="auto"/>
          <w:highlight w:val="none"/>
          <w:lang w:val="en-US"/>
        </w:rPr>
        <w:t>评价区植被特征</w:t>
      </w:r>
    </w:p>
    <w:p w14:paraId="7B0D26AB">
      <w:pPr>
        <w:bidi w:val="0"/>
        <w:rPr>
          <w:color w:val="auto"/>
          <w:highlight w:val="none"/>
          <w:lang w:val="en-US"/>
        </w:rPr>
      </w:pPr>
      <w:r>
        <w:rPr>
          <w:color w:val="auto"/>
          <w:highlight w:val="none"/>
          <w:lang w:val="en-US"/>
        </w:rPr>
        <w:t>评价区位于黑龙江省北部，根据《中国东北植被生态区划》，评价区属于小兴安岭北部山地兴安落叶松林区，本地区地带性植被-阔叶混交林遭受破坏后，衍生为各类型次生林，由伴生的阔叶树种萌发成阔叶混交林或由山杨等阳性先锋树种形成次生林。评价区内植被主要有以兴安落叶松（Larixgmelinii Kuzen.）</w:t>
      </w:r>
      <w:r>
        <w:rPr>
          <w:rFonts w:hint="eastAsia"/>
          <w:color w:val="auto"/>
          <w:highlight w:val="none"/>
          <w:lang w:val="en-US" w:eastAsia="zh-CN"/>
        </w:rPr>
        <w:t>为主的落叶针叶林和</w:t>
      </w:r>
      <w:r>
        <w:rPr>
          <w:color w:val="auto"/>
          <w:highlight w:val="none"/>
          <w:lang w:val="en-US"/>
        </w:rPr>
        <w:t>蒙古栎（Quercus mongolica Fisch. ex Ledeb.）、</w:t>
      </w:r>
      <w:r>
        <w:rPr>
          <w:rFonts w:hint="eastAsia" w:cs="Times New Roman"/>
          <w:color w:val="auto"/>
          <w:kern w:val="21"/>
          <w:highlight w:val="none"/>
          <w:lang w:val="en-US" w:eastAsia="zh-CN"/>
        </w:rPr>
        <w:t>山杨林</w:t>
      </w:r>
      <w:r>
        <w:rPr>
          <w:rFonts w:ascii="Times New Roman" w:hAnsi="Times New Roman" w:cs="Times New Roman"/>
          <w:color w:val="auto"/>
          <w:kern w:val="21"/>
          <w:highlight w:val="none"/>
          <w:lang w:val="en-US"/>
        </w:rPr>
        <w:t>（</w:t>
      </w:r>
      <w:r>
        <w:rPr>
          <w:rFonts w:hint="eastAsia" w:ascii="Times New Roman" w:hAnsi="Times New Roman" w:cs="Times New Roman"/>
          <w:i/>
          <w:iCs/>
          <w:color w:val="auto"/>
          <w:kern w:val="21"/>
          <w:highlight w:val="none"/>
          <w:lang w:val="en-US"/>
        </w:rPr>
        <w:t>Populus davidiana Dode</w:t>
      </w:r>
      <w:r>
        <w:rPr>
          <w:rFonts w:ascii="Times New Roman" w:hAnsi="Times New Roman" w:cs="Times New Roman"/>
          <w:color w:val="auto"/>
          <w:kern w:val="21"/>
          <w:highlight w:val="none"/>
          <w:lang w:val="en-US"/>
        </w:rPr>
        <w:t>.）</w:t>
      </w:r>
      <w:r>
        <w:rPr>
          <w:color w:val="auto"/>
          <w:highlight w:val="none"/>
          <w:lang w:val="en-US"/>
        </w:rPr>
        <w:t>为主的落叶阔叶常绿针叶混交林</w:t>
      </w:r>
      <w:r>
        <w:rPr>
          <w:rFonts w:hint="eastAsia"/>
          <w:color w:val="auto"/>
          <w:highlight w:val="none"/>
          <w:lang w:val="en-US" w:eastAsia="zh-CN"/>
        </w:rPr>
        <w:t>，以及大豆、玉米等农田作物</w:t>
      </w:r>
      <w:r>
        <w:rPr>
          <w:color w:val="auto"/>
          <w:highlight w:val="none"/>
          <w:lang w:val="en-US"/>
        </w:rPr>
        <w:t>。</w:t>
      </w:r>
    </w:p>
    <w:p w14:paraId="0D5C91DA">
      <w:pPr>
        <w:bidi w:val="0"/>
        <w:rPr>
          <w:color w:val="auto"/>
          <w:highlight w:val="none"/>
        </w:rPr>
      </w:pPr>
      <w:r>
        <w:rPr>
          <w:rFonts w:hint="eastAsia"/>
          <w:color w:val="auto"/>
          <w:highlight w:val="none"/>
          <w:lang w:val="en-US" w:eastAsia="zh-CN"/>
        </w:rPr>
        <w:t>3.</w:t>
      </w:r>
      <w:r>
        <w:rPr>
          <w:color w:val="auto"/>
          <w:highlight w:val="none"/>
          <w:lang w:val="en-US"/>
        </w:rPr>
        <w:t>植被现状调查</w:t>
      </w:r>
    </w:p>
    <w:p w14:paraId="22848ECB">
      <w:pPr>
        <w:bidi w:val="0"/>
        <w:rPr>
          <w:color w:val="auto"/>
          <w:highlight w:val="none"/>
          <w:lang w:val="en-US"/>
        </w:rPr>
      </w:pPr>
      <w:r>
        <w:rPr>
          <w:color w:val="auto"/>
          <w:highlight w:val="none"/>
          <w:lang w:val="en-US"/>
        </w:rPr>
        <w:t>根据《环境影响评价技术导则 生态影响》（HJ 19-2022）相关内容，陆生生态</w:t>
      </w:r>
      <w:r>
        <w:rPr>
          <w:rFonts w:hint="eastAsia"/>
          <w:color w:val="auto"/>
          <w:highlight w:val="none"/>
          <w:lang w:val="en-US" w:eastAsia="zh-CN"/>
        </w:rPr>
        <w:t>二</w:t>
      </w:r>
      <w:r>
        <w:rPr>
          <w:color w:val="auto"/>
          <w:highlight w:val="none"/>
          <w:lang w:val="en-US"/>
        </w:rPr>
        <w:t>级评价应结合调查范围、调查对象、地形地貌和实际情况选择合适的调查方法。开展样方调查的，应合理确定样方的数量、长度或面积，涵盖评价范围内不同的植被类型，山地区域还应结合海拔段、坡位、坡向进行布设。根据植物群落类型（宜以群系及以下分类单位为调查单元）设置调查样地，二级评价每种群落类型设置的样方数量不少于3个，调查时间宜选择植物生长旺盛季节。</w:t>
      </w:r>
    </w:p>
    <w:p w14:paraId="2A0EBA6A">
      <w:pPr>
        <w:bidi w:val="0"/>
        <w:rPr>
          <w:color w:val="auto"/>
          <w:highlight w:val="none"/>
          <w:lang w:val="en-US"/>
        </w:rPr>
      </w:pPr>
      <w:r>
        <w:rPr>
          <w:color w:val="auto"/>
          <w:highlight w:val="none"/>
          <w:lang w:val="en-US"/>
        </w:rPr>
        <w:t>本次调查以群系分类单位为调查单元设置调查样方，根据遥感和地理信息系统技术手段统计结果，项目评价区内共分布有</w:t>
      </w:r>
      <w:r>
        <w:rPr>
          <w:rFonts w:hint="eastAsia"/>
          <w:color w:val="auto"/>
          <w:highlight w:val="none"/>
          <w:lang w:val="en-US" w:eastAsia="zh-CN"/>
        </w:rPr>
        <w:t>2</w:t>
      </w:r>
      <w:r>
        <w:rPr>
          <w:color w:val="auto"/>
          <w:highlight w:val="none"/>
          <w:lang w:val="en-US"/>
        </w:rPr>
        <w:t>个植被群系，分别为蒙古栎群系；兴安落叶松群系；</w:t>
      </w:r>
      <w:r>
        <w:rPr>
          <w:rFonts w:hint="eastAsia"/>
          <w:color w:val="auto"/>
          <w:highlight w:val="none"/>
          <w:lang w:val="en-US" w:eastAsia="zh-CN"/>
        </w:rPr>
        <w:t>羊草</w:t>
      </w:r>
      <w:r>
        <w:rPr>
          <w:color w:val="auto"/>
          <w:highlight w:val="none"/>
        </w:rPr>
        <w:t>、苔草群系</w:t>
      </w:r>
      <w:r>
        <w:rPr>
          <w:color w:val="auto"/>
          <w:highlight w:val="none"/>
          <w:lang w:val="en-US"/>
        </w:rPr>
        <w:t>。按照《环境影响评价技术导则 生态影响》（HJ 19-2022）相关内容，每种群系设置3个样方，共</w:t>
      </w:r>
      <w:r>
        <w:rPr>
          <w:rFonts w:hint="eastAsia"/>
          <w:color w:val="auto"/>
          <w:highlight w:val="none"/>
          <w:lang w:val="en-US" w:eastAsia="zh-CN"/>
        </w:rPr>
        <w:t>9</w:t>
      </w:r>
      <w:r>
        <w:rPr>
          <w:color w:val="auto"/>
          <w:highlight w:val="none"/>
          <w:lang w:val="en-US"/>
        </w:rPr>
        <w:t>个样方。其中蒙古栎、兴安落叶松林样方面积设置为</w:t>
      </w:r>
      <w:r>
        <w:rPr>
          <w:rFonts w:hint="eastAsia"/>
          <w:color w:val="auto"/>
          <w:highlight w:val="none"/>
          <w:lang w:val="en-US" w:eastAsia="zh-CN"/>
        </w:rPr>
        <w:t>2</w:t>
      </w:r>
      <w:r>
        <w:rPr>
          <w:color w:val="auto"/>
          <w:highlight w:val="none"/>
          <w:lang w:val="en-US"/>
        </w:rPr>
        <w:t>0m×</w:t>
      </w:r>
      <w:r>
        <w:rPr>
          <w:rFonts w:hint="eastAsia"/>
          <w:color w:val="auto"/>
          <w:highlight w:val="none"/>
          <w:lang w:val="en-US" w:eastAsia="zh-CN"/>
        </w:rPr>
        <w:t>2</w:t>
      </w:r>
      <w:r>
        <w:rPr>
          <w:color w:val="auto"/>
          <w:highlight w:val="none"/>
          <w:lang w:val="en-US"/>
        </w:rPr>
        <w:t>0m，</w:t>
      </w:r>
      <w:r>
        <w:rPr>
          <w:color w:val="auto"/>
          <w:highlight w:val="none"/>
        </w:rPr>
        <w:t>苔草</w:t>
      </w:r>
      <w:r>
        <w:rPr>
          <w:rFonts w:hint="eastAsia"/>
          <w:color w:val="auto"/>
          <w:highlight w:val="none"/>
          <w:lang w:eastAsia="zh-CN"/>
        </w:rPr>
        <w:t>、</w:t>
      </w:r>
      <w:r>
        <w:rPr>
          <w:rFonts w:hint="eastAsia"/>
          <w:color w:val="auto"/>
          <w:highlight w:val="none"/>
          <w:lang w:val="en-US" w:eastAsia="zh-CN"/>
        </w:rPr>
        <w:t>羊草</w:t>
      </w:r>
      <w:r>
        <w:rPr>
          <w:color w:val="auto"/>
          <w:highlight w:val="none"/>
          <w:lang w:val="en-US"/>
        </w:rPr>
        <w:t>样方面积设置为1m×1m。</w:t>
      </w:r>
      <w:r>
        <w:rPr>
          <w:color w:val="auto"/>
          <w:highlight w:val="none"/>
        </w:rPr>
        <w:t>项目组于20</w:t>
      </w:r>
      <w:r>
        <w:rPr>
          <w:color w:val="auto"/>
          <w:highlight w:val="none"/>
          <w:lang w:val="en-US"/>
        </w:rPr>
        <w:t>2</w:t>
      </w:r>
      <w:r>
        <w:rPr>
          <w:rFonts w:hint="eastAsia"/>
          <w:color w:val="auto"/>
          <w:highlight w:val="none"/>
          <w:lang w:val="en-US" w:eastAsia="zh-CN"/>
        </w:rPr>
        <w:t>6</w:t>
      </w:r>
      <w:r>
        <w:rPr>
          <w:color w:val="auto"/>
          <w:highlight w:val="none"/>
        </w:rPr>
        <w:t>年</w:t>
      </w:r>
      <w:r>
        <w:rPr>
          <w:rFonts w:hint="eastAsia"/>
          <w:color w:val="auto"/>
          <w:highlight w:val="none"/>
          <w:lang w:val="en-US" w:eastAsia="zh-CN"/>
        </w:rPr>
        <w:t>5月</w:t>
      </w:r>
      <w:r>
        <w:rPr>
          <w:color w:val="auto"/>
          <w:highlight w:val="none"/>
          <w:lang w:val="en-US"/>
        </w:rPr>
        <w:t>期间</w:t>
      </w:r>
      <w:r>
        <w:rPr>
          <w:color w:val="auto"/>
          <w:highlight w:val="none"/>
        </w:rPr>
        <w:t>在</w:t>
      </w:r>
      <w:r>
        <w:rPr>
          <w:color w:val="auto"/>
          <w:highlight w:val="none"/>
          <w:lang w:val="en-US"/>
        </w:rPr>
        <w:t>评价</w:t>
      </w:r>
      <w:r>
        <w:rPr>
          <w:color w:val="auto"/>
          <w:highlight w:val="none"/>
        </w:rPr>
        <w:t>范围内</w:t>
      </w:r>
      <w:r>
        <w:rPr>
          <w:color w:val="auto"/>
          <w:highlight w:val="none"/>
          <w:lang w:val="en-US"/>
        </w:rPr>
        <w:t>进行样方调查</w:t>
      </w:r>
      <w:r>
        <w:rPr>
          <w:color w:val="auto"/>
          <w:highlight w:val="none"/>
          <w:lang w:val="en-US"/>
        </w:rPr>
        <w:t>，不同群系样方设置情况表、植被样方调查表详见下表。</w:t>
      </w:r>
    </w:p>
    <w:p w14:paraId="7A8D44A8">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w:t>
      </w:r>
      <w:r>
        <w:rPr>
          <w:rFonts w:hint="eastAsia" w:eastAsia="黑体" w:cs="Times New Roman"/>
          <w:snapToGrid w:val="0"/>
          <w:color w:val="auto"/>
          <w:kern w:val="0"/>
          <w:highlight w:val="none"/>
          <w:lang w:val="en-US" w:eastAsia="zh-CN"/>
        </w:rPr>
        <w:t>-2-29</w:t>
      </w:r>
      <w:r>
        <w:rPr>
          <w:rFonts w:hint="eastAsia" w:ascii="Times New Roman" w:hAnsi="Times New Roman" w:eastAsia="黑体" w:cs="Times New Roman"/>
          <w:snapToGrid w:val="0"/>
          <w:color w:val="auto"/>
          <w:kern w:val="0"/>
          <w:highlight w:val="none"/>
          <w:lang w:val="en-US" w:eastAsia="zh-CN"/>
        </w:rPr>
        <w:t>评价区不同群系样方设置情况表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4"/>
        <w:gridCol w:w="1077"/>
        <w:gridCol w:w="1783"/>
        <w:gridCol w:w="1668"/>
        <w:gridCol w:w="628"/>
        <w:gridCol w:w="1065"/>
        <w:gridCol w:w="1064"/>
      </w:tblGrid>
      <w:tr w14:paraId="359B6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Align w:val="center"/>
          </w:tcPr>
          <w:p w14:paraId="3A816896">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群系</w:t>
            </w:r>
          </w:p>
        </w:tc>
        <w:tc>
          <w:tcPr>
            <w:tcW w:w="648" w:type="pct"/>
            <w:vAlign w:val="center"/>
          </w:tcPr>
          <w:p w14:paraId="2C3D722D">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样方编号</w:t>
            </w:r>
          </w:p>
        </w:tc>
        <w:tc>
          <w:tcPr>
            <w:tcW w:w="1072" w:type="pct"/>
            <w:vAlign w:val="center"/>
          </w:tcPr>
          <w:p w14:paraId="58879C0E">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经度</w:t>
            </w:r>
          </w:p>
        </w:tc>
        <w:tc>
          <w:tcPr>
            <w:tcW w:w="1003" w:type="pct"/>
            <w:vAlign w:val="center"/>
          </w:tcPr>
          <w:p w14:paraId="23AA91FC">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纬度</w:t>
            </w:r>
          </w:p>
        </w:tc>
        <w:tc>
          <w:tcPr>
            <w:tcW w:w="377" w:type="pct"/>
            <w:vAlign w:val="center"/>
          </w:tcPr>
          <w:p w14:paraId="1C08EB42">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海拔</w:t>
            </w:r>
          </w:p>
        </w:tc>
        <w:tc>
          <w:tcPr>
            <w:tcW w:w="641" w:type="pct"/>
            <w:vAlign w:val="center"/>
          </w:tcPr>
          <w:p w14:paraId="20841548">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样</w:t>
            </w:r>
            <w:r>
              <w:rPr>
                <w:rFonts w:ascii="Times New Roman" w:hAnsi="Times New Roman" w:cs="Times New Roman"/>
                <w:color w:val="auto"/>
                <w:kern w:val="21"/>
                <w:sz w:val="21"/>
                <w:szCs w:val="21"/>
                <w:highlight w:val="none"/>
                <w:lang w:val="en-US"/>
              </w:rPr>
              <w:t>方地点</w:t>
            </w:r>
          </w:p>
        </w:tc>
        <w:tc>
          <w:tcPr>
            <w:tcW w:w="640" w:type="pct"/>
            <w:vAlign w:val="center"/>
          </w:tcPr>
          <w:p w14:paraId="413804D5">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样方面积</w:t>
            </w:r>
          </w:p>
        </w:tc>
      </w:tr>
      <w:tr w14:paraId="26481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restart"/>
            <w:vAlign w:val="center"/>
          </w:tcPr>
          <w:p w14:paraId="49DD2987">
            <w:pPr>
              <w:widowControl/>
              <w:autoSpaceDE/>
              <w:autoSpaceDN/>
              <w:adjustRightInd w:val="0"/>
              <w:snapToGrid w:val="0"/>
              <w:ind w:left="0" w:leftChars="0" w:firstLine="0" w:firstLineChars="0"/>
              <w:jc w:val="both"/>
              <w:textAlignment w:val="center"/>
              <w:rPr>
                <w:rFonts w:hint="default" w:ascii="Times New Roman" w:hAnsi="Times New Roman" w:eastAsia="宋体" w:cs="Times New Roman"/>
                <w:color w:val="auto"/>
                <w:kern w:val="21"/>
                <w:sz w:val="21"/>
                <w:szCs w:val="21"/>
                <w:highlight w:val="none"/>
                <w:lang w:val="en-US" w:eastAsia="zh-CN" w:bidi="ar-SA"/>
              </w:rPr>
            </w:pPr>
            <w:r>
              <w:rPr>
                <w:rFonts w:ascii="Times New Roman" w:hAnsi="Times New Roman" w:cs="Times New Roman"/>
                <w:color w:val="auto"/>
                <w:kern w:val="21"/>
                <w:sz w:val="21"/>
                <w:szCs w:val="21"/>
                <w:highlight w:val="none"/>
                <w:lang w:val="en-US" w:bidi="ar-SA"/>
              </w:rPr>
              <w:t>蒙古栎</w:t>
            </w:r>
            <w:r>
              <w:rPr>
                <w:rFonts w:hint="eastAsia" w:ascii="Times New Roman" w:hAnsi="Times New Roman" w:cs="Times New Roman"/>
                <w:color w:val="auto"/>
                <w:kern w:val="21"/>
                <w:sz w:val="21"/>
                <w:szCs w:val="21"/>
                <w:highlight w:val="none"/>
                <w:lang w:val="en-US" w:eastAsia="zh-CN" w:bidi="ar-SA"/>
              </w:rPr>
              <w:t>、山杨林</w:t>
            </w:r>
          </w:p>
        </w:tc>
        <w:tc>
          <w:tcPr>
            <w:tcW w:w="648" w:type="pct"/>
            <w:vAlign w:val="center"/>
          </w:tcPr>
          <w:p w14:paraId="3ED60915">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rPr>
              <w:t>1#</w:t>
            </w:r>
          </w:p>
        </w:tc>
        <w:tc>
          <w:tcPr>
            <w:tcW w:w="1072" w:type="pct"/>
            <w:vAlign w:val="center"/>
          </w:tcPr>
          <w:p w14:paraId="144D06D5">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SA"/>
              </w:rPr>
            </w:pPr>
            <w:r>
              <w:rPr>
                <w:rFonts w:hint="eastAsia" w:ascii="Times New Roman" w:hAnsi="Times New Roman" w:eastAsia="宋体" w:cs="Times New Roman"/>
                <w:color w:val="auto"/>
                <w:kern w:val="21"/>
                <w:sz w:val="21"/>
                <w:szCs w:val="21"/>
                <w:highlight w:val="none"/>
                <w:lang w:val="en-US" w:eastAsia="zh-CN" w:bidi="ar-SA"/>
              </w:rPr>
              <w:t>127°21'21.3931"</w:t>
            </w:r>
          </w:p>
        </w:tc>
        <w:tc>
          <w:tcPr>
            <w:tcW w:w="1003" w:type="pct"/>
            <w:vAlign w:val="center"/>
          </w:tcPr>
          <w:p w14:paraId="36E9A38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hint="eastAsia" w:ascii="Times New Roman" w:hAnsi="Times New Roman" w:cs="Times New Roman"/>
                <w:color w:val="auto"/>
                <w:kern w:val="21"/>
                <w:sz w:val="21"/>
                <w:szCs w:val="21"/>
                <w:highlight w:val="none"/>
                <w:lang w:val="en-US" w:bidi="ar"/>
              </w:rPr>
              <w:t>49°31'29.4858"</w:t>
            </w:r>
          </w:p>
        </w:tc>
        <w:tc>
          <w:tcPr>
            <w:tcW w:w="377" w:type="pct"/>
            <w:vAlign w:val="center"/>
          </w:tcPr>
          <w:p w14:paraId="776720BD">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SA"/>
              </w:rPr>
            </w:pPr>
            <w:r>
              <w:rPr>
                <w:rFonts w:hint="eastAsia" w:ascii="Times New Roman" w:hAnsi="Times New Roman" w:cs="Times New Roman"/>
                <w:color w:val="auto"/>
                <w:kern w:val="21"/>
                <w:sz w:val="21"/>
                <w:szCs w:val="21"/>
                <w:highlight w:val="none"/>
                <w:lang w:val="en-US" w:eastAsia="zh-CN" w:bidi="ar"/>
              </w:rPr>
              <w:t>321</w:t>
            </w:r>
          </w:p>
        </w:tc>
        <w:tc>
          <w:tcPr>
            <w:tcW w:w="641" w:type="pct"/>
            <w:vAlign w:val="center"/>
          </w:tcPr>
          <w:p w14:paraId="29B55BC8">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东侧</w:t>
            </w:r>
          </w:p>
        </w:tc>
        <w:tc>
          <w:tcPr>
            <w:tcW w:w="640" w:type="pct"/>
            <w:vAlign w:val="center"/>
          </w:tcPr>
          <w:p w14:paraId="321B843C">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05CA9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5C8D6308">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rPr>
            </w:pPr>
          </w:p>
        </w:tc>
        <w:tc>
          <w:tcPr>
            <w:tcW w:w="648" w:type="pct"/>
            <w:vAlign w:val="center"/>
          </w:tcPr>
          <w:p w14:paraId="3BA0162B">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2#</w:t>
            </w:r>
          </w:p>
        </w:tc>
        <w:tc>
          <w:tcPr>
            <w:tcW w:w="1072" w:type="pct"/>
            <w:vAlign w:val="center"/>
          </w:tcPr>
          <w:p w14:paraId="3826D72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127°21'26.0456"</w:t>
            </w:r>
          </w:p>
        </w:tc>
        <w:tc>
          <w:tcPr>
            <w:tcW w:w="1003" w:type="pct"/>
            <w:vAlign w:val="center"/>
          </w:tcPr>
          <w:p w14:paraId="5280D64C">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49°31'45.6345"</w:t>
            </w:r>
          </w:p>
        </w:tc>
        <w:tc>
          <w:tcPr>
            <w:tcW w:w="377" w:type="pct"/>
            <w:vAlign w:val="center"/>
          </w:tcPr>
          <w:p w14:paraId="237B5ED2">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309</w:t>
            </w:r>
          </w:p>
        </w:tc>
        <w:tc>
          <w:tcPr>
            <w:tcW w:w="641" w:type="pct"/>
            <w:vAlign w:val="center"/>
          </w:tcPr>
          <w:p w14:paraId="27E638D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场区东</w:t>
            </w:r>
            <w:r>
              <w:rPr>
                <w:rFonts w:ascii="Times New Roman" w:hAnsi="Times New Roman" w:cs="Times New Roman"/>
                <w:color w:val="auto"/>
                <w:kern w:val="21"/>
                <w:sz w:val="21"/>
                <w:szCs w:val="21"/>
                <w:highlight w:val="none"/>
                <w:lang w:val="en-US" w:bidi="ar"/>
              </w:rPr>
              <w:t>侧</w:t>
            </w:r>
          </w:p>
        </w:tc>
        <w:tc>
          <w:tcPr>
            <w:tcW w:w="640" w:type="pct"/>
            <w:vAlign w:val="center"/>
          </w:tcPr>
          <w:p w14:paraId="43209CCA">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409DD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7E0BD47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rPr>
            </w:pPr>
          </w:p>
        </w:tc>
        <w:tc>
          <w:tcPr>
            <w:tcW w:w="648" w:type="pct"/>
            <w:vAlign w:val="center"/>
          </w:tcPr>
          <w:p w14:paraId="5077E6B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3#</w:t>
            </w:r>
          </w:p>
        </w:tc>
        <w:tc>
          <w:tcPr>
            <w:tcW w:w="1072" w:type="pct"/>
            <w:vAlign w:val="center"/>
          </w:tcPr>
          <w:p w14:paraId="233EF0A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127°20'48.2296"</w:t>
            </w:r>
          </w:p>
        </w:tc>
        <w:tc>
          <w:tcPr>
            <w:tcW w:w="1003" w:type="pct"/>
            <w:vAlign w:val="center"/>
          </w:tcPr>
          <w:p w14:paraId="5D25B702">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49°31'47.4708"</w:t>
            </w:r>
          </w:p>
        </w:tc>
        <w:tc>
          <w:tcPr>
            <w:tcW w:w="377" w:type="pct"/>
            <w:vAlign w:val="center"/>
          </w:tcPr>
          <w:p w14:paraId="03386294">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335</w:t>
            </w:r>
          </w:p>
        </w:tc>
        <w:tc>
          <w:tcPr>
            <w:tcW w:w="641" w:type="pct"/>
            <w:vAlign w:val="center"/>
          </w:tcPr>
          <w:p w14:paraId="1267ADB8">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场区西侧</w:t>
            </w:r>
          </w:p>
        </w:tc>
        <w:tc>
          <w:tcPr>
            <w:tcW w:w="640" w:type="pct"/>
            <w:vAlign w:val="center"/>
          </w:tcPr>
          <w:p w14:paraId="3AE7E51C">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22DBB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restart"/>
            <w:vAlign w:val="center"/>
          </w:tcPr>
          <w:p w14:paraId="1655D0A8">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兴安落叶松</w:t>
            </w:r>
          </w:p>
        </w:tc>
        <w:tc>
          <w:tcPr>
            <w:tcW w:w="648" w:type="pct"/>
            <w:vAlign w:val="center"/>
          </w:tcPr>
          <w:p w14:paraId="11CB579E">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4#</w:t>
            </w:r>
          </w:p>
        </w:tc>
        <w:tc>
          <w:tcPr>
            <w:tcW w:w="1072" w:type="pct"/>
            <w:vAlign w:val="center"/>
          </w:tcPr>
          <w:p w14:paraId="30A8A66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127°21'25.5847"</w:t>
            </w:r>
          </w:p>
        </w:tc>
        <w:tc>
          <w:tcPr>
            <w:tcW w:w="1003" w:type="pct"/>
            <w:vAlign w:val="center"/>
          </w:tcPr>
          <w:p w14:paraId="5DB512F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49°32'04.5793"</w:t>
            </w:r>
          </w:p>
        </w:tc>
        <w:tc>
          <w:tcPr>
            <w:tcW w:w="377" w:type="pct"/>
            <w:vAlign w:val="center"/>
          </w:tcPr>
          <w:p w14:paraId="0B123CAA">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ascii="Times New Roman" w:hAnsi="Times New Roman" w:cs="Times New Roman"/>
                <w:color w:val="auto"/>
                <w:kern w:val="21"/>
                <w:sz w:val="21"/>
                <w:szCs w:val="21"/>
                <w:highlight w:val="none"/>
                <w:lang w:val="en-US" w:bidi="ar"/>
              </w:rPr>
              <w:t>2</w:t>
            </w:r>
            <w:r>
              <w:rPr>
                <w:rFonts w:hint="eastAsia" w:ascii="Times New Roman" w:hAnsi="Times New Roman" w:cs="Times New Roman"/>
                <w:color w:val="auto"/>
                <w:kern w:val="21"/>
                <w:sz w:val="21"/>
                <w:szCs w:val="21"/>
                <w:highlight w:val="none"/>
                <w:lang w:val="en-US" w:eastAsia="zh-CN" w:bidi="ar"/>
              </w:rPr>
              <w:t>94</w:t>
            </w:r>
          </w:p>
        </w:tc>
        <w:tc>
          <w:tcPr>
            <w:tcW w:w="641" w:type="pct"/>
            <w:vAlign w:val="center"/>
          </w:tcPr>
          <w:p w14:paraId="003872A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北侧</w:t>
            </w:r>
          </w:p>
        </w:tc>
        <w:tc>
          <w:tcPr>
            <w:tcW w:w="640" w:type="pct"/>
            <w:vAlign w:val="center"/>
          </w:tcPr>
          <w:p w14:paraId="668602D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12F23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45F14C3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rPr>
            </w:pPr>
          </w:p>
        </w:tc>
        <w:tc>
          <w:tcPr>
            <w:tcW w:w="648" w:type="pct"/>
            <w:vAlign w:val="center"/>
          </w:tcPr>
          <w:p w14:paraId="20A42579">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5#</w:t>
            </w:r>
          </w:p>
        </w:tc>
        <w:tc>
          <w:tcPr>
            <w:tcW w:w="1072" w:type="pct"/>
            <w:vAlign w:val="center"/>
          </w:tcPr>
          <w:p w14:paraId="66B49A4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127°20'55.8256"</w:t>
            </w:r>
          </w:p>
        </w:tc>
        <w:tc>
          <w:tcPr>
            <w:tcW w:w="1003" w:type="pct"/>
            <w:vAlign w:val="center"/>
          </w:tcPr>
          <w:p w14:paraId="4ADB704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49°31'52.6976"</w:t>
            </w:r>
          </w:p>
        </w:tc>
        <w:tc>
          <w:tcPr>
            <w:tcW w:w="377" w:type="pct"/>
            <w:vAlign w:val="center"/>
          </w:tcPr>
          <w:p w14:paraId="211E5AB9">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329</w:t>
            </w:r>
          </w:p>
        </w:tc>
        <w:tc>
          <w:tcPr>
            <w:tcW w:w="641" w:type="pct"/>
            <w:vAlign w:val="center"/>
          </w:tcPr>
          <w:p w14:paraId="4694ADA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场区西</w:t>
            </w:r>
            <w:r>
              <w:rPr>
                <w:rFonts w:ascii="Times New Roman" w:hAnsi="Times New Roman" w:cs="Times New Roman"/>
                <w:color w:val="auto"/>
                <w:kern w:val="21"/>
                <w:sz w:val="21"/>
                <w:szCs w:val="21"/>
                <w:highlight w:val="none"/>
                <w:lang w:val="en-US" w:bidi="ar"/>
              </w:rPr>
              <w:t>侧</w:t>
            </w:r>
          </w:p>
        </w:tc>
        <w:tc>
          <w:tcPr>
            <w:tcW w:w="640" w:type="pct"/>
            <w:vAlign w:val="center"/>
          </w:tcPr>
          <w:p w14:paraId="146082D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2318C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2B620469">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p>
        </w:tc>
        <w:tc>
          <w:tcPr>
            <w:tcW w:w="648" w:type="pct"/>
            <w:vAlign w:val="center"/>
          </w:tcPr>
          <w:p w14:paraId="406151E4">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6#</w:t>
            </w:r>
          </w:p>
        </w:tc>
        <w:tc>
          <w:tcPr>
            <w:tcW w:w="1072" w:type="pct"/>
            <w:vAlign w:val="center"/>
          </w:tcPr>
          <w:p w14:paraId="7BDDDFC2">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127°20'41.2516"</w:t>
            </w:r>
          </w:p>
        </w:tc>
        <w:tc>
          <w:tcPr>
            <w:tcW w:w="1003" w:type="pct"/>
            <w:vAlign w:val="center"/>
          </w:tcPr>
          <w:p w14:paraId="0DEF34C4">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49°31'33.4227"</w:t>
            </w:r>
          </w:p>
        </w:tc>
        <w:tc>
          <w:tcPr>
            <w:tcW w:w="377" w:type="pct"/>
            <w:vAlign w:val="center"/>
          </w:tcPr>
          <w:p w14:paraId="1A2A9A3F">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343</w:t>
            </w:r>
          </w:p>
        </w:tc>
        <w:tc>
          <w:tcPr>
            <w:tcW w:w="641" w:type="pct"/>
            <w:vAlign w:val="center"/>
          </w:tcPr>
          <w:p w14:paraId="5723C980">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场区北侧</w:t>
            </w:r>
          </w:p>
        </w:tc>
        <w:tc>
          <w:tcPr>
            <w:tcW w:w="640" w:type="pct"/>
            <w:vAlign w:val="center"/>
          </w:tcPr>
          <w:p w14:paraId="4DA45CEF">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20m×20m</w:t>
            </w:r>
          </w:p>
        </w:tc>
      </w:tr>
      <w:tr w14:paraId="025E8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restart"/>
            <w:vAlign w:val="center"/>
          </w:tcPr>
          <w:p w14:paraId="3207D4CE">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羊草</w:t>
            </w:r>
            <w:r>
              <w:rPr>
                <w:rFonts w:hint="eastAsia" w:ascii="Times New Roman" w:hAnsi="Times New Roman" w:cs="Times New Roman"/>
                <w:color w:val="auto"/>
                <w:kern w:val="21"/>
                <w:sz w:val="21"/>
                <w:szCs w:val="21"/>
                <w:highlight w:val="none"/>
                <w:lang w:val="en-US" w:eastAsia="zh-CN" w:bidi="ar-SA"/>
              </w:rPr>
              <w:t>、</w:t>
            </w:r>
            <w:r>
              <w:rPr>
                <w:rFonts w:ascii="Times New Roman" w:hAnsi="Times New Roman" w:cs="Times New Roman"/>
                <w:color w:val="auto"/>
                <w:kern w:val="21"/>
                <w:sz w:val="21"/>
                <w:szCs w:val="21"/>
                <w:highlight w:val="none"/>
                <w:lang w:val="en-US" w:bidi="ar-SA"/>
              </w:rPr>
              <w:t>苔草</w:t>
            </w:r>
          </w:p>
        </w:tc>
        <w:tc>
          <w:tcPr>
            <w:tcW w:w="648" w:type="pct"/>
            <w:vAlign w:val="center"/>
          </w:tcPr>
          <w:p w14:paraId="3A5456CA">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rPr>
              <w:t>7</w:t>
            </w:r>
            <w:r>
              <w:rPr>
                <w:rFonts w:ascii="Times New Roman" w:hAnsi="Times New Roman" w:cs="Times New Roman"/>
                <w:color w:val="auto"/>
                <w:kern w:val="21"/>
                <w:sz w:val="21"/>
                <w:szCs w:val="21"/>
                <w:highlight w:val="none"/>
                <w:lang w:val="en-US"/>
              </w:rPr>
              <w:t>#</w:t>
            </w:r>
          </w:p>
        </w:tc>
        <w:tc>
          <w:tcPr>
            <w:tcW w:w="1072" w:type="pct"/>
            <w:vAlign w:val="center"/>
          </w:tcPr>
          <w:p w14:paraId="2BE6222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127°21'05.7456"</w:t>
            </w:r>
          </w:p>
        </w:tc>
        <w:tc>
          <w:tcPr>
            <w:tcW w:w="1003" w:type="pct"/>
            <w:vAlign w:val="center"/>
          </w:tcPr>
          <w:p w14:paraId="3D36F9B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49°31'55.5225"</w:t>
            </w:r>
          </w:p>
        </w:tc>
        <w:tc>
          <w:tcPr>
            <w:tcW w:w="377" w:type="pct"/>
            <w:vAlign w:val="center"/>
          </w:tcPr>
          <w:p w14:paraId="156D0609">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327</w:t>
            </w:r>
          </w:p>
        </w:tc>
        <w:tc>
          <w:tcPr>
            <w:tcW w:w="641" w:type="pct"/>
            <w:vAlign w:val="center"/>
          </w:tcPr>
          <w:p w14:paraId="4FBC4F08">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w:t>
            </w:r>
          </w:p>
        </w:tc>
        <w:tc>
          <w:tcPr>
            <w:tcW w:w="640" w:type="pct"/>
            <w:vAlign w:val="center"/>
          </w:tcPr>
          <w:p w14:paraId="7204337B">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1m×1m</w:t>
            </w:r>
          </w:p>
        </w:tc>
      </w:tr>
      <w:tr w14:paraId="16710B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5E1422C1">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bidi="ar-SA"/>
              </w:rPr>
            </w:pPr>
          </w:p>
        </w:tc>
        <w:tc>
          <w:tcPr>
            <w:tcW w:w="648" w:type="pct"/>
            <w:vAlign w:val="center"/>
          </w:tcPr>
          <w:p w14:paraId="1AE3CAC8">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rPr>
              <w:t>8</w:t>
            </w:r>
            <w:r>
              <w:rPr>
                <w:rFonts w:ascii="Times New Roman" w:hAnsi="Times New Roman" w:cs="Times New Roman"/>
                <w:color w:val="auto"/>
                <w:kern w:val="21"/>
                <w:sz w:val="21"/>
                <w:szCs w:val="21"/>
                <w:highlight w:val="none"/>
                <w:lang w:val="en-US"/>
              </w:rPr>
              <w:t>#</w:t>
            </w:r>
          </w:p>
        </w:tc>
        <w:tc>
          <w:tcPr>
            <w:tcW w:w="1072" w:type="pct"/>
            <w:vAlign w:val="center"/>
          </w:tcPr>
          <w:p w14:paraId="341175D4">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127°20'57.6833"</w:t>
            </w:r>
          </w:p>
        </w:tc>
        <w:tc>
          <w:tcPr>
            <w:tcW w:w="1003" w:type="pct"/>
            <w:vAlign w:val="center"/>
          </w:tcPr>
          <w:p w14:paraId="089424EB">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49°31'41.9747"</w:t>
            </w:r>
          </w:p>
        </w:tc>
        <w:tc>
          <w:tcPr>
            <w:tcW w:w="377" w:type="pct"/>
            <w:vAlign w:val="center"/>
          </w:tcPr>
          <w:p w14:paraId="12D9357D">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344</w:t>
            </w:r>
          </w:p>
        </w:tc>
        <w:tc>
          <w:tcPr>
            <w:tcW w:w="641" w:type="pct"/>
            <w:vAlign w:val="center"/>
          </w:tcPr>
          <w:p w14:paraId="30A2E1EB">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w:t>
            </w:r>
          </w:p>
        </w:tc>
        <w:tc>
          <w:tcPr>
            <w:tcW w:w="640" w:type="pct"/>
            <w:vAlign w:val="center"/>
          </w:tcPr>
          <w:p w14:paraId="53287BD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1m×1m</w:t>
            </w:r>
          </w:p>
        </w:tc>
      </w:tr>
      <w:tr w14:paraId="4D3B9E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6" w:type="pct"/>
            <w:vMerge w:val="continue"/>
            <w:vAlign w:val="center"/>
          </w:tcPr>
          <w:p w14:paraId="688C2B3D">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bidi="ar-SA"/>
              </w:rPr>
            </w:pPr>
          </w:p>
        </w:tc>
        <w:tc>
          <w:tcPr>
            <w:tcW w:w="648" w:type="pct"/>
            <w:vAlign w:val="center"/>
          </w:tcPr>
          <w:p w14:paraId="017CCF35">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rPr>
              <w:t>9</w:t>
            </w:r>
            <w:r>
              <w:rPr>
                <w:rFonts w:ascii="Times New Roman" w:hAnsi="Times New Roman" w:cs="Times New Roman"/>
                <w:color w:val="auto"/>
                <w:kern w:val="21"/>
                <w:sz w:val="21"/>
                <w:szCs w:val="21"/>
                <w:highlight w:val="none"/>
                <w:lang w:val="en-US"/>
              </w:rPr>
              <w:t>#</w:t>
            </w:r>
          </w:p>
        </w:tc>
        <w:tc>
          <w:tcPr>
            <w:tcW w:w="1072" w:type="pct"/>
            <w:vAlign w:val="center"/>
          </w:tcPr>
          <w:p w14:paraId="3C428592">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127°20'29.7022"</w:t>
            </w:r>
          </w:p>
        </w:tc>
        <w:tc>
          <w:tcPr>
            <w:tcW w:w="1003" w:type="pct"/>
            <w:vAlign w:val="center"/>
          </w:tcPr>
          <w:p w14:paraId="6E94A05A">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bidi="ar"/>
              </w:rPr>
              <w:t>49°31'27.0345"</w:t>
            </w:r>
          </w:p>
        </w:tc>
        <w:tc>
          <w:tcPr>
            <w:tcW w:w="377" w:type="pct"/>
            <w:vAlign w:val="center"/>
          </w:tcPr>
          <w:p w14:paraId="5BF69615">
            <w:pPr>
              <w:widowControl/>
              <w:autoSpaceDE/>
              <w:autoSpaceDN/>
              <w:adjustRightInd w:val="0"/>
              <w:snapToGrid w:val="0"/>
              <w:ind w:left="0" w:leftChars="0" w:firstLine="0" w:firstLineChars="0"/>
              <w:jc w:val="center"/>
              <w:textAlignment w:val="center"/>
              <w:rPr>
                <w:rFonts w:hint="default"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347</w:t>
            </w:r>
          </w:p>
        </w:tc>
        <w:tc>
          <w:tcPr>
            <w:tcW w:w="641" w:type="pct"/>
            <w:vAlign w:val="center"/>
          </w:tcPr>
          <w:p w14:paraId="61621A5D">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东</w:t>
            </w:r>
            <w:r>
              <w:rPr>
                <w:rFonts w:hint="eastAsia" w:ascii="Times New Roman" w:hAnsi="Times New Roman" w:cs="Times New Roman"/>
                <w:color w:val="auto"/>
                <w:kern w:val="21"/>
                <w:sz w:val="21"/>
                <w:szCs w:val="21"/>
                <w:highlight w:val="none"/>
                <w:lang w:val="en-US" w:eastAsia="zh-CN" w:bidi="ar"/>
              </w:rPr>
              <w:t>侧</w:t>
            </w:r>
          </w:p>
        </w:tc>
        <w:tc>
          <w:tcPr>
            <w:tcW w:w="640" w:type="pct"/>
            <w:vAlign w:val="center"/>
          </w:tcPr>
          <w:p w14:paraId="7881C82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1m×1m</w:t>
            </w:r>
          </w:p>
        </w:tc>
      </w:tr>
    </w:tbl>
    <w:p w14:paraId="6846DA45">
      <w:pPr>
        <w:autoSpaceDE/>
        <w:autoSpaceDN/>
        <w:spacing w:before="120" w:beforeLines="50"/>
        <w:jc w:val="center"/>
        <w:rPr>
          <w:rFonts w:ascii="Times New Roman" w:hAnsi="Times New Roman" w:cs="Times New Roman"/>
          <w:b/>
          <w:color w:val="auto"/>
          <w:kern w:val="21"/>
          <w:sz w:val="21"/>
          <w:szCs w:val="21"/>
          <w:highlight w:val="none"/>
          <w:lang w:val="en-US"/>
        </w:rPr>
      </w:pPr>
    </w:p>
    <w:p w14:paraId="41F51DBF">
      <w:pPr>
        <w:autoSpaceDE/>
        <w:autoSpaceDN/>
        <w:spacing w:before="120" w:beforeLines="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1#植被样方调查表</w:t>
      </w:r>
    </w:p>
    <w:tbl>
      <w:tblPr>
        <w:tblStyle w:val="4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579"/>
        <w:gridCol w:w="1569"/>
        <w:gridCol w:w="596"/>
        <w:gridCol w:w="593"/>
        <w:gridCol w:w="735"/>
        <w:gridCol w:w="597"/>
        <w:gridCol w:w="635"/>
        <w:gridCol w:w="653"/>
        <w:gridCol w:w="635"/>
        <w:gridCol w:w="565"/>
        <w:gridCol w:w="607"/>
      </w:tblGrid>
      <w:tr w14:paraId="7B7A1A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8" w:type="pct"/>
            <w:gridSpan w:val="3"/>
            <w:vMerge w:val="restart"/>
            <w:vAlign w:val="center"/>
          </w:tcPr>
          <w:p w14:paraId="0A087F9B">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1560830" cy="1170305"/>
                  <wp:effectExtent l="0" t="0" r="1270" b="10795"/>
                  <wp:docPr id="124" name="图片 124" descr="0c76a0710256197438f493333f8622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0c76a0710256197438f493333f8622a7"/>
                          <pic:cNvPicPr>
                            <a:picLocks noChangeAspect="1"/>
                          </pic:cNvPicPr>
                        </pic:nvPicPr>
                        <pic:blipFill>
                          <a:blip r:embed="rId53"/>
                          <a:stretch>
                            <a:fillRect/>
                          </a:stretch>
                        </pic:blipFill>
                        <pic:spPr>
                          <a:xfrm>
                            <a:off x="0" y="0"/>
                            <a:ext cx="1560830" cy="1170305"/>
                          </a:xfrm>
                          <a:prstGeom prst="rect">
                            <a:avLst/>
                          </a:prstGeom>
                        </pic:spPr>
                      </pic:pic>
                    </a:graphicData>
                  </a:graphic>
                </wp:inline>
              </w:drawing>
            </w:r>
          </w:p>
        </w:tc>
        <w:tc>
          <w:tcPr>
            <w:tcW w:w="3391" w:type="pct"/>
            <w:gridSpan w:val="9"/>
            <w:vAlign w:val="center"/>
          </w:tcPr>
          <w:p w14:paraId="1B54FAAA">
            <w:pPr>
              <w:autoSpaceDE/>
              <w:autoSpaceDN/>
              <w:adjustRightInd w:val="0"/>
              <w:snapToGrid w:val="0"/>
              <w:ind w:left="0" w:leftChars="0" w:firstLine="0" w:firstLineChars="0"/>
              <w:rPr>
                <w:rFonts w:hint="default"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名称：蒙古栎</w:t>
            </w:r>
            <w:r>
              <w:rPr>
                <w:rFonts w:hint="eastAsia" w:ascii="Times New Roman" w:hAnsi="Times New Roman" w:cs="Times New Roman"/>
                <w:color w:val="auto"/>
                <w:kern w:val="21"/>
                <w:sz w:val="18"/>
                <w:szCs w:val="18"/>
                <w:highlight w:val="none"/>
                <w:lang w:val="en-US" w:eastAsia="zh-CN"/>
              </w:rPr>
              <w:t>、山杨</w:t>
            </w:r>
          </w:p>
        </w:tc>
      </w:tr>
      <w:tr w14:paraId="0A3690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8" w:type="pct"/>
            <w:gridSpan w:val="3"/>
            <w:vMerge w:val="continue"/>
            <w:vAlign w:val="center"/>
          </w:tcPr>
          <w:p w14:paraId="5495548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91" w:type="pct"/>
            <w:gridSpan w:val="9"/>
            <w:vAlign w:val="center"/>
          </w:tcPr>
          <w:p w14:paraId="2CA8F8C9">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东侧</w:t>
            </w:r>
          </w:p>
        </w:tc>
      </w:tr>
      <w:tr w14:paraId="3ACEEB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8" w:type="pct"/>
            <w:gridSpan w:val="3"/>
            <w:vMerge w:val="continue"/>
            <w:vAlign w:val="center"/>
          </w:tcPr>
          <w:p w14:paraId="51DA5CD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91" w:type="pct"/>
            <w:gridSpan w:val="9"/>
            <w:vAlign w:val="center"/>
          </w:tcPr>
          <w:p w14:paraId="0181EFF2">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 xml:space="preserve">E </w:t>
            </w:r>
            <w:r>
              <w:rPr>
                <w:rFonts w:hint="eastAsia" w:ascii="Times New Roman" w:hAnsi="Times New Roman" w:eastAsia="宋体" w:cs="Times New Roman"/>
                <w:color w:val="auto"/>
                <w:kern w:val="21"/>
                <w:sz w:val="21"/>
                <w:szCs w:val="21"/>
                <w:highlight w:val="none"/>
                <w:lang w:val="en-US" w:eastAsia="zh-CN" w:bidi="ar-SA"/>
              </w:rPr>
              <w:t>127°21'21.3931"</w:t>
            </w: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21"/>
                <w:szCs w:val="21"/>
                <w:highlight w:val="none"/>
                <w:lang w:val="en-US" w:bidi="ar"/>
              </w:rPr>
              <w:t>49°31'29.4858"</w:t>
            </w:r>
          </w:p>
        </w:tc>
      </w:tr>
      <w:tr w14:paraId="16FCAC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608" w:type="pct"/>
            <w:gridSpan w:val="3"/>
            <w:vMerge w:val="continue"/>
            <w:vAlign w:val="center"/>
          </w:tcPr>
          <w:p w14:paraId="26DF6DA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91" w:type="pct"/>
            <w:gridSpan w:val="9"/>
            <w:vAlign w:val="center"/>
          </w:tcPr>
          <w:p w14:paraId="3302A523">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hint="eastAsia" w:ascii="Times New Roman" w:hAnsi="Times New Roman" w:cs="Times New Roman"/>
                <w:color w:val="auto"/>
                <w:kern w:val="21"/>
                <w:sz w:val="18"/>
                <w:szCs w:val="18"/>
                <w:highlight w:val="none"/>
                <w:lang w:val="en-US" w:eastAsia="zh-CN"/>
              </w:rPr>
              <w:t>321</w:t>
            </w:r>
            <w:r>
              <w:rPr>
                <w:rFonts w:ascii="Times New Roman" w:hAnsi="Times New Roman" w:cs="Times New Roman"/>
                <w:color w:val="auto"/>
                <w:kern w:val="21"/>
                <w:sz w:val="18"/>
                <w:szCs w:val="18"/>
                <w:highlight w:val="none"/>
                <w:lang w:val="en-US"/>
              </w:rPr>
              <w:t xml:space="preserve"> m</w:t>
            </w:r>
          </w:p>
        </w:tc>
      </w:tr>
      <w:tr w14:paraId="37DEC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restart"/>
            <w:vAlign w:val="center"/>
          </w:tcPr>
          <w:p w14:paraId="5EA73F8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348" w:type="pct"/>
            <w:vMerge w:val="restart"/>
            <w:vAlign w:val="center"/>
          </w:tcPr>
          <w:p w14:paraId="65B2883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942" w:type="pct"/>
            <w:vMerge w:val="restart"/>
            <w:vAlign w:val="center"/>
          </w:tcPr>
          <w:p w14:paraId="7124D9D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1164" w:type="pct"/>
            <w:gridSpan w:val="3"/>
            <w:vAlign w:val="center"/>
          </w:tcPr>
          <w:p w14:paraId="3B19504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140" w:type="pct"/>
            <w:gridSpan w:val="3"/>
            <w:vAlign w:val="center"/>
          </w:tcPr>
          <w:p w14:paraId="425E01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85" w:type="pct"/>
            <w:gridSpan w:val="3"/>
            <w:vAlign w:val="center"/>
          </w:tcPr>
          <w:p w14:paraId="4ABC9DB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04842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continue"/>
            <w:vAlign w:val="center"/>
          </w:tcPr>
          <w:p w14:paraId="4C16925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8" w:type="pct"/>
            <w:vMerge w:val="continue"/>
            <w:vAlign w:val="center"/>
          </w:tcPr>
          <w:p w14:paraId="250768D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942" w:type="pct"/>
            <w:vMerge w:val="continue"/>
            <w:vAlign w:val="center"/>
          </w:tcPr>
          <w:p w14:paraId="0FBA96E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1" w:type="pct"/>
            <w:vAlign w:val="center"/>
          </w:tcPr>
          <w:p w14:paraId="756D8BA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59" w:type="pct"/>
            <w:vAlign w:val="center"/>
          </w:tcPr>
          <w:p w14:paraId="186E9C5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443" w:type="pct"/>
            <w:vAlign w:val="center"/>
          </w:tcPr>
          <w:p w14:paraId="34787CE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61" w:type="pct"/>
            <w:vAlign w:val="center"/>
          </w:tcPr>
          <w:p w14:paraId="0152546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84" w:type="pct"/>
            <w:vAlign w:val="center"/>
          </w:tcPr>
          <w:p w14:paraId="53DB72F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95" w:type="pct"/>
            <w:vAlign w:val="center"/>
          </w:tcPr>
          <w:p w14:paraId="257254E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84" w:type="pct"/>
            <w:vAlign w:val="center"/>
          </w:tcPr>
          <w:p w14:paraId="34CB0FD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42" w:type="pct"/>
            <w:vAlign w:val="center"/>
          </w:tcPr>
          <w:p w14:paraId="3B62A4B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58" w:type="pct"/>
            <w:vAlign w:val="center"/>
          </w:tcPr>
          <w:p w14:paraId="722EC31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6FDAAC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restart"/>
            <w:vAlign w:val="center"/>
          </w:tcPr>
          <w:p w14:paraId="5801AB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348" w:type="pct"/>
            <w:vAlign w:val="center"/>
          </w:tcPr>
          <w:p w14:paraId="10A58186">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山杨</w:t>
            </w:r>
          </w:p>
        </w:tc>
        <w:tc>
          <w:tcPr>
            <w:tcW w:w="942" w:type="pct"/>
            <w:vAlign w:val="center"/>
          </w:tcPr>
          <w:p w14:paraId="23A62B1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i/>
                <w:iCs/>
                <w:color w:val="auto"/>
                <w:kern w:val="21"/>
                <w:sz w:val="18"/>
                <w:szCs w:val="18"/>
                <w:highlight w:val="none"/>
                <w:lang w:val="en-US"/>
              </w:rPr>
              <w:t>Populus davidiana Dode</w:t>
            </w:r>
            <w:r>
              <w:rPr>
                <w:rFonts w:ascii="Times New Roman" w:hAnsi="Times New Roman" w:cs="Times New Roman"/>
                <w:i/>
                <w:iCs/>
                <w:color w:val="auto"/>
                <w:kern w:val="21"/>
                <w:sz w:val="18"/>
                <w:szCs w:val="18"/>
                <w:highlight w:val="none"/>
                <w:lang w:val="en-US"/>
              </w:rPr>
              <w:t>.</w:t>
            </w:r>
          </w:p>
        </w:tc>
        <w:tc>
          <w:tcPr>
            <w:tcW w:w="361" w:type="pct"/>
            <w:vAlign w:val="center"/>
          </w:tcPr>
          <w:p w14:paraId="443BCC64">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5</w:t>
            </w:r>
          </w:p>
        </w:tc>
        <w:tc>
          <w:tcPr>
            <w:tcW w:w="359" w:type="pct"/>
            <w:vAlign w:val="center"/>
          </w:tcPr>
          <w:p w14:paraId="7715575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15.2</w:t>
            </w:r>
          </w:p>
        </w:tc>
        <w:tc>
          <w:tcPr>
            <w:tcW w:w="443" w:type="pct"/>
            <w:vAlign w:val="center"/>
          </w:tcPr>
          <w:p w14:paraId="0DF632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10.1</w:t>
            </w:r>
          </w:p>
        </w:tc>
        <w:tc>
          <w:tcPr>
            <w:tcW w:w="361" w:type="pct"/>
            <w:vAlign w:val="center"/>
          </w:tcPr>
          <w:p w14:paraId="11EACFB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77DE54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5" w:type="pct"/>
            <w:vAlign w:val="center"/>
          </w:tcPr>
          <w:p w14:paraId="7433ECB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3228CB2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61B5781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8" w:type="pct"/>
            <w:vAlign w:val="center"/>
          </w:tcPr>
          <w:p w14:paraId="2E86801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62E09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continue"/>
            <w:vAlign w:val="center"/>
          </w:tcPr>
          <w:p w14:paraId="28852AB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8" w:type="pct"/>
            <w:vAlign w:val="center"/>
          </w:tcPr>
          <w:p w14:paraId="5D9279B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蒙古栎</w:t>
            </w:r>
          </w:p>
        </w:tc>
        <w:tc>
          <w:tcPr>
            <w:tcW w:w="942" w:type="pct"/>
            <w:vAlign w:val="center"/>
          </w:tcPr>
          <w:p w14:paraId="529E9C8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Quercus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mongolica</w:t>
            </w:r>
            <w:r>
              <w:rPr>
                <w:rFonts w:ascii="Times New Roman" w:hAnsi="Times New Roman" w:cs="Times New Roman"/>
                <w:color w:val="auto"/>
                <w:kern w:val="21"/>
                <w:sz w:val="18"/>
                <w:szCs w:val="18"/>
                <w:highlight w:val="none"/>
                <w:lang w:val="en-US"/>
              </w:rPr>
              <w:t xml:space="preserve"> Fisch. ex Ledeb.</w:t>
            </w:r>
          </w:p>
        </w:tc>
        <w:tc>
          <w:tcPr>
            <w:tcW w:w="361" w:type="pct"/>
            <w:vAlign w:val="center"/>
          </w:tcPr>
          <w:p w14:paraId="3FED6033">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9</w:t>
            </w:r>
          </w:p>
        </w:tc>
        <w:tc>
          <w:tcPr>
            <w:tcW w:w="359" w:type="pct"/>
            <w:vAlign w:val="center"/>
          </w:tcPr>
          <w:p w14:paraId="7038DF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eastAsia="zh-CN"/>
              </w:rPr>
              <w:t>19</w:t>
            </w:r>
            <w:r>
              <w:rPr>
                <w:rFonts w:ascii="Times New Roman" w:hAnsi="Times New Roman" w:cs="Times New Roman"/>
                <w:color w:val="auto"/>
                <w:kern w:val="21"/>
                <w:sz w:val="18"/>
                <w:szCs w:val="18"/>
                <w:highlight w:val="none"/>
                <w:lang w:val="en-US"/>
              </w:rPr>
              <w:t>.4</w:t>
            </w:r>
          </w:p>
        </w:tc>
        <w:tc>
          <w:tcPr>
            <w:tcW w:w="443" w:type="pct"/>
            <w:vAlign w:val="center"/>
          </w:tcPr>
          <w:p w14:paraId="3543CD78">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42</w:t>
            </w:r>
          </w:p>
        </w:tc>
        <w:tc>
          <w:tcPr>
            <w:tcW w:w="361" w:type="pct"/>
            <w:vAlign w:val="center"/>
          </w:tcPr>
          <w:p w14:paraId="00DB4EC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2DA25C6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5" w:type="pct"/>
            <w:vAlign w:val="center"/>
          </w:tcPr>
          <w:p w14:paraId="0877B8E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727A587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4E8F8E2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8" w:type="pct"/>
            <w:vAlign w:val="center"/>
          </w:tcPr>
          <w:p w14:paraId="72A1A85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0B378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2" w:type="dxa"/>
            <w:vAlign w:val="center"/>
          </w:tcPr>
          <w:p w14:paraId="4834CDD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594" w:type="dxa"/>
            <w:vAlign w:val="center"/>
          </w:tcPr>
          <w:p w14:paraId="6BAF0A7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蒿柳</w:t>
            </w:r>
          </w:p>
        </w:tc>
        <w:tc>
          <w:tcPr>
            <w:tcW w:w="1608" w:type="dxa"/>
            <w:vAlign w:val="center"/>
          </w:tcPr>
          <w:p w14:paraId="671096C3">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Salix</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schwerinii</w:t>
            </w:r>
            <w:r>
              <w:rPr>
                <w:rFonts w:ascii="Times New Roman" w:hAnsi="Times New Roman" w:cs="Times New Roman"/>
                <w:color w:val="auto"/>
                <w:kern w:val="21"/>
                <w:sz w:val="18"/>
                <w:szCs w:val="18"/>
                <w:highlight w:val="none"/>
                <w:lang w:val="en-US"/>
              </w:rPr>
              <w:t xml:space="preserve"> E. L. Wolf</w:t>
            </w:r>
          </w:p>
        </w:tc>
        <w:tc>
          <w:tcPr>
            <w:tcW w:w="616" w:type="dxa"/>
            <w:vAlign w:val="center"/>
          </w:tcPr>
          <w:p w14:paraId="2401F381">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614" w:type="dxa"/>
            <w:vAlign w:val="center"/>
          </w:tcPr>
          <w:p w14:paraId="753A8B45">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756" w:type="dxa"/>
            <w:vAlign w:val="center"/>
          </w:tcPr>
          <w:p w14:paraId="4C7418B6">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616" w:type="dxa"/>
            <w:vAlign w:val="center"/>
          </w:tcPr>
          <w:p w14:paraId="0C3BE05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2</w:t>
            </w:r>
          </w:p>
        </w:tc>
        <w:tc>
          <w:tcPr>
            <w:tcW w:w="655" w:type="dxa"/>
            <w:vAlign w:val="center"/>
          </w:tcPr>
          <w:p w14:paraId="10770573">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10</w:t>
            </w:r>
          </w:p>
        </w:tc>
        <w:tc>
          <w:tcPr>
            <w:tcW w:w="675" w:type="dxa"/>
            <w:vAlign w:val="center"/>
          </w:tcPr>
          <w:p w14:paraId="65E5353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655" w:type="dxa"/>
            <w:vAlign w:val="center"/>
          </w:tcPr>
          <w:p w14:paraId="0264C7D7">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85" w:type="dxa"/>
            <w:vAlign w:val="center"/>
          </w:tcPr>
          <w:p w14:paraId="7DCBFDB4">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12" w:type="dxa"/>
            <w:vAlign w:val="center"/>
          </w:tcPr>
          <w:p w14:paraId="37448C72">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3FC1B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restart"/>
            <w:vAlign w:val="center"/>
          </w:tcPr>
          <w:p w14:paraId="18460E5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348" w:type="pct"/>
            <w:vAlign w:val="center"/>
          </w:tcPr>
          <w:p w14:paraId="588FC8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贝加尔针茅</w:t>
            </w:r>
          </w:p>
        </w:tc>
        <w:tc>
          <w:tcPr>
            <w:tcW w:w="942" w:type="pct"/>
            <w:vAlign w:val="center"/>
          </w:tcPr>
          <w:p w14:paraId="4D1CB5DA">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Stip a baicalen</w:t>
            </w:r>
            <w:r>
              <w:rPr>
                <w:rFonts w:ascii="Times New Roman" w:hAnsi="Times New Roman" w:cs="Times New Roman"/>
                <w:color w:val="auto"/>
                <w:kern w:val="21"/>
                <w:sz w:val="18"/>
                <w:szCs w:val="18"/>
                <w:highlight w:val="none"/>
                <w:lang w:val="en-US"/>
              </w:rPr>
              <w:t>-</w:t>
            </w:r>
            <w:r>
              <w:rPr>
                <w:rFonts w:ascii="Times New Roman" w:hAnsi="Times New Roman" w:cs="Times New Roman"/>
                <w:i/>
                <w:iCs/>
                <w:color w:val="auto"/>
                <w:kern w:val="21"/>
                <w:sz w:val="18"/>
                <w:szCs w:val="18"/>
                <w:highlight w:val="none"/>
                <w:lang w:val="en-US"/>
              </w:rPr>
              <w:t>sis</w:t>
            </w:r>
            <w:r>
              <w:rPr>
                <w:rFonts w:ascii="Times New Roman" w:hAnsi="Times New Roman" w:cs="Times New Roman"/>
                <w:color w:val="auto"/>
                <w:kern w:val="21"/>
                <w:sz w:val="18"/>
                <w:szCs w:val="18"/>
                <w:highlight w:val="none"/>
                <w:lang w:val="en-US"/>
              </w:rPr>
              <w:t xml:space="preserve"> Roshev.</w:t>
            </w:r>
          </w:p>
        </w:tc>
        <w:tc>
          <w:tcPr>
            <w:tcW w:w="361" w:type="pct"/>
            <w:vAlign w:val="center"/>
          </w:tcPr>
          <w:p w14:paraId="00BCD22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9" w:type="pct"/>
            <w:vAlign w:val="center"/>
          </w:tcPr>
          <w:p w14:paraId="350BB4E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443" w:type="pct"/>
            <w:vAlign w:val="center"/>
          </w:tcPr>
          <w:p w14:paraId="6960E09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1" w:type="pct"/>
            <w:vAlign w:val="center"/>
          </w:tcPr>
          <w:p w14:paraId="31DAB2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6F570E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5" w:type="pct"/>
            <w:vAlign w:val="center"/>
          </w:tcPr>
          <w:p w14:paraId="00B3F36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76051B2B">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8</w:t>
            </w:r>
          </w:p>
        </w:tc>
        <w:tc>
          <w:tcPr>
            <w:tcW w:w="342" w:type="pct"/>
            <w:vAlign w:val="center"/>
          </w:tcPr>
          <w:p w14:paraId="697A7E5F">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11</w:t>
            </w:r>
          </w:p>
        </w:tc>
        <w:tc>
          <w:tcPr>
            <w:tcW w:w="358" w:type="pct"/>
            <w:vAlign w:val="center"/>
          </w:tcPr>
          <w:p w14:paraId="54DA8C3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Cop1</w:t>
            </w:r>
          </w:p>
        </w:tc>
      </w:tr>
      <w:tr w14:paraId="6E9E0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continue"/>
            <w:vAlign w:val="center"/>
          </w:tcPr>
          <w:p w14:paraId="6D325EE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8" w:type="pct"/>
            <w:vAlign w:val="center"/>
          </w:tcPr>
          <w:p w14:paraId="30AC22D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942" w:type="pct"/>
            <w:vAlign w:val="center"/>
          </w:tcPr>
          <w:p w14:paraId="50A000DD">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61" w:type="pct"/>
            <w:vAlign w:val="center"/>
          </w:tcPr>
          <w:p w14:paraId="5628794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9" w:type="pct"/>
            <w:vAlign w:val="center"/>
          </w:tcPr>
          <w:p w14:paraId="04352C4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443" w:type="pct"/>
            <w:vAlign w:val="center"/>
          </w:tcPr>
          <w:p w14:paraId="3BB1BAE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1" w:type="pct"/>
            <w:vAlign w:val="center"/>
          </w:tcPr>
          <w:p w14:paraId="33E547F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57F0152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5" w:type="pct"/>
            <w:vAlign w:val="center"/>
          </w:tcPr>
          <w:p w14:paraId="5D67BB1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5852C0E0">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6</w:t>
            </w:r>
          </w:p>
        </w:tc>
        <w:tc>
          <w:tcPr>
            <w:tcW w:w="342" w:type="pct"/>
            <w:vAlign w:val="center"/>
          </w:tcPr>
          <w:p w14:paraId="4B986783">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8</w:t>
            </w:r>
          </w:p>
        </w:tc>
        <w:tc>
          <w:tcPr>
            <w:tcW w:w="358" w:type="pct"/>
            <w:vAlign w:val="center"/>
          </w:tcPr>
          <w:p w14:paraId="39EE112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3112A8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17" w:type="pct"/>
            <w:vMerge w:val="continue"/>
            <w:vAlign w:val="center"/>
          </w:tcPr>
          <w:p w14:paraId="1CBD766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8" w:type="pct"/>
            <w:vAlign w:val="center"/>
          </w:tcPr>
          <w:p w14:paraId="3B6C94D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裂叶蒿</w:t>
            </w:r>
          </w:p>
        </w:tc>
        <w:tc>
          <w:tcPr>
            <w:tcW w:w="942" w:type="pct"/>
            <w:vAlign w:val="center"/>
          </w:tcPr>
          <w:p w14:paraId="699D592A">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rPr>
              <w:t>Artemisia tanacetifolia</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color w:val="auto"/>
                <w:kern w:val="21"/>
                <w:sz w:val="18"/>
                <w:szCs w:val="18"/>
                <w:highlight w:val="none"/>
              </w:rPr>
              <w:t>L.</w:t>
            </w:r>
          </w:p>
        </w:tc>
        <w:tc>
          <w:tcPr>
            <w:tcW w:w="361" w:type="pct"/>
            <w:vAlign w:val="center"/>
          </w:tcPr>
          <w:p w14:paraId="1BCE1B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9" w:type="pct"/>
            <w:vAlign w:val="center"/>
          </w:tcPr>
          <w:p w14:paraId="463B77A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443" w:type="pct"/>
            <w:vAlign w:val="center"/>
          </w:tcPr>
          <w:p w14:paraId="6F8B2B7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1" w:type="pct"/>
            <w:vAlign w:val="center"/>
          </w:tcPr>
          <w:p w14:paraId="3C14E6A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4CC91BA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5" w:type="pct"/>
            <w:vAlign w:val="center"/>
          </w:tcPr>
          <w:p w14:paraId="286B34C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4" w:type="pct"/>
            <w:vAlign w:val="center"/>
          </w:tcPr>
          <w:p w14:paraId="472D068A">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7</w:t>
            </w:r>
          </w:p>
        </w:tc>
        <w:tc>
          <w:tcPr>
            <w:tcW w:w="342" w:type="pct"/>
            <w:vAlign w:val="center"/>
          </w:tcPr>
          <w:p w14:paraId="2EB865E5">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10</w:t>
            </w:r>
          </w:p>
        </w:tc>
        <w:tc>
          <w:tcPr>
            <w:tcW w:w="358" w:type="pct"/>
            <w:vAlign w:val="center"/>
          </w:tcPr>
          <w:p w14:paraId="22C1F04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2435E190">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2#植被样方调查表</w:t>
      </w:r>
    </w:p>
    <w:tbl>
      <w:tblPr>
        <w:tblStyle w:val="47"/>
        <w:tblW w:w="526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4"/>
        <w:gridCol w:w="1511"/>
        <w:gridCol w:w="573"/>
        <w:gridCol w:w="573"/>
        <w:gridCol w:w="580"/>
        <w:gridCol w:w="570"/>
        <w:gridCol w:w="573"/>
        <w:gridCol w:w="625"/>
        <w:gridCol w:w="613"/>
        <w:gridCol w:w="573"/>
        <w:gridCol w:w="686"/>
      </w:tblGrid>
      <w:tr w14:paraId="7901D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restart"/>
            <w:vAlign w:val="center"/>
          </w:tcPr>
          <w:p w14:paraId="6839CD81">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2028825" cy="1521460"/>
                  <wp:effectExtent l="0" t="0" r="9525" b="2540"/>
                  <wp:docPr id="126" name="图片 126" descr="b1b9b1a92516904a398ea6160fe89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b1b9b1a92516904a398ea6160fe8925a"/>
                          <pic:cNvPicPr>
                            <a:picLocks noChangeAspect="1"/>
                          </pic:cNvPicPr>
                        </pic:nvPicPr>
                        <pic:blipFill>
                          <a:blip r:embed="rId54"/>
                          <a:stretch>
                            <a:fillRect/>
                          </a:stretch>
                        </pic:blipFill>
                        <pic:spPr>
                          <a:xfrm>
                            <a:off x="0" y="0"/>
                            <a:ext cx="2028825" cy="1521460"/>
                          </a:xfrm>
                          <a:prstGeom prst="rect">
                            <a:avLst/>
                          </a:prstGeom>
                        </pic:spPr>
                      </pic:pic>
                    </a:graphicData>
                  </a:graphic>
                </wp:inline>
              </w:drawing>
            </w:r>
          </w:p>
        </w:tc>
        <w:tc>
          <w:tcPr>
            <w:tcW w:w="3070" w:type="pct"/>
            <w:gridSpan w:val="9"/>
            <w:vAlign w:val="center"/>
          </w:tcPr>
          <w:p w14:paraId="2AC70AD3">
            <w:pPr>
              <w:autoSpaceDE/>
              <w:autoSpaceDN/>
              <w:adjustRightInd w:val="0"/>
              <w:snapToGrid w:val="0"/>
              <w:ind w:left="0" w:leftChars="0" w:firstLine="0" w:firstLineChars="0"/>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名称：蒙古栎</w:t>
            </w:r>
          </w:p>
        </w:tc>
      </w:tr>
      <w:tr w14:paraId="75B00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64860DA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1A5FF3FA">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rPr>
              <w:t>场区东</w:t>
            </w:r>
            <w:r>
              <w:rPr>
                <w:rFonts w:ascii="Times New Roman" w:hAnsi="Times New Roman" w:cs="Times New Roman"/>
                <w:color w:val="auto"/>
                <w:kern w:val="21"/>
                <w:sz w:val="18"/>
                <w:szCs w:val="18"/>
                <w:highlight w:val="none"/>
                <w:lang w:val="en-US"/>
              </w:rPr>
              <w:t>侧</w:t>
            </w:r>
          </w:p>
        </w:tc>
      </w:tr>
      <w:tr w14:paraId="143021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123BE83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735B8D2D">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hint="eastAsia" w:ascii="Times New Roman" w:hAnsi="Times New Roman" w:cs="Times New Roman"/>
                <w:color w:val="auto"/>
                <w:kern w:val="21"/>
                <w:sz w:val="18"/>
                <w:szCs w:val="18"/>
                <w:highlight w:val="none"/>
                <w:lang w:val="en-US" w:eastAsia="zh-CN"/>
              </w:rPr>
              <w:t>E</w:t>
            </w:r>
            <w:r>
              <w:rPr>
                <w:rFonts w:hint="eastAsia" w:cs="Times New Roman"/>
                <w:color w:val="auto"/>
                <w:kern w:val="21"/>
                <w:sz w:val="18"/>
                <w:szCs w:val="18"/>
                <w:highlight w:val="none"/>
                <w:lang w:val="en-US" w:eastAsia="zh-CN"/>
              </w:rPr>
              <w:t xml:space="preserve"> </w:t>
            </w:r>
            <w:r>
              <w:rPr>
                <w:rFonts w:hint="eastAsia" w:ascii="Times New Roman" w:hAnsi="Times New Roman" w:cs="Times New Roman"/>
                <w:color w:val="auto"/>
                <w:kern w:val="21"/>
                <w:sz w:val="21"/>
                <w:szCs w:val="21"/>
                <w:highlight w:val="none"/>
                <w:lang w:val="en-US" w:bidi="ar"/>
              </w:rPr>
              <w:t>127°21'26.0456"</w:t>
            </w: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21"/>
                <w:szCs w:val="21"/>
                <w:highlight w:val="none"/>
                <w:lang w:val="en-US" w:bidi="ar"/>
              </w:rPr>
              <w:t>49°31'45.6345"</w:t>
            </w:r>
          </w:p>
        </w:tc>
      </w:tr>
      <w:tr w14:paraId="6EC6CB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3277711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4AEA0DE4">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hint="eastAsia" w:ascii="Times New Roman" w:hAnsi="Times New Roman" w:cs="Times New Roman"/>
                <w:color w:val="auto"/>
                <w:kern w:val="21"/>
                <w:sz w:val="18"/>
                <w:szCs w:val="18"/>
                <w:highlight w:val="none"/>
                <w:lang w:val="en-US" w:eastAsia="zh-CN"/>
              </w:rPr>
              <w:t>309</w:t>
            </w:r>
            <w:r>
              <w:rPr>
                <w:rFonts w:ascii="Times New Roman" w:hAnsi="Times New Roman" w:cs="Times New Roman"/>
                <w:color w:val="auto"/>
                <w:kern w:val="21"/>
                <w:sz w:val="18"/>
                <w:szCs w:val="18"/>
                <w:highlight w:val="none"/>
                <w:lang w:val="en-US"/>
              </w:rPr>
              <w:t>m</w:t>
            </w:r>
          </w:p>
        </w:tc>
      </w:tr>
      <w:tr w14:paraId="7D683A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14BE7E5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7" w:type="pct"/>
            <w:vMerge w:val="restart"/>
            <w:vAlign w:val="center"/>
          </w:tcPr>
          <w:p w14:paraId="20C6540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4" w:type="pct"/>
            <w:vMerge w:val="restart"/>
            <w:vAlign w:val="center"/>
          </w:tcPr>
          <w:p w14:paraId="7F4012E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1BA88E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6E0AA33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71" w:type="pct"/>
            <w:gridSpan w:val="3"/>
            <w:vAlign w:val="center"/>
          </w:tcPr>
          <w:p w14:paraId="7396CB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406E0F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37FA557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Merge w:val="continue"/>
            <w:vAlign w:val="center"/>
          </w:tcPr>
          <w:p w14:paraId="0989E66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4" w:type="pct"/>
            <w:vMerge w:val="continue"/>
            <w:vAlign w:val="center"/>
          </w:tcPr>
          <w:p w14:paraId="3BA2F1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268EA6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79E0485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59C7149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5" w:type="pct"/>
            <w:vAlign w:val="center"/>
          </w:tcPr>
          <w:p w14:paraId="14AD16D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587D7EF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287752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51" w:type="pct"/>
            <w:vAlign w:val="center"/>
          </w:tcPr>
          <w:p w14:paraId="38C100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27" w:type="pct"/>
            <w:vAlign w:val="center"/>
          </w:tcPr>
          <w:p w14:paraId="60BA74B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92" w:type="pct"/>
            <w:vAlign w:val="center"/>
          </w:tcPr>
          <w:p w14:paraId="5047DAB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04EFB5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0D6841C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1217" w:type="dxa"/>
            <w:vAlign w:val="center"/>
          </w:tcPr>
          <w:p w14:paraId="50CE15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eastAsia="zh-CN"/>
              </w:rPr>
              <w:t>山杨</w:t>
            </w:r>
          </w:p>
        </w:tc>
        <w:tc>
          <w:tcPr>
            <w:tcW w:w="1554" w:type="dxa"/>
            <w:vAlign w:val="center"/>
          </w:tcPr>
          <w:p w14:paraId="6D6E9D3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i/>
                <w:iCs/>
                <w:color w:val="auto"/>
                <w:kern w:val="21"/>
                <w:sz w:val="18"/>
                <w:szCs w:val="18"/>
                <w:highlight w:val="none"/>
                <w:lang w:val="en-US"/>
              </w:rPr>
              <w:t>Populus davidiana Dode</w:t>
            </w:r>
            <w:r>
              <w:rPr>
                <w:rFonts w:ascii="Times New Roman" w:hAnsi="Times New Roman" w:cs="Times New Roman"/>
                <w:i/>
                <w:iCs/>
                <w:color w:val="auto"/>
                <w:kern w:val="21"/>
                <w:sz w:val="18"/>
                <w:szCs w:val="18"/>
                <w:highlight w:val="none"/>
                <w:lang w:val="en-US"/>
              </w:rPr>
              <w:t>.</w:t>
            </w:r>
          </w:p>
        </w:tc>
        <w:tc>
          <w:tcPr>
            <w:tcW w:w="327" w:type="pct"/>
            <w:vAlign w:val="center"/>
          </w:tcPr>
          <w:p w14:paraId="0C658E80">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4</w:t>
            </w:r>
          </w:p>
        </w:tc>
        <w:tc>
          <w:tcPr>
            <w:tcW w:w="327" w:type="pct"/>
            <w:vAlign w:val="center"/>
          </w:tcPr>
          <w:p w14:paraId="589A5735">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13</w:t>
            </w:r>
          </w:p>
        </w:tc>
        <w:tc>
          <w:tcPr>
            <w:tcW w:w="332" w:type="pct"/>
            <w:vAlign w:val="center"/>
          </w:tcPr>
          <w:p w14:paraId="0927DBF0">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13.6</w:t>
            </w:r>
          </w:p>
        </w:tc>
        <w:tc>
          <w:tcPr>
            <w:tcW w:w="325" w:type="pct"/>
            <w:vAlign w:val="center"/>
          </w:tcPr>
          <w:p w14:paraId="3647DBD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B354B3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5472C41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1" w:type="pct"/>
            <w:vAlign w:val="center"/>
          </w:tcPr>
          <w:p w14:paraId="1F4DF8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AC0541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2" w:type="pct"/>
            <w:vAlign w:val="center"/>
          </w:tcPr>
          <w:p w14:paraId="6BFE702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4D13CB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595D59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30B51A1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蒙古栎</w:t>
            </w:r>
          </w:p>
        </w:tc>
        <w:tc>
          <w:tcPr>
            <w:tcW w:w="864" w:type="pct"/>
            <w:vAlign w:val="center"/>
          </w:tcPr>
          <w:p w14:paraId="4CADAF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Quercus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mongolica</w:t>
            </w:r>
            <w:r>
              <w:rPr>
                <w:rFonts w:ascii="Times New Roman" w:hAnsi="Times New Roman" w:cs="Times New Roman"/>
                <w:color w:val="auto"/>
                <w:kern w:val="21"/>
                <w:sz w:val="18"/>
                <w:szCs w:val="18"/>
                <w:highlight w:val="none"/>
                <w:lang w:val="en-US"/>
              </w:rPr>
              <w:t xml:space="preserve"> Fisch. ex Ledeb.</w:t>
            </w:r>
          </w:p>
        </w:tc>
        <w:tc>
          <w:tcPr>
            <w:tcW w:w="327" w:type="pct"/>
            <w:vAlign w:val="center"/>
          </w:tcPr>
          <w:p w14:paraId="520E9139">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15</w:t>
            </w:r>
          </w:p>
        </w:tc>
        <w:tc>
          <w:tcPr>
            <w:tcW w:w="327" w:type="pct"/>
            <w:vAlign w:val="center"/>
          </w:tcPr>
          <w:p w14:paraId="37302A7B">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14</w:t>
            </w:r>
          </w:p>
        </w:tc>
        <w:tc>
          <w:tcPr>
            <w:tcW w:w="332" w:type="pct"/>
            <w:vAlign w:val="center"/>
          </w:tcPr>
          <w:p w14:paraId="5DE9C0A3">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35</w:t>
            </w:r>
          </w:p>
        </w:tc>
        <w:tc>
          <w:tcPr>
            <w:tcW w:w="325" w:type="pct"/>
            <w:vAlign w:val="center"/>
          </w:tcPr>
          <w:p w14:paraId="1345B1D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80A399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3DFF16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1" w:type="pct"/>
            <w:vAlign w:val="center"/>
          </w:tcPr>
          <w:p w14:paraId="4C57BFD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7B7B5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2" w:type="pct"/>
            <w:vAlign w:val="center"/>
          </w:tcPr>
          <w:p w14:paraId="660736F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3D0D93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9" w:type="dxa"/>
            <w:vAlign w:val="center"/>
          </w:tcPr>
          <w:p w14:paraId="3E8417A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1184" w:type="dxa"/>
            <w:vAlign w:val="center"/>
          </w:tcPr>
          <w:p w14:paraId="173A68E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蒿柳</w:t>
            </w:r>
          </w:p>
        </w:tc>
        <w:tc>
          <w:tcPr>
            <w:tcW w:w="1511" w:type="dxa"/>
            <w:vAlign w:val="center"/>
          </w:tcPr>
          <w:p w14:paraId="4BEB3E24">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Salix</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schwerinii</w:t>
            </w:r>
            <w:r>
              <w:rPr>
                <w:rFonts w:ascii="Times New Roman" w:hAnsi="Times New Roman" w:cs="Times New Roman"/>
                <w:color w:val="auto"/>
                <w:kern w:val="21"/>
                <w:sz w:val="18"/>
                <w:szCs w:val="18"/>
                <w:highlight w:val="none"/>
                <w:lang w:val="en-US"/>
              </w:rPr>
              <w:t xml:space="preserve"> E. L. Wolf</w:t>
            </w:r>
          </w:p>
        </w:tc>
        <w:tc>
          <w:tcPr>
            <w:tcW w:w="573" w:type="dxa"/>
            <w:vAlign w:val="center"/>
          </w:tcPr>
          <w:p w14:paraId="1A0F19FF">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573" w:type="dxa"/>
            <w:vAlign w:val="center"/>
          </w:tcPr>
          <w:p w14:paraId="4E7FDEB5">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580" w:type="dxa"/>
            <w:vAlign w:val="center"/>
          </w:tcPr>
          <w:p w14:paraId="48BAD5BE">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570" w:type="dxa"/>
            <w:vAlign w:val="center"/>
          </w:tcPr>
          <w:p w14:paraId="090D412D">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14</w:t>
            </w:r>
          </w:p>
        </w:tc>
        <w:tc>
          <w:tcPr>
            <w:tcW w:w="573" w:type="dxa"/>
            <w:vAlign w:val="center"/>
          </w:tcPr>
          <w:p w14:paraId="08BB31B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12</w:t>
            </w:r>
          </w:p>
        </w:tc>
        <w:tc>
          <w:tcPr>
            <w:tcW w:w="625" w:type="dxa"/>
            <w:vAlign w:val="center"/>
          </w:tcPr>
          <w:p w14:paraId="46BDB50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613" w:type="dxa"/>
            <w:vAlign w:val="center"/>
          </w:tcPr>
          <w:p w14:paraId="2E494E70">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73" w:type="dxa"/>
            <w:vAlign w:val="center"/>
          </w:tcPr>
          <w:p w14:paraId="70C164DA">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86" w:type="dxa"/>
            <w:vAlign w:val="center"/>
          </w:tcPr>
          <w:p w14:paraId="6929BD00">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5A9823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6A753B7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1217" w:type="dxa"/>
            <w:vAlign w:val="center"/>
          </w:tcPr>
          <w:p w14:paraId="4FD0B59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1554" w:type="dxa"/>
            <w:vAlign w:val="center"/>
          </w:tcPr>
          <w:p w14:paraId="07CF10D5">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589" w:type="dxa"/>
            <w:vAlign w:val="center"/>
          </w:tcPr>
          <w:p w14:paraId="4B80E0F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589" w:type="dxa"/>
            <w:vAlign w:val="center"/>
          </w:tcPr>
          <w:p w14:paraId="64E1BF7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597" w:type="dxa"/>
            <w:vAlign w:val="center"/>
          </w:tcPr>
          <w:p w14:paraId="13AE121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586" w:type="dxa"/>
            <w:vAlign w:val="center"/>
          </w:tcPr>
          <w:p w14:paraId="7F37A29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589" w:type="dxa"/>
            <w:vAlign w:val="center"/>
          </w:tcPr>
          <w:p w14:paraId="4C04385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43" w:type="dxa"/>
            <w:vAlign w:val="center"/>
          </w:tcPr>
          <w:p w14:paraId="5D75D1E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31" w:type="dxa"/>
            <w:vAlign w:val="center"/>
          </w:tcPr>
          <w:p w14:paraId="4D1162C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6</w:t>
            </w:r>
          </w:p>
        </w:tc>
        <w:tc>
          <w:tcPr>
            <w:tcW w:w="589" w:type="dxa"/>
            <w:vAlign w:val="center"/>
          </w:tcPr>
          <w:p w14:paraId="0CCBDF3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8</w:t>
            </w:r>
          </w:p>
        </w:tc>
        <w:tc>
          <w:tcPr>
            <w:tcW w:w="706" w:type="dxa"/>
            <w:vAlign w:val="center"/>
          </w:tcPr>
          <w:p w14:paraId="52D8CE3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1EAC0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154ABC9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74B7584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4" w:type="pct"/>
            <w:vAlign w:val="center"/>
          </w:tcPr>
          <w:p w14:paraId="49C2CF44">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0675BBB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80954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778F478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5" w:type="pct"/>
            <w:vAlign w:val="center"/>
          </w:tcPr>
          <w:p w14:paraId="48AA756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A8358B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67A9D35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1" w:type="pct"/>
            <w:vAlign w:val="center"/>
          </w:tcPr>
          <w:p w14:paraId="019609C7">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5</w:t>
            </w:r>
          </w:p>
        </w:tc>
        <w:tc>
          <w:tcPr>
            <w:tcW w:w="327" w:type="pct"/>
            <w:vAlign w:val="center"/>
          </w:tcPr>
          <w:p w14:paraId="1B18A185">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6</w:t>
            </w:r>
          </w:p>
        </w:tc>
        <w:tc>
          <w:tcPr>
            <w:tcW w:w="392" w:type="pct"/>
            <w:vAlign w:val="center"/>
          </w:tcPr>
          <w:p w14:paraId="48EABA3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Cop1</w:t>
            </w:r>
          </w:p>
        </w:tc>
      </w:tr>
    </w:tbl>
    <w:p w14:paraId="2AEC37E0">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3#植被样方调查表</w:t>
      </w:r>
    </w:p>
    <w:tbl>
      <w:tblPr>
        <w:tblStyle w:val="47"/>
        <w:tblW w:w="526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3"/>
        <w:gridCol w:w="1511"/>
        <w:gridCol w:w="573"/>
        <w:gridCol w:w="573"/>
        <w:gridCol w:w="580"/>
        <w:gridCol w:w="570"/>
        <w:gridCol w:w="573"/>
        <w:gridCol w:w="577"/>
        <w:gridCol w:w="573"/>
        <w:gridCol w:w="664"/>
        <w:gridCol w:w="684"/>
      </w:tblGrid>
      <w:tr w14:paraId="3DAF2A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restart"/>
            <w:vAlign w:val="center"/>
          </w:tcPr>
          <w:p w14:paraId="7CDC58AA">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2028825" cy="1521460"/>
                  <wp:effectExtent l="0" t="0" r="9525" b="2540"/>
                  <wp:docPr id="144" name="图片 144" descr="97c8865ef73330edca1c0cf70b287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97c8865ef73330edca1c0cf70b287f9c"/>
                          <pic:cNvPicPr>
                            <a:picLocks noChangeAspect="1"/>
                          </pic:cNvPicPr>
                        </pic:nvPicPr>
                        <pic:blipFill>
                          <a:blip r:embed="rId55"/>
                          <a:stretch>
                            <a:fillRect/>
                          </a:stretch>
                        </pic:blipFill>
                        <pic:spPr>
                          <a:xfrm>
                            <a:off x="0" y="0"/>
                            <a:ext cx="2028825" cy="1521460"/>
                          </a:xfrm>
                          <a:prstGeom prst="rect">
                            <a:avLst/>
                          </a:prstGeom>
                        </pic:spPr>
                      </pic:pic>
                    </a:graphicData>
                  </a:graphic>
                </wp:inline>
              </w:drawing>
            </w:r>
          </w:p>
        </w:tc>
        <w:tc>
          <w:tcPr>
            <w:tcW w:w="3070" w:type="pct"/>
            <w:gridSpan w:val="9"/>
            <w:vAlign w:val="center"/>
          </w:tcPr>
          <w:p w14:paraId="79691000">
            <w:pPr>
              <w:autoSpaceDE/>
              <w:autoSpaceDN/>
              <w:adjustRightInd w:val="0"/>
              <w:snapToGrid w:val="0"/>
              <w:ind w:left="0" w:leftChars="0" w:firstLine="0" w:firstLineChars="0"/>
              <w:rPr>
                <w:rFonts w:hint="default"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名称：蒙古栎</w:t>
            </w:r>
            <w:r>
              <w:rPr>
                <w:rFonts w:hint="eastAsia" w:ascii="Times New Roman" w:hAnsi="Times New Roman" w:cs="Times New Roman"/>
                <w:color w:val="auto"/>
                <w:kern w:val="21"/>
                <w:sz w:val="18"/>
                <w:szCs w:val="18"/>
                <w:highlight w:val="none"/>
                <w:lang w:val="en-US" w:eastAsia="zh-CN"/>
              </w:rPr>
              <w:t>、山杨</w:t>
            </w:r>
          </w:p>
        </w:tc>
      </w:tr>
      <w:tr w14:paraId="00DC3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0F7C9C5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51FC236A">
            <w:pPr>
              <w:autoSpaceDE/>
              <w:autoSpaceDN/>
              <w:adjustRightInd w:val="0"/>
              <w:snapToGrid w:val="0"/>
              <w:ind w:left="0" w:leftChars="0" w:firstLine="0" w:firstLineChars="0"/>
              <w:rPr>
                <w:rFonts w:hint="eastAsia"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rPr>
              <w:t>场区</w:t>
            </w:r>
            <w:r>
              <w:rPr>
                <w:rFonts w:ascii="Times New Roman" w:hAnsi="Times New Roman" w:cs="Times New Roman"/>
                <w:color w:val="auto"/>
                <w:kern w:val="21"/>
                <w:sz w:val="18"/>
                <w:szCs w:val="18"/>
                <w:highlight w:val="none"/>
                <w:lang w:val="en-US"/>
              </w:rPr>
              <w:t>西</w:t>
            </w:r>
            <w:r>
              <w:rPr>
                <w:rFonts w:hint="eastAsia" w:ascii="Times New Roman" w:hAnsi="Times New Roman" w:cs="Times New Roman"/>
                <w:color w:val="auto"/>
                <w:kern w:val="21"/>
                <w:sz w:val="18"/>
                <w:szCs w:val="18"/>
                <w:highlight w:val="none"/>
                <w:lang w:val="en-US" w:eastAsia="zh-CN"/>
              </w:rPr>
              <w:t>侧</w:t>
            </w:r>
          </w:p>
        </w:tc>
      </w:tr>
      <w:tr w14:paraId="5EEDF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20F96A9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1771609B">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 xml:space="preserve">E </w:t>
            </w:r>
            <w:r>
              <w:rPr>
                <w:rFonts w:hint="eastAsia" w:ascii="Times New Roman" w:hAnsi="Times New Roman" w:cs="Times New Roman"/>
                <w:color w:val="auto"/>
                <w:kern w:val="21"/>
                <w:sz w:val="21"/>
                <w:szCs w:val="21"/>
                <w:highlight w:val="none"/>
                <w:lang w:val="en-US" w:bidi="ar"/>
              </w:rPr>
              <w:t>127°20'48.2296"</w:t>
            </w: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21"/>
                <w:szCs w:val="21"/>
                <w:highlight w:val="none"/>
                <w:lang w:val="en-US" w:bidi="ar"/>
              </w:rPr>
              <w:t>49°31'47.4708"</w:t>
            </w:r>
          </w:p>
        </w:tc>
      </w:tr>
      <w:tr w14:paraId="06C7D7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29" w:type="pct"/>
            <w:gridSpan w:val="3"/>
            <w:vMerge w:val="continue"/>
            <w:vAlign w:val="center"/>
          </w:tcPr>
          <w:p w14:paraId="38DFE5A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70" w:type="pct"/>
            <w:gridSpan w:val="9"/>
            <w:vAlign w:val="center"/>
          </w:tcPr>
          <w:p w14:paraId="6BECDB8B">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hint="eastAsia" w:ascii="Times New Roman" w:hAnsi="Times New Roman" w:cs="Times New Roman"/>
                <w:color w:val="auto"/>
                <w:kern w:val="21"/>
                <w:sz w:val="18"/>
                <w:szCs w:val="18"/>
                <w:highlight w:val="none"/>
                <w:lang w:val="en-US" w:eastAsia="zh-CN"/>
              </w:rPr>
              <w:t>335</w:t>
            </w:r>
            <w:r>
              <w:rPr>
                <w:rFonts w:ascii="Times New Roman" w:hAnsi="Times New Roman" w:cs="Times New Roman"/>
                <w:color w:val="auto"/>
                <w:kern w:val="21"/>
                <w:sz w:val="18"/>
                <w:szCs w:val="18"/>
                <w:highlight w:val="none"/>
                <w:lang w:val="en-US"/>
              </w:rPr>
              <w:t xml:space="preserve"> m</w:t>
            </w:r>
          </w:p>
        </w:tc>
      </w:tr>
      <w:tr w14:paraId="6C4E75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0E28792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7" w:type="pct"/>
            <w:vMerge w:val="restart"/>
            <w:vAlign w:val="center"/>
          </w:tcPr>
          <w:p w14:paraId="0CF6869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4" w:type="pct"/>
            <w:vMerge w:val="restart"/>
            <w:vAlign w:val="center"/>
          </w:tcPr>
          <w:p w14:paraId="6C1D33A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021FDD2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983" w:type="pct"/>
            <w:gridSpan w:val="3"/>
            <w:vAlign w:val="center"/>
          </w:tcPr>
          <w:p w14:paraId="5725111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99" w:type="pct"/>
            <w:gridSpan w:val="3"/>
            <w:vAlign w:val="center"/>
          </w:tcPr>
          <w:p w14:paraId="05B899D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2C0F9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5457FDE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Merge w:val="continue"/>
            <w:vAlign w:val="center"/>
          </w:tcPr>
          <w:p w14:paraId="544FA7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4" w:type="pct"/>
            <w:vMerge w:val="continue"/>
            <w:vAlign w:val="center"/>
          </w:tcPr>
          <w:p w14:paraId="702CD12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34486E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7B9BAA6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28110B7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5" w:type="pct"/>
            <w:vAlign w:val="center"/>
          </w:tcPr>
          <w:p w14:paraId="41A5F02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0CFCF9F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29" w:type="pct"/>
            <w:vAlign w:val="center"/>
          </w:tcPr>
          <w:p w14:paraId="680815B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27" w:type="pct"/>
            <w:vAlign w:val="center"/>
          </w:tcPr>
          <w:p w14:paraId="61CE40C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79" w:type="pct"/>
            <w:vAlign w:val="center"/>
          </w:tcPr>
          <w:p w14:paraId="1F9CF9D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91" w:type="pct"/>
            <w:vAlign w:val="center"/>
          </w:tcPr>
          <w:p w14:paraId="31903FA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3BBDAB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501BD44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7" w:type="pct"/>
            <w:vAlign w:val="center"/>
          </w:tcPr>
          <w:p w14:paraId="32FD91F1">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山杨</w:t>
            </w:r>
          </w:p>
        </w:tc>
        <w:tc>
          <w:tcPr>
            <w:tcW w:w="864" w:type="pct"/>
            <w:vAlign w:val="center"/>
          </w:tcPr>
          <w:p w14:paraId="437243F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i/>
                <w:iCs/>
                <w:color w:val="auto"/>
                <w:kern w:val="21"/>
                <w:sz w:val="18"/>
                <w:szCs w:val="18"/>
                <w:highlight w:val="none"/>
                <w:lang w:val="en-US"/>
              </w:rPr>
              <w:t>Populus davidiana Dode</w:t>
            </w:r>
            <w:r>
              <w:rPr>
                <w:rFonts w:ascii="Times New Roman" w:hAnsi="Times New Roman" w:cs="Times New Roman"/>
                <w:i/>
                <w:iCs/>
                <w:color w:val="auto"/>
                <w:kern w:val="21"/>
                <w:sz w:val="18"/>
                <w:szCs w:val="18"/>
                <w:highlight w:val="none"/>
                <w:lang w:val="en-US"/>
              </w:rPr>
              <w:t>.</w:t>
            </w:r>
          </w:p>
        </w:tc>
        <w:tc>
          <w:tcPr>
            <w:tcW w:w="327" w:type="pct"/>
            <w:vAlign w:val="center"/>
          </w:tcPr>
          <w:p w14:paraId="196BA2C9">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11</w:t>
            </w:r>
          </w:p>
        </w:tc>
        <w:tc>
          <w:tcPr>
            <w:tcW w:w="327" w:type="pct"/>
            <w:vAlign w:val="center"/>
          </w:tcPr>
          <w:p w14:paraId="018918B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14.2</w:t>
            </w:r>
          </w:p>
        </w:tc>
        <w:tc>
          <w:tcPr>
            <w:tcW w:w="332" w:type="pct"/>
            <w:vAlign w:val="center"/>
          </w:tcPr>
          <w:p w14:paraId="68345251">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24</w:t>
            </w:r>
          </w:p>
        </w:tc>
        <w:tc>
          <w:tcPr>
            <w:tcW w:w="325" w:type="pct"/>
            <w:vAlign w:val="center"/>
          </w:tcPr>
          <w:p w14:paraId="7D5F792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D7CB2B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9" w:type="pct"/>
            <w:vAlign w:val="center"/>
          </w:tcPr>
          <w:p w14:paraId="411B33D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E10B8B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9" w:type="pct"/>
            <w:vAlign w:val="center"/>
          </w:tcPr>
          <w:p w14:paraId="1DBFF2D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1" w:type="pct"/>
            <w:vAlign w:val="center"/>
          </w:tcPr>
          <w:p w14:paraId="1F951CB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3BEECE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76139F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3A87FA2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蒙古栎</w:t>
            </w:r>
          </w:p>
        </w:tc>
        <w:tc>
          <w:tcPr>
            <w:tcW w:w="864" w:type="pct"/>
            <w:vAlign w:val="center"/>
          </w:tcPr>
          <w:p w14:paraId="47CD473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Quercus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mongolica</w:t>
            </w:r>
            <w:r>
              <w:rPr>
                <w:rFonts w:ascii="Times New Roman" w:hAnsi="Times New Roman" w:cs="Times New Roman"/>
                <w:color w:val="auto"/>
                <w:kern w:val="21"/>
                <w:sz w:val="18"/>
                <w:szCs w:val="18"/>
                <w:highlight w:val="none"/>
                <w:lang w:val="en-US"/>
              </w:rPr>
              <w:t xml:space="preserve"> Fisch. ex Ledeb.</w:t>
            </w:r>
          </w:p>
        </w:tc>
        <w:tc>
          <w:tcPr>
            <w:tcW w:w="327" w:type="pct"/>
            <w:vAlign w:val="center"/>
          </w:tcPr>
          <w:p w14:paraId="693B7FB2">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8</w:t>
            </w:r>
          </w:p>
        </w:tc>
        <w:tc>
          <w:tcPr>
            <w:tcW w:w="327" w:type="pct"/>
            <w:vAlign w:val="center"/>
          </w:tcPr>
          <w:p w14:paraId="02D1EAE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20.9</w:t>
            </w:r>
          </w:p>
        </w:tc>
        <w:tc>
          <w:tcPr>
            <w:tcW w:w="332" w:type="pct"/>
            <w:vAlign w:val="center"/>
          </w:tcPr>
          <w:p w14:paraId="47F19BD1">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41</w:t>
            </w:r>
          </w:p>
        </w:tc>
        <w:tc>
          <w:tcPr>
            <w:tcW w:w="325" w:type="pct"/>
            <w:vAlign w:val="center"/>
          </w:tcPr>
          <w:p w14:paraId="7A3C050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162212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9" w:type="pct"/>
            <w:vAlign w:val="center"/>
          </w:tcPr>
          <w:p w14:paraId="6D7A3E1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4550BB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9" w:type="pct"/>
            <w:vAlign w:val="center"/>
          </w:tcPr>
          <w:p w14:paraId="4FA1A0E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91" w:type="pct"/>
            <w:vAlign w:val="center"/>
          </w:tcPr>
          <w:p w14:paraId="69CA0F7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1D6DB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205772D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7" w:type="pct"/>
            <w:vAlign w:val="center"/>
          </w:tcPr>
          <w:p w14:paraId="2F2F44B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4" w:type="pct"/>
            <w:vAlign w:val="center"/>
          </w:tcPr>
          <w:p w14:paraId="53BAA338">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7E94EBA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863C0A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4FA3C5D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5" w:type="pct"/>
            <w:vAlign w:val="center"/>
          </w:tcPr>
          <w:p w14:paraId="253A5C8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FF0E4D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9" w:type="pct"/>
            <w:vAlign w:val="center"/>
          </w:tcPr>
          <w:p w14:paraId="59333A5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BABE602">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4</w:t>
            </w:r>
          </w:p>
        </w:tc>
        <w:tc>
          <w:tcPr>
            <w:tcW w:w="379" w:type="pct"/>
            <w:vAlign w:val="center"/>
          </w:tcPr>
          <w:p w14:paraId="7EAB47FF">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5</w:t>
            </w:r>
          </w:p>
        </w:tc>
        <w:tc>
          <w:tcPr>
            <w:tcW w:w="391" w:type="pct"/>
            <w:vAlign w:val="center"/>
          </w:tcPr>
          <w:p w14:paraId="1E4E55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3D4269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59B5477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2DD0CFA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864" w:type="pct"/>
            <w:vAlign w:val="center"/>
          </w:tcPr>
          <w:p w14:paraId="29D9CCD3">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0AA7603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5154E4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2316BE8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5" w:type="pct"/>
            <w:vAlign w:val="center"/>
          </w:tcPr>
          <w:p w14:paraId="6F017F5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A5BCB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9" w:type="pct"/>
            <w:vAlign w:val="center"/>
          </w:tcPr>
          <w:p w14:paraId="2F004F8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13251E0">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2</w:t>
            </w:r>
          </w:p>
        </w:tc>
        <w:tc>
          <w:tcPr>
            <w:tcW w:w="379" w:type="pct"/>
            <w:vAlign w:val="center"/>
          </w:tcPr>
          <w:p w14:paraId="6E93B2BD">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7</w:t>
            </w:r>
          </w:p>
        </w:tc>
        <w:tc>
          <w:tcPr>
            <w:tcW w:w="391" w:type="pct"/>
            <w:vAlign w:val="center"/>
          </w:tcPr>
          <w:p w14:paraId="2F7CEE4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5A60A548">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4#植被样方调查表</w:t>
      </w:r>
    </w:p>
    <w:tbl>
      <w:tblPr>
        <w:tblStyle w:val="47"/>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2"/>
        <w:gridCol w:w="1513"/>
        <w:gridCol w:w="573"/>
        <w:gridCol w:w="573"/>
        <w:gridCol w:w="579"/>
        <w:gridCol w:w="570"/>
        <w:gridCol w:w="573"/>
        <w:gridCol w:w="625"/>
        <w:gridCol w:w="640"/>
        <w:gridCol w:w="573"/>
        <w:gridCol w:w="658"/>
      </w:tblGrid>
      <w:tr w14:paraId="5E740B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restart"/>
            <w:vAlign w:val="center"/>
          </w:tcPr>
          <w:p w14:paraId="475F8D00">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szCs w:val="24"/>
                <w:highlight w:val="none"/>
              </w:rPr>
              <w:drawing>
                <wp:inline distT="0" distB="0" distL="114300" distR="114300">
                  <wp:extent cx="2073910" cy="1666240"/>
                  <wp:effectExtent l="0" t="0" r="2540" b="10160"/>
                  <wp:docPr id="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pic:cNvPicPr>
                            <a:picLocks noChangeAspect="1"/>
                          </pic:cNvPicPr>
                        </pic:nvPicPr>
                        <pic:blipFill>
                          <a:blip r:embed="rId56"/>
                          <a:stretch>
                            <a:fillRect/>
                          </a:stretch>
                        </pic:blipFill>
                        <pic:spPr>
                          <a:xfrm>
                            <a:off x="0" y="0"/>
                            <a:ext cx="2073910" cy="1666240"/>
                          </a:xfrm>
                          <a:prstGeom prst="rect">
                            <a:avLst/>
                          </a:prstGeom>
                          <a:noFill/>
                          <a:ln>
                            <a:noFill/>
                          </a:ln>
                        </pic:spPr>
                      </pic:pic>
                    </a:graphicData>
                  </a:graphic>
                </wp:inline>
              </w:drawing>
            </w:r>
          </w:p>
        </w:tc>
        <w:tc>
          <w:tcPr>
            <w:tcW w:w="3069" w:type="pct"/>
            <w:gridSpan w:val="9"/>
            <w:vAlign w:val="center"/>
          </w:tcPr>
          <w:p w14:paraId="3165577A">
            <w:pPr>
              <w:autoSpaceDE/>
              <w:autoSpaceDN/>
              <w:adjustRightInd w:val="0"/>
              <w:snapToGrid w:val="0"/>
              <w:ind w:left="0" w:leftChars="0" w:firstLine="0" w:firstLineChars="0"/>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名称：兴安落叶松</w:t>
            </w:r>
          </w:p>
        </w:tc>
      </w:tr>
      <w:tr w14:paraId="5370C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0020C8E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04D78935">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rPr>
              <w:t>场区</w:t>
            </w:r>
            <w:r>
              <w:rPr>
                <w:rFonts w:ascii="Times New Roman" w:hAnsi="Times New Roman" w:cs="Times New Roman"/>
                <w:color w:val="auto"/>
                <w:kern w:val="21"/>
                <w:sz w:val="18"/>
                <w:szCs w:val="18"/>
                <w:highlight w:val="none"/>
                <w:lang w:val="en-US"/>
              </w:rPr>
              <w:t>北侧</w:t>
            </w:r>
          </w:p>
        </w:tc>
      </w:tr>
      <w:tr w14:paraId="19EFD5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0BA2754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08835BAA">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E 127°20'06.0313"</w:t>
            </w:r>
            <w:r>
              <w:rPr>
                <w:rFonts w:ascii="Times New Roman" w:hAnsi="Times New Roman" w:cs="Times New Roman"/>
                <w:color w:val="auto"/>
                <w:kern w:val="21"/>
                <w:sz w:val="18"/>
                <w:szCs w:val="18"/>
                <w:highlight w:val="none"/>
                <w:lang w:val="en-US" w:bidi="ar"/>
              </w:rPr>
              <w:t>，N 49°28'55.7813"</w:t>
            </w:r>
          </w:p>
        </w:tc>
      </w:tr>
      <w:tr w14:paraId="2F78C4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41841DA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4A2B422B">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280 m</w:t>
            </w:r>
          </w:p>
        </w:tc>
      </w:tr>
      <w:tr w14:paraId="5FD162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5A7B538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6" w:type="pct"/>
            <w:vMerge w:val="restart"/>
            <w:vAlign w:val="center"/>
          </w:tcPr>
          <w:p w14:paraId="0C48C4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5" w:type="pct"/>
            <w:vMerge w:val="restart"/>
            <w:vAlign w:val="center"/>
          </w:tcPr>
          <w:p w14:paraId="1308A38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6A5C31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38B1245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70" w:type="pct"/>
            <w:gridSpan w:val="3"/>
            <w:vAlign w:val="center"/>
          </w:tcPr>
          <w:p w14:paraId="5886ED6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40FFDE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04C020A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Merge w:val="continue"/>
            <w:vAlign w:val="center"/>
          </w:tcPr>
          <w:p w14:paraId="5739123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Merge w:val="continue"/>
            <w:vAlign w:val="center"/>
          </w:tcPr>
          <w:p w14:paraId="56D8C9A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18ABCF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20D0555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1" w:type="pct"/>
            <w:vAlign w:val="center"/>
          </w:tcPr>
          <w:p w14:paraId="2F185D7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6" w:type="pct"/>
            <w:vAlign w:val="center"/>
          </w:tcPr>
          <w:p w14:paraId="35BD62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5BE7890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5BEB476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66" w:type="pct"/>
            <w:vAlign w:val="center"/>
          </w:tcPr>
          <w:p w14:paraId="1EA96ED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27" w:type="pct"/>
            <w:vAlign w:val="center"/>
          </w:tcPr>
          <w:p w14:paraId="2A21902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76" w:type="pct"/>
            <w:vAlign w:val="center"/>
          </w:tcPr>
          <w:p w14:paraId="2E1D9CA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11B45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0185ECB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6" w:type="pct"/>
            <w:vAlign w:val="center"/>
          </w:tcPr>
          <w:p w14:paraId="2C5FCD4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兴安落叶松</w:t>
            </w:r>
          </w:p>
        </w:tc>
        <w:tc>
          <w:tcPr>
            <w:tcW w:w="865" w:type="pct"/>
            <w:vAlign w:val="center"/>
          </w:tcPr>
          <w:p w14:paraId="4DEBED0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Larix gmelini</w:t>
            </w:r>
            <w:r>
              <w:rPr>
                <w:rFonts w:ascii="Times New Roman" w:hAnsi="Times New Roman" w:cs="Times New Roman"/>
                <w:color w:val="auto"/>
                <w:kern w:val="21"/>
                <w:sz w:val="18"/>
                <w:szCs w:val="18"/>
                <w:highlight w:val="none"/>
                <w:lang w:val="en-US"/>
              </w:rPr>
              <w:t>i(Rupr.)Kuzen.</w:t>
            </w:r>
          </w:p>
        </w:tc>
        <w:tc>
          <w:tcPr>
            <w:tcW w:w="327" w:type="pct"/>
            <w:vAlign w:val="center"/>
          </w:tcPr>
          <w:p w14:paraId="02AE3C32">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22</w:t>
            </w:r>
          </w:p>
        </w:tc>
        <w:tc>
          <w:tcPr>
            <w:tcW w:w="327" w:type="pct"/>
            <w:vAlign w:val="center"/>
          </w:tcPr>
          <w:p w14:paraId="0432FDA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eastAsia="zh-CN"/>
              </w:rPr>
              <w:t>22</w:t>
            </w:r>
            <w:r>
              <w:rPr>
                <w:rFonts w:ascii="Times New Roman" w:hAnsi="Times New Roman" w:cs="Times New Roman"/>
                <w:color w:val="auto"/>
                <w:kern w:val="21"/>
                <w:sz w:val="18"/>
                <w:szCs w:val="18"/>
                <w:highlight w:val="none"/>
                <w:lang w:val="en-US"/>
              </w:rPr>
              <w:t>.5</w:t>
            </w:r>
          </w:p>
        </w:tc>
        <w:tc>
          <w:tcPr>
            <w:tcW w:w="331" w:type="pct"/>
            <w:vAlign w:val="center"/>
          </w:tcPr>
          <w:p w14:paraId="4CE9B95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15.8</w:t>
            </w:r>
          </w:p>
        </w:tc>
        <w:tc>
          <w:tcPr>
            <w:tcW w:w="326" w:type="pct"/>
            <w:vAlign w:val="center"/>
          </w:tcPr>
          <w:p w14:paraId="663A26F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644D5C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F1F12C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2990EBF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A60B44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6" w:type="pct"/>
            <w:vAlign w:val="center"/>
          </w:tcPr>
          <w:p w14:paraId="05CD149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714EDF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08B150E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6686816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樟子松</w:t>
            </w:r>
          </w:p>
        </w:tc>
        <w:tc>
          <w:tcPr>
            <w:tcW w:w="865" w:type="pct"/>
            <w:vAlign w:val="center"/>
          </w:tcPr>
          <w:p w14:paraId="6163A1D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Pinus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sylvestris</w:t>
            </w:r>
            <w:r>
              <w:rPr>
                <w:rFonts w:ascii="Times New Roman" w:hAnsi="Times New Roman" w:cs="Times New Roman"/>
                <w:color w:val="auto"/>
                <w:kern w:val="21"/>
                <w:sz w:val="18"/>
                <w:szCs w:val="18"/>
                <w:highlight w:val="none"/>
                <w:lang w:val="en-US"/>
              </w:rPr>
              <w:t xml:space="preserve"> var. </w:t>
            </w:r>
            <w:r>
              <w:rPr>
                <w:rFonts w:ascii="Times New Roman" w:hAnsi="Times New Roman" w:cs="Times New Roman"/>
                <w:i/>
                <w:iCs/>
                <w:color w:val="auto"/>
                <w:kern w:val="21"/>
                <w:sz w:val="18"/>
                <w:szCs w:val="18"/>
                <w:highlight w:val="none"/>
                <w:lang w:val="en-US"/>
              </w:rPr>
              <w:t>Mongholica</w:t>
            </w:r>
            <w:r>
              <w:rPr>
                <w:rFonts w:ascii="Times New Roman" w:hAnsi="Times New Roman" w:cs="Times New Roman"/>
                <w:color w:val="auto"/>
                <w:kern w:val="21"/>
                <w:sz w:val="18"/>
                <w:szCs w:val="18"/>
                <w:highlight w:val="none"/>
                <w:lang w:val="en-US"/>
              </w:rPr>
              <w:t xml:space="preserve"> Litv.</w:t>
            </w:r>
          </w:p>
        </w:tc>
        <w:tc>
          <w:tcPr>
            <w:tcW w:w="327" w:type="pct"/>
            <w:vAlign w:val="center"/>
          </w:tcPr>
          <w:p w14:paraId="31A0533B">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w:t>
            </w:r>
          </w:p>
        </w:tc>
        <w:tc>
          <w:tcPr>
            <w:tcW w:w="327" w:type="pct"/>
            <w:vAlign w:val="center"/>
          </w:tcPr>
          <w:p w14:paraId="030FAD1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19.5</w:t>
            </w:r>
          </w:p>
        </w:tc>
        <w:tc>
          <w:tcPr>
            <w:tcW w:w="331" w:type="pct"/>
            <w:vAlign w:val="center"/>
          </w:tcPr>
          <w:p w14:paraId="4B7BEE4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9.2</w:t>
            </w:r>
          </w:p>
        </w:tc>
        <w:tc>
          <w:tcPr>
            <w:tcW w:w="326" w:type="pct"/>
            <w:vAlign w:val="center"/>
          </w:tcPr>
          <w:p w14:paraId="6EC540A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99E5C7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7C0071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36C1895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F58AA0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6" w:type="pct"/>
            <w:vAlign w:val="center"/>
          </w:tcPr>
          <w:p w14:paraId="3840AE8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6064CD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64D04DE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28C8E10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eastAsia="zh-CN"/>
              </w:rPr>
              <w:t>山杨</w:t>
            </w:r>
          </w:p>
        </w:tc>
        <w:tc>
          <w:tcPr>
            <w:tcW w:w="865" w:type="pct"/>
            <w:vAlign w:val="center"/>
          </w:tcPr>
          <w:p w14:paraId="21B4E722">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hint="eastAsia" w:ascii="Times New Roman" w:hAnsi="Times New Roman" w:cs="Times New Roman"/>
                <w:i/>
                <w:iCs/>
                <w:color w:val="auto"/>
                <w:kern w:val="21"/>
                <w:sz w:val="18"/>
                <w:szCs w:val="18"/>
                <w:highlight w:val="none"/>
                <w:lang w:val="en-US"/>
              </w:rPr>
              <w:t>Populus davidiana Dode</w:t>
            </w:r>
            <w:r>
              <w:rPr>
                <w:rFonts w:ascii="Times New Roman" w:hAnsi="Times New Roman" w:cs="Times New Roman"/>
                <w:i/>
                <w:iCs/>
                <w:color w:val="auto"/>
                <w:kern w:val="21"/>
                <w:sz w:val="18"/>
                <w:szCs w:val="18"/>
                <w:highlight w:val="none"/>
                <w:lang w:val="en-US"/>
              </w:rPr>
              <w:t>.</w:t>
            </w:r>
          </w:p>
        </w:tc>
        <w:tc>
          <w:tcPr>
            <w:tcW w:w="327" w:type="pct"/>
            <w:vAlign w:val="center"/>
          </w:tcPr>
          <w:p w14:paraId="76874B0D">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2</w:t>
            </w:r>
          </w:p>
        </w:tc>
        <w:tc>
          <w:tcPr>
            <w:tcW w:w="327" w:type="pct"/>
            <w:vAlign w:val="center"/>
          </w:tcPr>
          <w:p w14:paraId="0AD5EE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14.2</w:t>
            </w:r>
          </w:p>
        </w:tc>
        <w:tc>
          <w:tcPr>
            <w:tcW w:w="331" w:type="pct"/>
            <w:vAlign w:val="center"/>
          </w:tcPr>
          <w:p w14:paraId="17BE626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9.6</w:t>
            </w:r>
          </w:p>
        </w:tc>
        <w:tc>
          <w:tcPr>
            <w:tcW w:w="326" w:type="pct"/>
            <w:vAlign w:val="center"/>
          </w:tcPr>
          <w:p w14:paraId="04E435F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4AE051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2EE1BA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60DE72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4381A2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6" w:type="pct"/>
            <w:vAlign w:val="center"/>
          </w:tcPr>
          <w:p w14:paraId="75C4E95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73DB0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7C8C1C3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676" w:type="pct"/>
            <w:vAlign w:val="center"/>
          </w:tcPr>
          <w:p w14:paraId="0151061E">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蒿柳</w:t>
            </w:r>
          </w:p>
        </w:tc>
        <w:tc>
          <w:tcPr>
            <w:tcW w:w="865" w:type="pct"/>
            <w:vAlign w:val="center"/>
          </w:tcPr>
          <w:p w14:paraId="47DDF9C6">
            <w:pPr>
              <w:autoSpaceDE/>
              <w:autoSpaceDN/>
              <w:adjustRightInd w:val="0"/>
              <w:snapToGrid w:val="0"/>
              <w:ind w:left="0" w:leftChars="0" w:firstLine="0" w:firstLineChars="0"/>
              <w:jc w:val="center"/>
              <w:rPr>
                <w:rFonts w:hint="eastAsia"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Salix</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schwerinii</w:t>
            </w:r>
            <w:r>
              <w:rPr>
                <w:rFonts w:ascii="Times New Roman" w:hAnsi="Times New Roman" w:cs="Times New Roman"/>
                <w:color w:val="auto"/>
                <w:kern w:val="21"/>
                <w:sz w:val="18"/>
                <w:szCs w:val="18"/>
                <w:highlight w:val="none"/>
                <w:lang w:val="en-US"/>
              </w:rPr>
              <w:t xml:space="preserve"> E. L. Wolf</w:t>
            </w:r>
          </w:p>
        </w:tc>
        <w:tc>
          <w:tcPr>
            <w:tcW w:w="327" w:type="pct"/>
            <w:vAlign w:val="center"/>
          </w:tcPr>
          <w:p w14:paraId="09AB63D9">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327" w:type="pct"/>
            <w:vAlign w:val="center"/>
          </w:tcPr>
          <w:p w14:paraId="26E62E65">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31" w:type="pct"/>
            <w:vAlign w:val="center"/>
          </w:tcPr>
          <w:p w14:paraId="3C616FF2">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26" w:type="pct"/>
            <w:vAlign w:val="center"/>
          </w:tcPr>
          <w:p w14:paraId="2DE448F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7</w:t>
            </w:r>
          </w:p>
        </w:tc>
        <w:tc>
          <w:tcPr>
            <w:tcW w:w="327" w:type="pct"/>
            <w:vAlign w:val="center"/>
          </w:tcPr>
          <w:p w14:paraId="6477705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12</w:t>
            </w:r>
          </w:p>
        </w:tc>
        <w:tc>
          <w:tcPr>
            <w:tcW w:w="357" w:type="pct"/>
            <w:vAlign w:val="center"/>
          </w:tcPr>
          <w:p w14:paraId="54F245E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366" w:type="pct"/>
            <w:vAlign w:val="center"/>
          </w:tcPr>
          <w:p w14:paraId="7CE28E12">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27" w:type="pct"/>
            <w:vAlign w:val="center"/>
          </w:tcPr>
          <w:p w14:paraId="2ACC0052">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76" w:type="pct"/>
            <w:vAlign w:val="center"/>
          </w:tcPr>
          <w:p w14:paraId="51596C1B">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490CC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1797E65C">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76" w:type="pct"/>
            <w:vAlign w:val="center"/>
          </w:tcPr>
          <w:p w14:paraId="7C655EAB">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兴安蔷薇</w:t>
            </w:r>
          </w:p>
        </w:tc>
        <w:tc>
          <w:tcPr>
            <w:tcW w:w="865" w:type="pct"/>
            <w:vAlign w:val="center"/>
          </w:tcPr>
          <w:p w14:paraId="0AC267CE">
            <w:pPr>
              <w:autoSpaceDE/>
              <w:autoSpaceDN/>
              <w:adjustRightInd w:val="0"/>
              <w:snapToGrid w:val="0"/>
              <w:ind w:left="0" w:leftChars="0" w:firstLine="0" w:firstLineChars="0"/>
              <w:jc w:val="center"/>
              <w:rPr>
                <w:rFonts w:hint="eastAsia"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Rosa</w:t>
            </w:r>
            <w:r>
              <w:rPr>
                <w:rFonts w:ascii="Times New Roman" w:hAnsi="Times New Roman" w:cs="Times New Roman"/>
                <w:color w:val="auto"/>
                <w:kern w:val="21"/>
                <w:sz w:val="18"/>
                <w:szCs w:val="18"/>
                <w:highlight w:val="none"/>
                <w:lang w:val="en-US"/>
              </w:rPr>
              <w:t xml:space="preserve"> sp.</w:t>
            </w:r>
          </w:p>
        </w:tc>
        <w:tc>
          <w:tcPr>
            <w:tcW w:w="327" w:type="pct"/>
            <w:vAlign w:val="center"/>
          </w:tcPr>
          <w:p w14:paraId="031CB97D">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327" w:type="pct"/>
            <w:vAlign w:val="center"/>
          </w:tcPr>
          <w:p w14:paraId="7F06BA7F">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31" w:type="pct"/>
            <w:vAlign w:val="center"/>
          </w:tcPr>
          <w:p w14:paraId="0CCBC6D7">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26" w:type="pct"/>
            <w:vAlign w:val="center"/>
          </w:tcPr>
          <w:p w14:paraId="70D2A80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8</w:t>
            </w:r>
          </w:p>
        </w:tc>
        <w:tc>
          <w:tcPr>
            <w:tcW w:w="327" w:type="pct"/>
            <w:vAlign w:val="center"/>
          </w:tcPr>
          <w:p w14:paraId="5532869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15</w:t>
            </w:r>
          </w:p>
        </w:tc>
        <w:tc>
          <w:tcPr>
            <w:tcW w:w="357" w:type="pct"/>
            <w:vAlign w:val="center"/>
          </w:tcPr>
          <w:p w14:paraId="5C27945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366" w:type="pct"/>
            <w:vAlign w:val="center"/>
          </w:tcPr>
          <w:p w14:paraId="2B5664BE">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27" w:type="pct"/>
            <w:vAlign w:val="center"/>
          </w:tcPr>
          <w:p w14:paraId="41B71325">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376" w:type="pct"/>
            <w:vAlign w:val="center"/>
          </w:tcPr>
          <w:p w14:paraId="7F65C10B">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777FB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6267AAE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6" w:type="pct"/>
            <w:vAlign w:val="center"/>
          </w:tcPr>
          <w:p w14:paraId="424AC4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5" w:type="pct"/>
            <w:vAlign w:val="center"/>
          </w:tcPr>
          <w:p w14:paraId="56761B29">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23EA22A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011953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7B2FF0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29972AC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370069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5F6420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1344372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7</w:t>
            </w:r>
          </w:p>
        </w:tc>
        <w:tc>
          <w:tcPr>
            <w:tcW w:w="327" w:type="pct"/>
            <w:vAlign w:val="center"/>
          </w:tcPr>
          <w:p w14:paraId="4EBA200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6</w:t>
            </w:r>
          </w:p>
        </w:tc>
        <w:tc>
          <w:tcPr>
            <w:tcW w:w="376" w:type="pct"/>
            <w:vAlign w:val="center"/>
          </w:tcPr>
          <w:p w14:paraId="28758B4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4A52B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71B2F91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18A3E8B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865" w:type="pct"/>
            <w:vAlign w:val="center"/>
          </w:tcPr>
          <w:p w14:paraId="0C38FB93">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48F7B24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8AB09E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41ACE76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68BC9CC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8DCF1A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6A6C4E3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2F8BC0E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w:t>
            </w:r>
          </w:p>
        </w:tc>
        <w:tc>
          <w:tcPr>
            <w:tcW w:w="327" w:type="pct"/>
            <w:vAlign w:val="center"/>
          </w:tcPr>
          <w:p w14:paraId="65E866A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7</w:t>
            </w:r>
          </w:p>
        </w:tc>
        <w:tc>
          <w:tcPr>
            <w:tcW w:w="376" w:type="pct"/>
            <w:vAlign w:val="center"/>
          </w:tcPr>
          <w:p w14:paraId="1CC8FB1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6BF65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5183E81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48BF0CD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裂叶蒿</w:t>
            </w:r>
          </w:p>
        </w:tc>
        <w:tc>
          <w:tcPr>
            <w:tcW w:w="865" w:type="pct"/>
            <w:vAlign w:val="center"/>
          </w:tcPr>
          <w:p w14:paraId="3E572FE5">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rPr>
              <w:t>Artemisia tanacetifolia</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color w:val="auto"/>
                <w:kern w:val="21"/>
                <w:sz w:val="18"/>
                <w:szCs w:val="18"/>
                <w:highlight w:val="none"/>
              </w:rPr>
              <w:t>L.</w:t>
            </w:r>
          </w:p>
        </w:tc>
        <w:tc>
          <w:tcPr>
            <w:tcW w:w="327" w:type="pct"/>
            <w:vAlign w:val="center"/>
          </w:tcPr>
          <w:p w14:paraId="23B2C83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459679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041A1B8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5FC6191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FB69BA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AACE96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0F40B3B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7</w:t>
            </w:r>
          </w:p>
        </w:tc>
        <w:tc>
          <w:tcPr>
            <w:tcW w:w="327" w:type="pct"/>
            <w:vAlign w:val="center"/>
          </w:tcPr>
          <w:p w14:paraId="1281BD6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10</w:t>
            </w:r>
          </w:p>
        </w:tc>
        <w:tc>
          <w:tcPr>
            <w:tcW w:w="376" w:type="pct"/>
            <w:vAlign w:val="center"/>
          </w:tcPr>
          <w:p w14:paraId="3462337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19D3767D">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5#植被样方调查表</w:t>
      </w:r>
    </w:p>
    <w:tbl>
      <w:tblPr>
        <w:tblStyle w:val="47"/>
        <w:tblW w:w="530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191"/>
        <w:gridCol w:w="1521"/>
        <w:gridCol w:w="576"/>
        <w:gridCol w:w="576"/>
        <w:gridCol w:w="584"/>
        <w:gridCol w:w="574"/>
        <w:gridCol w:w="576"/>
        <w:gridCol w:w="587"/>
        <w:gridCol w:w="639"/>
        <w:gridCol w:w="626"/>
        <w:gridCol w:w="661"/>
      </w:tblGrid>
      <w:tr w14:paraId="1A6B2B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restart"/>
            <w:vAlign w:val="center"/>
          </w:tcPr>
          <w:p w14:paraId="556542E0">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szCs w:val="24"/>
                <w:highlight w:val="none"/>
              </w:rPr>
              <w:drawing>
                <wp:inline distT="0" distB="0" distL="114300" distR="114300">
                  <wp:extent cx="2117090" cy="1732915"/>
                  <wp:effectExtent l="0" t="0" r="16510" b="63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57"/>
                          <a:stretch>
                            <a:fillRect/>
                          </a:stretch>
                        </pic:blipFill>
                        <pic:spPr>
                          <a:xfrm>
                            <a:off x="0" y="0"/>
                            <a:ext cx="2117090" cy="1732915"/>
                          </a:xfrm>
                          <a:prstGeom prst="rect">
                            <a:avLst/>
                          </a:prstGeom>
                          <a:noFill/>
                          <a:ln>
                            <a:noFill/>
                          </a:ln>
                        </pic:spPr>
                      </pic:pic>
                    </a:graphicData>
                  </a:graphic>
                </wp:inline>
              </w:drawing>
            </w:r>
          </w:p>
        </w:tc>
        <w:tc>
          <w:tcPr>
            <w:tcW w:w="3069" w:type="pct"/>
            <w:gridSpan w:val="9"/>
            <w:vAlign w:val="center"/>
          </w:tcPr>
          <w:p w14:paraId="617AD6C7">
            <w:pPr>
              <w:autoSpaceDE/>
              <w:autoSpaceDN/>
              <w:adjustRightInd w:val="0"/>
              <w:snapToGrid w:val="0"/>
              <w:ind w:left="0" w:leftChars="0" w:firstLine="0" w:firstLineChars="0"/>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名称：兴安落叶松</w:t>
            </w:r>
          </w:p>
        </w:tc>
      </w:tr>
      <w:tr w14:paraId="77B3F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40FB2C8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0B6E0620">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rPr>
              <w:t>场区</w:t>
            </w:r>
            <w:r>
              <w:rPr>
                <w:rFonts w:ascii="Times New Roman" w:hAnsi="Times New Roman" w:cs="Times New Roman"/>
                <w:color w:val="auto"/>
                <w:kern w:val="21"/>
                <w:sz w:val="18"/>
                <w:szCs w:val="18"/>
                <w:highlight w:val="none"/>
                <w:lang w:val="en-US"/>
              </w:rPr>
              <w:t>北侧</w:t>
            </w:r>
          </w:p>
        </w:tc>
      </w:tr>
      <w:tr w14:paraId="502FB9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60F5B59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5AFD0898">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E 127°20'11.4182"</w:t>
            </w:r>
            <w:r>
              <w:rPr>
                <w:rFonts w:ascii="Times New Roman" w:hAnsi="Times New Roman" w:cs="Times New Roman"/>
                <w:color w:val="auto"/>
                <w:kern w:val="21"/>
                <w:sz w:val="18"/>
                <w:szCs w:val="18"/>
                <w:highlight w:val="none"/>
                <w:lang w:val="en-US" w:bidi="ar"/>
              </w:rPr>
              <w:t>，N 49°28'56.6948"</w:t>
            </w:r>
          </w:p>
        </w:tc>
      </w:tr>
      <w:tr w14:paraId="4607E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56EA807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4B5C07FD">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269 m</w:t>
            </w:r>
          </w:p>
        </w:tc>
      </w:tr>
      <w:tr w14:paraId="4B792C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580902D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6" w:type="pct"/>
            <w:vMerge w:val="restart"/>
            <w:vAlign w:val="center"/>
          </w:tcPr>
          <w:p w14:paraId="01C37FF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4" w:type="pct"/>
            <w:vMerge w:val="restart"/>
            <w:vAlign w:val="center"/>
          </w:tcPr>
          <w:p w14:paraId="03C3472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013C754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987" w:type="pct"/>
            <w:gridSpan w:val="3"/>
            <w:vAlign w:val="center"/>
          </w:tcPr>
          <w:p w14:paraId="65864FB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94" w:type="pct"/>
            <w:gridSpan w:val="3"/>
            <w:vAlign w:val="center"/>
          </w:tcPr>
          <w:p w14:paraId="427225C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50B948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72083F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Merge w:val="continue"/>
            <w:vAlign w:val="center"/>
          </w:tcPr>
          <w:p w14:paraId="570C28D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4" w:type="pct"/>
            <w:vMerge w:val="continue"/>
            <w:vAlign w:val="center"/>
          </w:tcPr>
          <w:p w14:paraId="3F56060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2F88C2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7571404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33FF8DA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6" w:type="pct"/>
            <w:vAlign w:val="center"/>
          </w:tcPr>
          <w:p w14:paraId="20008FA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13832DD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33" w:type="pct"/>
            <w:vAlign w:val="center"/>
          </w:tcPr>
          <w:p w14:paraId="0BBF7A6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63" w:type="pct"/>
            <w:vAlign w:val="center"/>
          </w:tcPr>
          <w:p w14:paraId="32B0F90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5" w:type="pct"/>
            <w:vAlign w:val="center"/>
          </w:tcPr>
          <w:p w14:paraId="159C4E0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75" w:type="pct"/>
            <w:vAlign w:val="center"/>
          </w:tcPr>
          <w:p w14:paraId="1B09D54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4B161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11511F8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6" w:type="pct"/>
            <w:vAlign w:val="center"/>
          </w:tcPr>
          <w:p w14:paraId="1124D25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兴安落叶松</w:t>
            </w:r>
          </w:p>
        </w:tc>
        <w:tc>
          <w:tcPr>
            <w:tcW w:w="864" w:type="pct"/>
            <w:vAlign w:val="center"/>
          </w:tcPr>
          <w:p w14:paraId="483AC36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Larix gmelini</w:t>
            </w:r>
            <w:r>
              <w:rPr>
                <w:rFonts w:ascii="Times New Roman" w:hAnsi="Times New Roman" w:cs="Times New Roman"/>
                <w:color w:val="auto"/>
                <w:kern w:val="21"/>
                <w:sz w:val="18"/>
                <w:szCs w:val="18"/>
                <w:highlight w:val="none"/>
                <w:lang w:val="en-US"/>
              </w:rPr>
              <w:t>i(Rupr.)Kuzen.</w:t>
            </w:r>
          </w:p>
        </w:tc>
        <w:tc>
          <w:tcPr>
            <w:tcW w:w="327" w:type="pct"/>
            <w:vAlign w:val="center"/>
          </w:tcPr>
          <w:p w14:paraId="03CC110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17</w:t>
            </w:r>
          </w:p>
        </w:tc>
        <w:tc>
          <w:tcPr>
            <w:tcW w:w="327" w:type="pct"/>
            <w:vAlign w:val="center"/>
          </w:tcPr>
          <w:p w14:paraId="639CD25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17.9</w:t>
            </w:r>
          </w:p>
        </w:tc>
        <w:tc>
          <w:tcPr>
            <w:tcW w:w="332" w:type="pct"/>
            <w:vAlign w:val="center"/>
          </w:tcPr>
          <w:p w14:paraId="0597F2C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15.2</w:t>
            </w:r>
          </w:p>
        </w:tc>
        <w:tc>
          <w:tcPr>
            <w:tcW w:w="326" w:type="pct"/>
            <w:vAlign w:val="center"/>
          </w:tcPr>
          <w:p w14:paraId="7127421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054955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3" w:type="pct"/>
            <w:vAlign w:val="center"/>
          </w:tcPr>
          <w:p w14:paraId="12B0851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3" w:type="pct"/>
            <w:vAlign w:val="center"/>
          </w:tcPr>
          <w:p w14:paraId="321EFD2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5" w:type="pct"/>
            <w:vAlign w:val="center"/>
          </w:tcPr>
          <w:p w14:paraId="4CBB64C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5" w:type="pct"/>
            <w:vAlign w:val="center"/>
          </w:tcPr>
          <w:p w14:paraId="5FB82A3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FDBE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517C9F0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03F695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樟子松</w:t>
            </w:r>
          </w:p>
        </w:tc>
        <w:tc>
          <w:tcPr>
            <w:tcW w:w="864" w:type="pct"/>
            <w:vAlign w:val="center"/>
          </w:tcPr>
          <w:p w14:paraId="067699C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Pinus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sylvestris</w:t>
            </w:r>
            <w:r>
              <w:rPr>
                <w:rFonts w:ascii="Times New Roman" w:hAnsi="Times New Roman" w:cs="Times New Roman"/>
                <w:color w:val="auto"/>
                <w:kern w:val="21"/>
                <w:sz w:val="18"/>
                <w:szCs w:val="18"/>
                <w:highlight w:val="none"/>
                <w:lang w:val="en-US"/>
              </w:rPr>
              <w:t xml:space="preserve"> var. </w:t>
            </w:r>
            <w:r>
              <w:rPr>
                <w:rFonts w:ascii="Times New Roman" w:hAnsi="Times New Roman" w:cs="Times New Roman"/>
                <w:i/>
                <w:iCs/>
                <w:color w:val="auto"/>
                <w:kern w:val="21"/>
                <w:sz w:val="18"/>
                <w:szCs w:val="18"/>
                <w:highlight w:val="none"/>
                <w:lang w:val="en-US"/>
              </w:rPr>
              <w:t>Mongholica</w:t>
            </w:r>
            <w:r>
              <w:rPr>
                <w:rFonts w:ascii="Times New Roman" w:hAnsi="Times New Roman" w:cs="Times New Roman"/>
                <w:color w:val="auto"/>
                <w:kern w:val="21"/>
                <w:sz w:val="18"/>
                <w:szCs w:val="18"/>
                <w:highlight w:val="none"/>
                <w:lang w:val="en-US"/>
              </w:rPr>
              <w:t xml:space="preserve"> Litv.</w:t>
            </w:r>
          </w:p>
        </w:tc>
        <w:tc>
          <w:tcPr>
            <w:tcW w:w="327" w:type="pct"/>
            <w:vAlign w:val="center"/>
          </w:tcPr>
          <w:p w14:paraId="49629316">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1</w:t>
            </w:r>
          </w:p>
        </w:tc>
        <w:tc>
          <w:tcPr>
            <w:tcW w:w="327" w:type="pct"/>
            <w:vAlign w:val="center"/>
          </w:tcPr>
          <w:p w14:paraId="1276B7D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18.1</w:t>
            </w:r>
          </w:p>
        </w:tc>
        <w:tc>
          <w:tcPr>
            <w:tcW w:w="332" w:type="pct"/>
            <w:vAlign w:val="center"/>
          </w:tcPr>
          <w:p w14:paraId="758F0FE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9.9</w:t>
            </w:r>
          </w:p>
        </w:tc>
        <w:tc>
          <w:tcPr>
            <w:tcW w:w="326" w:type="pct"/>
            <w:vAlign w:val="center"/>
          </w:tcPr>
          <w:p w14:paraId="10A58A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E5BCED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3" w:type="pct"/>
            <w:vAlign w:val="center"/>
          </w:tcPr>
          <w:p w14:paraId="2009568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3" w:type="pct"/>
            <w:vAlign w:val="center"/>
          </w:tcPr>
          <w:p w14:paraId="02994AF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5" w:type="pct"/>
            <w:vAlign w:val="center"/>
          </w:tcPr>
          <w:p w14:paraId="14AFA27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75" w:type="pct"/>
            <w:vAlign w:val="center"/>
          </w:tcPr>
          <w:p w14:paraId="339FA0F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402931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3" w:type="dxa"/>
            <w:vAlign w:val="center"/>
          </w:tcPr>
          <w:p w14:paraId="5196D3AB">
            <w:pPr>
              <w:autoSpaceDE/>
              <w:autoSpaceDN/>
              <w:adjustRightInd w:val="0"/>
              <w:snapToGrid w:val="0"/>
              <w:ind w:left="0" w:leftChars="0" w:firstLine="0" w:firstLineChars="0"/>
              <w:jc w:val="both"/>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1191" w:type="dxa"/>
            <w:vAlign w:val="center"/>
          </w:tcPr>
          <w:p w14:paraId="7E08756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兴安蔷薇</w:t>
            </w:r>
          </w:p>
        </w:tc>
        <w:tc>
          <w:tcPr>
            <w:tcW w:w="1521" w:type="dxa"/>
            <w:vAlign w:val="center"/>
          </w:tcPr>
          <w:p w14:paraId="34DB1023">
            <w:pPr>
              <w:autoSpaceDE/>
              <w:autoSpaceDN/>
              <w:adjustRightInd w:val="0"/>
              <w:snapToGrid w:val="0"/>
              <w:jc w:val="both"/>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Rosa</w:t>
            </w:r>
            <w:r>
              <w:rPr>
                <w:rFonts w:ascii="Times New Roman" w:hAnsi="Times New Roman" w:cs="Times New Roman"/>
                <w:color w:val="auto"/>
                <w:kern w:val="21"/>
                <w:sz w:val="18"/>
                <w:szCs w:val="18"/>
                <w:highlight w:val="none"/>
                <w:lang w:val="en-US"/>
              </w:rPr>
              <w:t xml:space="preserve"> sp.</w:t>
            </w:r>
          </w:p>
        </w:tc>
        <w:tc>
          <w:tcPr>
            <w:tcW w:w="576" w:type="dxa"/>
            <w:vAlign w:val="center"/>
          </w:tcPr>
          <w:p w14:paraId="30AE9737">
            <w:pPr>
              <w:autoSpaceDE/>
              <w:autoSpaceDN/>
              <w:adjustRightInd w:val="0"/>
              <w:snapToGrid w:val="0"/>
              <w:ind w:firstLine="360" w:firstLineChars="200"/>
              <w:jc w:val="center"/>
              <w:rPr>
                <w:rFonts w:hint="eastAsia" w:ascii="Times New Roman" w:hAnsi="Times New Roman" w:cs="Times New Roman"/>
                <w:color w:val="auto"/>
                <w:kern w:val="21"/>
                <w:sz w:val="18"/>
                <w:szCs w:val="18"/>
                <w:highlight w:val="none"/>
                <w:lang w:val="en-US" w:eastAsia="zh-CN"/>
              </w:rPr>
            </w:pPr>
          </w:p>
        </w:tc>
        <w:tc>
          <w:tcPr>
            <w:tcW w:w="576" w:type="dxa"/>
            <w:vAlign w:val="center"/>
          </w:tcPr>
          <w:p w14:paraId="213FB4AF">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84" w:type="dxa"/>
            <w:vAlign w:val="center"/>
          </w:tcPr>
          <w:p w14:paraId="057D772C">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74" w:type="dxa"/>
            <w:vAlign w:val="center"/>
          </w:tcPr>
          <w:p w14:paraId="6ED6183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6</w:t>
            </w:r>
          </w:p>
        </w:tc>
        <w:tc>
          <w:tcPr>
            <w:tcW w:w="576" w:type="dxa"/>
            <w:vAlign w:val="center"/>
          </w:tcPr>
          <w:p w14:paraId="025474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14</w:t>
            </w:r>
          </w:p>
        </w:tc>
        <w:tc>
          <w:tcPr>
            <w:tcW w:w="587" w:type="dxa"/>
            <w:vAlign w:val="center"/>
          </w:tcPr>
          <w:p w14:paraId="4364EBE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639" w:type="dxa"/>
            <w:vAlign w:val="center"/>
          </w:tcPr>
          <w:p w14:paraId="294055A6">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26" w:type="dxa"/>
            <w:vAlign w:val="center"/>
          </w:tcPr>
          <w:p w14:paraId="0EA54C5B">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61" w:type="dxa"/>
            <w:vAlign w:val="center"/>
          </w:tcPr>
          <w:p w14:paraId="52752537">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345CB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5C8E35B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6" w:type="pct"/>
            <w:vAlign w:val="center"/>
          </w:tcPr>
          <w:p w14:paraId="2EF2B9B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864" w:type="pct"/>
            <w:vAlign w:val="center"/>
          </w:tcPr>
          <w:p w14:paraId="21D71BE2">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344A250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3EFAB3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1AF4ACD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4FE7179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4AD14F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3" w:type="pct"/>
            <w:vAlign w:val="center"/>
          </w:tcPr>
          <w:p w14:paraId="02391F8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3" w:type="pct"/>
            <w:vAlign w:val="center"/>
          </w:tcPr>
          <w:p w14:paraId="549C4895">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8</w:t>
            </w:r>
          </w:p>
        </w:tc>
        <w:tc>
          <w:tcPr>
            <w:tcW w:w="355" w:type="pct"/>
            <w:vAlign w:val="center"/>
          </w:tcPr>
          <w:p w14:paraId="290A5BA1">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10</w:t>
            </w:r>
          </w:p>
        </w:tc>
        <w:tc>
          <w:tcPr>
            <w:tcW w:w="375" w:type="pct"/>
            <w:vAlign w:val="center"/>
          </w:tcPr>
          <w:p w14:paraId="3A267D2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55C48F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75D0FE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5C01097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裂叶蒿</w:t>
            </w:r>
          </w:p>
        </w:tc>
        <w:tc>
          <w:tcPr>
            <w:tcW w:w="864" w:type="pct"/>
            <w:vAlign w:val="center"/>
          </w:tcPr>
          <w:p w14:paraId="673E3CB5">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rPr>
              <w:t>Artemisia tanacetifolia</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color w:val="auto"/>
                <w:kern w:val="21"/>
                <w:sz w:val="18"/>
                <w:szCs w:val="18"/>
                <w:highlight w:val="none"/>
              </w:rPr>
              <w:t>L.</w:t>
            </w:r>
          </w:p>
        </w:tc>
        <w:tc>
          <w:tcPr>
            <w:tcW w:w="327" w:type="pct"/>
            <w:vAlign w:val="center"/>
          </w:tcPr>
          <w:p w14:paraId="274BCE6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81B7D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684370A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7D126DD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C7572C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3" w:type="pct"/>
            <w:vAlign w:val="center"/>
          </w:tcPr>
          <w:p w14:paraId="18ED331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3" w:type="pct"/>
            <w:vAlign w:val="center"/>
          </w:tcPr>
          <w:p w14:paraId="32EEC15C">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9</w:t>
            </w:r>
          </w:p>
        </w:tc>
        <w:tc>
          <w:tcPr>
            <w:tcW w:w="355" w:type="pct"/>
            <w:vAlign w:val="center"/>
          </w:tcPr>
          <w:p w14:paraId="086FF099">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11</w:t>
            </w:r>
          </w:p>
        </w:tc>
        <w:tc>
          <w:tcPr>
            <w:tcW w:w="375" w:type="pct"/>
            <w:vAlign w:val="center"/>
          </w:tcPr>
          <w:p w14:paraId="0781E13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7D2FF85B">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6#植被样方调查表</w:t>
      </w:r>
    </w:p>
    <w:tbl>
      <w:tblPr>
        <w:tblStyle w:val="47"/>
        <w:tblW w:w="526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2"/>
        <w:gridCol w:w="1512"/>
        <w:gridCol w:w="573"/>
        <w:gridCol w:w="573"/>
        <w:gridCol w:w="580"/>
        <w:gridCol w:w="570"/>
        <w:gridCol w:w="573"/>
        <w:gridCol w:w="625"/>
        <w:gridCol w:w="640"/>
        <w:gridCol w:w="587"/>
        <w:gridCol w:w="645"/>
      </w:tblGrid>
      <w:tr w14:paraId="68D4D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restart"/>
            <w:vAlign w:val="center"/>
          </w:tcPr>
          <w:p w14:paraId="77961B83">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szCs w:val="24"/>
                <w:highlight w:val="none"/>
              </w:rPr>
              <w:drawing>
                <wp:inline distT="0" distB="0" distL="114300" distR="114300">
                  <wp:extent cx="2045335" cy="1656080"/>
                  <wp:effectExtent l="0" t="0" r="12065" b="1270"/>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58"/>
                          <a:stretch>
                            <a:fillRect/>
                          </a:stretch>
                        </pic:blipFill>
                        <pic:spPr>
                          <a:xfrm>
                            <a:off x="0" y="0"/>
                            <a:ext cx="2045335" cy="1656080"/>
                          </a:xfrm>
                          <a:prstGeom prst="rect">
                            <a:avLst/>
                          </a:prstGeom>
                          <a:noFill/>
                          <a:ln>
                            <a:noFill/>
                          </a:ln>
                        </pic:spPr>
                      </pic:pic>
                    </a:graphicData>
                  </a:graphic>
                </wp:inline>
              </w:drawing>
            </w:r>
          </w:p>
        </w:tc>
        <w:tc>
          <w:tcPr>
            <w:tcW w:w="3069" w:type="pct"/>
            <w:gridSpan w:val="9"/>
            <w:vAlign w:val="center"/>
          </w:tcPr>
          <w:p w14:paraId="41F3EB6C">
            <w:pPr>
              <w:autoSpaceDE/>
              <w:autoSpaceDN/>
              <w:adjustRightInd w:val="0"/>
              <w:snapToGrid w:val="0"/>
              <w:ind w:left="0" w:leftChars="0" w:firstLine="0" w:firstLineChars="0"/>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名称：兴安落叶松</w:t>
            </w:r>
          </w:p>
        </w:tc>
      </w:tr>
      <w:tr w14:paraId="4446BA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5EB1A1D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25F0735C">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rPr>
              <w:t>场区</w:t>
            </w:r>
            <w:r>
              <w:rPr>
                <w:rFonts w:ascii="Times New Roman" w:hAnsi="Times New Roman" w:cs="Times New Roman"/>
                <w:color w:val="auto"/>
                <w:kern w:val="21"/>
                <w:sz w:val="18"/>
                <w:szCs w:val="18"/>
                <w:highlight w:val="none"/>
                <w:lang w:val="en-US"/>
              </w:rPr>
              <w:t>西南</w:t>
            </w:r>
          </w:p>
        </w:tc>
      </w:tr>
      <w:tr w14:paraId="703D56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5FF18DA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1DBA9681">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E 127°19'54.0536"</w:t>
            </w:r>
            <w:r>
              <w:rPr>
                <w:rFonts w:ascii="Times New Roman" w:hAnsi="Times New Roman" w:cs="Times New Roman"/>
                <w:color w:val="auto"/>
                <w:kern w:val="21"/>
                <w:sz w:val="18"/>
                <w:szCs w:val="18"/>
                <w:highlight w:val="none"/>
                <w:lang w:val="en-US" w:bidi="ar"/>
              </w:rPr>
              <w:t>，N 49°28'41.7340"</w:t>
            </w:r>
          </w:p>
        </w:tc>
      </w:tr>
      <w:tr w14:paraId="5BABF0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4353FE7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6CFD9861">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279 m</w:t>
            </w:r>
          </w:p>
        </w:tc>
      </w:tr>
      <w:tr w14:paraId="3F607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3ADF59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7" w:type="pct"/>
            <w:vMerge w:val="restart"/>
            <w:vAlign w:val="center"/>
          </w:tcPr>
          <w:p w14:paraId="1DBBCFE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5" w:type="pct"/>
            <w:vMerge w:val="restart"/>
            <w:vAlign w:val="center"/>
          </w:tcPr>
          <w:p w14:paraId="1170266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0D93B7A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54C95AC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70" w:type="pct"/>
            <w:gridSpan w:val="3"/>
            <w:vAlign w:val="center"/>
          </w:tcPr>
          <w:p w14:paraId="45BAE51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7E8C56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4615D4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Merge w:val="continue"/>
            <w:vAlign w:val="center"/>
          </w:tcPr>
          <w:p w14:paraId="35932F9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Merge w:val="continue"/>
            <w:vAlign w:val="center"/>
          </w:tcPr>
          <w:p w14:paraId="1B91A10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9D616B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0574379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14BB78F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5" w:type="pct"/>
            <w:vAlign w:val="center"/>
          </w:tcPr>
          <w:p w14:paraId="1D5C090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0E8B3B6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316CC98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66" w:type="pct"/>
            <w:vAlign w:val="center"/>
          </w:tcPr>
          <w:p w14:paraId="08757AA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36" w:type="pct"/>
            <w:vAlign w:val="center"/>
          </w:tcPr>
          <w:p w14:paraId="06546C3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68" w:type="pct"/>
            <w:vAlign w:val="center"/>
          </w:tcPr>
          <w:p w14:paraId="53353F8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2A151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0D7839E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7" w:type="pct"/>
            <w:vAlign w:val="center"/>
          </w:tcPr>
          <w:p w14:paraId="101B740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兴安落叶松</w:t>
            </w:r>
          </w:p>
        </w:tc>
        <w:tc>
          <w:tcPr>
            <w:tcW w:w="865" w:type="pct"/>
            <w:vAlign w:val="center"/>
          </w:tcPr>
          <w:p w14:paraId="22EE17D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Larix gmelini</w:t>
            </w:r>
            <w:r>
              <w:rPr>
                <w:rFonts w:ascii="Times New Roman" w:hAnsi="Times New Roman" w:cs="Times New Roman"/>
                <w:color w:val="auto"/>
                <w:kern w:val="21"/>
                <w:sz w:val="18"/>
                <w:szCs w:val="18"/>
                <w:highlight w:val="none"/>
                <w:lang w:val="en-US"/>
              </w:rPr>
              <w:t>i(Rupr.)Kuzen.</w:t>
            </w:r>
          </w:p>
        </w:tc>
        <w:tc>
          <w:tcPr>
            <w:tcW w:w="573" w:type="dxa"/>
            <w:vAlign w:val="center"/>
          </w:tcPr>
          <w:p w14:paraId="33E27EE9">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19</w:t>
            </w:r>
          </w:p>
        </w:tc>
        <w:tc>
          <w:tcPr>
            <w:tcW w:w="573" w:type="dxa"/>
            <w:vAlign w:val="center"/>
          </w:tcPr>
          <w:p w14:paraId="5574B88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17.5</w:t>
            </w:r>
          </w:p>
        </w:tc>
        <w:tc>
          <w:tcPr>
            <w:tcW w:w="580" w:type="dxa"/>
            <w:vAlign w:val="center"/>
          </w:tcPr>
          <w:p w14:paraId="7BDE1F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15.8</w:t>
            </w:r>
          </w:p>
        </w:tc>
        <w:tc>
          <w:tcPr>
            <w:tcW w:w="325" w:type="pct"/>
            <w:vAlign w:val="center"/>
          </w:tcPr>
          <w:p w14:paraId="3E72987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F6184C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7D3F39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329BF37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6" w:type="pct"/>
            <w:vAlign w:val="center"/>
          </w:tcPr>
          <w:p w14:paraId="24E67EB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8" w:type="pct"/>
            <w:vAlign w:val="center"/>
          </w:tcPr>
          <w:p w14:paraId="531DAA7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48B2F5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2F1BB84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637C449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樟子松</w:t>
            </w:r>
          </w:p>
        </w:tc>
        <w:tc>
          <w:tcPr>
            <w:tcW w:w="865" w:type="pct"/>
            <w:vAlign w:val="center"/>
          </w:tcPr>
          <w:p w14:paraId="502A737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Pinus</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sylvestris</w:t>
            </w:r>
            <w:r>
              <w:rPr>
                <w:rFonts w:ascii="Times New Roman" w:hAnsi="Times New Roman" w:cs="Times New Roman"/>
                <w:color w:val="auto"/>
                <w:kern w:val="21"/>
                <w:sz w:val="18"/>
                <w:szCs w:val="18"/>
                <w:highlight w:val="none"/>
                <w:lang w:val="en-US"/>
              </w:rPr>
              <w:t xml:space="preserve"> var. </w:t>
            </w:r>
            <w:r>
              <w:rPr>
                <w:rFonts w:ascii="Times New Roman" w:hAnsi="Times New Roman" w:cs="Times New Roman"/>
                <w:i/>
                <w:iCs/>
                <w:color w:val="auto"/>
                <w:kern w:val="21"/>
                <w:sz w:val="18"/>
                <w:szCs w:val="18"/>
                <w:highlight w:val="none"/>
                <w:lang w:val="en-US"/>
              </w:rPr>
              <w:t>Mongholica</w:t>
            </w:r>
            <w:r>
              <w:rPr>
                <w:rFonts w:ascii="Times New Roman" w:hAnsi="Times New Roman" w:cs="Times New Roman"/>
                <w:color w:val="auto"/>
                <w:kern w:val="21"/>
                <w:sz w:val="18"/>
                <w:szCs w:val="18"/>
                <w:highlight w:val="none"/>
                <w:lang w:val="en-US"/>
              </w:rPr>
              <w:t xml:space="preserve"> Litv.</w:t>
            </w:r>
          </w:p>
        </w:tc>
        <w:tc>
          <w:tcPr>
            <w:tcW w:w="573" w:type="dxa"/>
            <w:vAlign w:val="center"/>
          </w:tcPr>
          <w:p w14:paraId="460BA5E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7</w:t>
            </w:r>
          </w:p>
        </w:tc>
        <w:tc>
          <w:tcPr>
            <w:tcW w:w="573" w:type="dxa"/>
            <w:vAlign w:val="center"/>
          </w:tcPr>
          <w:p w14:paraId="7632E17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19.5</w:t>
            </w:r>
          </w:p>
        </w:tc>
        <w:tc>
          <w:tcPr>
            <w:tcW w:w="580" w:type="dxa"/>
            <w:vAlign w:val="center"/>
          </w:tcPr>
          <w:p w14:paraId="72C026A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9.2</w:t>
            </w:r>
          </w:p>
        </w:tc>
        <w:tc>
          <w:tcPr>
            <w:tcW w:w="325" w:type="pct"/>
            <w:vAlign w:val="center"/>
          </w:tcPr>
          <w:p w14:paraId="4C2A938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330BDB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502A7BA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662596A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6" w:type="pct"/>
            <w:vAlign w:val="center"/>
          </w:tcPr>
          <w:p w14:paraId="738871A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8" w:type="pct"/>
            <w:vAlign w:val="center"/>
          </w:tcPr>
          <w:p w14:paraId="446F78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565223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7B81484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1872E8AC">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山杨</w:t>
            </w:r>
          </w:p>
        </w:tc>
        <w:tc>
          <w:tcPr>
            <w:tcW w:w="865" w:type="pct"/>
            <w:vAlign w:val="center"/>
          </w:tcPr>
          <w:p w14:paraId="1CE63A02">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hint="eastAsia" w:ascii="Times New Roman" w:hAnsi="Times New Roman" w:cs="Times New Roman"/>
                <w:i/>
                <w:iCs/>
                <w:color w:val="auto"/>
                <w:kern w:val="21"/>
                <w:sz w:val="18"/>
                <w:szCs w:val="18"/>
                <w:highlight w:val="none"/>
                <w:lang w:val="en-US"/>
              </w:rPr>
              <w:t>Populus davidiana Dode</w:t>
            </w:r>
            <w:r>
              <w:rPr>
                <w:rFonts w:ascii="Times New Roman" w:hAnsi="Times New Roman" w:cs="Times New Roman"/>
                <w:i/>
                <w:iCs/>
                <w:color w:val="auto"/>
                <w:kern w:val="21"/>
                <w:sz w:val="18"/>
                <w:szCs w:val="18"/>
                <w:highlight w:val="none"/>
                <w:lang w:val="en-US"/>
              </w:rPr>
              <w:t>.</w:t>
            </w:r>
          </w:p>
        </w:tc>
        <w:tc>
          <w:tcPr>
            <w:tcW w:w="573" w:type="dxa"/>
            <w:vAlign w:val="center"/>
          </w:tcPr>
          <w:p w14:paraId="72B1B3B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13</w:t>
            </w:r>
          </w:p>
        </w:tc>
        <w:tc>
          <w:tcPr>
            <w:tcW w:w="573" w:type="dxa"/>
            <w:vAlign w:val="center"/>
          </w:tcPr>
          <w:p w14:paraId="486F06E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14.2</w:t>
            </w:r>
          </w:p>
        </w:tc>
        <w:tc>
          <w:tcPr>
            <w:tcW w:w="580" w:type="dxa"/>
            <w:vAlign w:val="center"/>
          </w:tcPr>
          <w:p w14:paraId="16630C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9.6</w:t>
            </w:r>
          </w:p>
        </w:tc>
        <w:tc>
          <w:tcPr>
            <w:tcW w:w="325" w:type="pct"/>
            <w:vAlign w:val="center"/>
          </w:tcPr>
          <w:p w14:paraId="53CC131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66D4FC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16C0462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4197EAC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6" w:type="pct"/>
            <w:vAlign w:val="center"/>
          </w:tcPr>
          <w:p w14:paraId="71CDCF4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8" w:type="pct"/>
            <w:vAlign w:val="center"/>
          </w:tcPr>
          <w:p w14:paraId="0E439EB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5EBE32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9" w:type="dxa"/>
            <w:vAlign w:val="center"/>
          </w:tcPr>
          <w:p w14:paraId="0625293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1182" w:type="dxa"/>
            <w:vAlign w:val="center"/>
          </w:tcPr>
          <w:p w14:paraId="0C0180BA">
            <w:pPr>
              <w:autoSpaceDE/>
              <w:autoSpaceDN/>
              <w:adjustRightInd w:val="0"/>
              <w:snapToGrid w:val="0"/>
              <w:jc w:val="both"/>
              <w:rPr>
                <w:rFonts w:hint="eastAsia" w:ascii="Times New Roman" w:hAnsi="Times New Roman"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蒿柳</w:t>
            </w:r>
          </w:p>
        </w:tc>
        <w:tc>
          <w:tcPr>
            <w:tcW w:w="1512" w:type="dxa"/>
            <w:vAlign w:val="center"/>
          </w:tcPr>
          <w:p w14:paraId="0C48EC21">
            <w:pPr>
              <w:autoSpaceDE/>
              <w:autoSpaceDN/>
              <w:adjustRightInd w:val="0"/>
              <w:snapToGrid w:val="0"/>
              <w:ind w:left="0" w:leftChars="0" w:firstLine="0" w:firstLineChars="0"/>
              <w:jc w:val="center"/>
              <w:rPr>
                <w:rFonts w:hint="eastAsia"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Salix</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i/>
                <w:iCs/>
                <w:color w:val="auto"/>
                <w:kern w:val="21"/>
                <w:sz w:val="18"/>
                <w:szCs w:val="18"/>
                <w:highlight w:val="none"/>
                <w:lang w:val="en-US"/>
              </w:rPr>
              <w:t>schwerinii</w:t>
            </w:r>
            <w:r>
              <w:rPr>
                <w:rFonts w:ascii="Times New Roman" w:hAnsi="Times New Roman" w:cs="Times New Roman"/>
                <w:color w:val="auto"/>
                <w:kern w:val="21"/>
                <w:sz w:val="18"/>
                <w:szCs w:val="18"/>
                <w:highlight w:val="none"/>
                <w:lang w:val="en-US"/>
              </w:rPr>
              <w:t xml:space="preserve"> E. L. Wolf</w:t>
            </w:r>
          </w:p>
        </w:tc>
        <w:tc>
          <w:tcPr>
            <w:tcW w:w="573" w:type="dxa"/>
            <w:vAlign w:val="center"/>
          </w:tcPr>
          <w:p w14:paraId="71BBCBBA">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73" w:type="dxa"/>
            <w:vAlign w:val="center"/>
          </w:tcPr>
          <w:p w14:paraId="2BC023E0">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80" w:type="dxa"/>
            <w:vAlign w:val="center"/>
          </w:tcPr>
          <w:p w14:paraId="3A112B04">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70" w:type="dxa"/>
            <w:vAlign w:val="center"/>
          </w:tcPr>
          <w:p w14:paraId="345C033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6</w:t>
            </w:r>
          </w:p>
        </w:tc>
        <w:tc>
          <w:tcPr>
            <w:tcW w:w="573" w:type="dxa"/>
            <w:vAlign w:val="center"/>
          </w:tcPr>
          <w:p w14:paraId="629EE99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17</w:t>
            </w:r>
          </w:p>
        </w:tc>
        <w:tc>
          <w:tcPr>
            <w:tcW w:w="625" w:type="dxa"/>
            <w:vAlign w:val="center"/>
          </w:tcPr>
          <w:p w14:paraId="2044A03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0.1</w:t>
            </w:r>
          </w:p>
        </w:tc>
        <w:tc>
          <w:tcPr>
            <w:tcW w:w="640" w:type="dxa"/>
            <w:vAlign w:val="center"/>
          </w:tcPr>
          <w:p w14:paraId="12F581A7">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587" w:type="dxa"/>
            <w:vAlign w:val="center"/>
          </w:tcPr>
          <w:p w14:paraId="64AA57DE">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c>
          <w:tcPr>
            <w:tcW w:w="645" w:type="dxa"/>
            <w:vAlign w:val="center"/>
          </w:tcPr>
          <w:p w14:paraId="4CC71E80">
            <w:pPr>
              <w:autoSpaceDE/>
              <w:autoSpaceDN/>
              <w:adjustRightInd w:val="0"/>
              <w:snapToGrid w:val="0"/>
              <w:ind w:firstLine="360" w:firstLineChars="200"/>
              <w:jc w:val="center"/>
              <w:rPr>
                <w:rFonts w:ascii="Times New Roman" w:hAnsi="Times New Roman" w:cs="Times New Roman"/>
                <w:color w:val="auto"/>
                <w:kern w:val="21"/>
                <w:sz w:val="18"/>
                <w:szCs w:val="18"/>
                <w:highlight w:val="none"/>
                <w:lang w:val="en-US"/>
              </w:rPr>
            </w:pPr>
          </w:p>
        </w:tc>
      </w:tr>
      <w:tr w14:paraId="7BC2E3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1C525E3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7" w:type="pct"/>
            <w:vAlign w:val="center"/>
          </w:tcPr>
          <w:p w14:paraId="072BD04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865" w:type="pct"/>
            <w:vAlign w:val="center"/>
          </w:tcPr>
          <w:p w14:paraId="44A79EE0">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0697007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9F25BA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4191FD8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5" w:type="pct"/>
            <w:vAlign w:val="center"/>
          </w:tcPr>
          <w:p w14:paraId="19D15FB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2D68DB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38637D8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6EFEAF2F">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7</w:t>
            </w:r>
          </w:p>
        </w:tc>
        <w:tc>
          <w:tcPr>
            <w:tcW w:w="336" w:type="pct"/>
            <w:vAlign w:val="center"/>
          </w:tcPr>
          <w:p w14:paraId="520716D6">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9</w:t>
            </w:r>
          </w:p>
        </w:tc>
        <w:tc>
          <w:tcPr>
            <w:tcW w:w="368" w:type="pct"/>
            <w:vAlign w:val="center"/>
          </w:tcPr>
          <w:p w14:paraId="15775D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1253A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282EE67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7462F52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裂叶蒿</w:t>
            </w:r>
          </w:p>
        </w:tc>
        <w:tc>
          <w:tcPr>
            <w:tcW w:w="865" w:type="pct"/>
            <w:vAlign w:val="center"/>
          </w:tcPr>
          <w:p w14:paraId="5EEF2B32">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rPr>
            </w:pPr>
            <w:r>
              <w:rPr>
                <w:rFonts w:ascii="Times New Roman" w:hAnsi="Times New Roman" w:cs="Times New Roman"/>
                <w:i/>
                <w:iCs/>
                <w:color w:val="auto"/>
                <w:kern w:val="21"/>
                <w:sz w:val="18"/>
                <w:szCs w:val="18"/>
                <w:highlight w:val="none"/>
              </w:rPr>
              <w:t>Artemisia tanacetifolia</w:t>
            </w:r>
            <w:r>
              <w:rPr>
                <w:rFonts w:ascii="Times New Roman" w:hAnsi="Times New Roman" w:cs="Times New Roman"/>
                <w:color w:val="auto"/>
                <w:kern w:val="21"/>
                <w:sz w:val="18"/>
                <w:szCs w:val="18"/>
                <w:highlight w:val="none"/>
                <w:lang w:val="en-US"/>
              </w:rPr>
              <w:t xml:space="preserve"> </w:t>
            </w:r>
            <w:r>
              <w:rPr>
                <w:rFonts w:ascii="Times New Roman" w:hAnsi="Times New Roman" w:cs="Times New Roman"/>
                <w:color w:val="auto"/>
                <w:kern w:val="21"/>
                <w:sz w:val="18"/>
                <w:szCs w:val="18"/>
                <w:highlight w:val="none"/>
              </w:rPr>
              <w:t>L.</w:t>
            </w:r>
          </w:p>
        </w:tc>
        <w:tc>
          <w:tcPr>
            <w:tcW w:w="327" w:type="pct"/>
            <w:vAlign w:val="center"/>
          </w:tcPr>
          <w:p w14:paraId="3AFFC94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E0329D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42DE401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5" w:type="pct"/>
            <w:vAlign w:val="center"/>
          </w:tcPr>
          <w:p w14:paraId="574F43D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DE946B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3FE01F9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66" w:type="pct"/>
            <w:vAlign w:val="center"/>
          </w:tcPr>
          <w:p w14:paraId="575D8F4B">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9</w:t>
            </w:r>
          </w:p>
        </w:tc>
        <w:tc>
          <w:tcPr>
            <w:tcW w:w="336" w:type="pct"/>
            <w:vAlign w:val="center"/>
          </w:tcPr>
          <w:p w14:paraId="61BC4C03">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10</w:t>
            </w:r>
          </w:p>
        </w:tc>
        <w:tc>
          <w:tcPr>
            <w:tcW w:w="368" w:type="pct"/>
            <w:vAlign w:val="center"/>
          </w:tcPr>
          <w:p w14:paraId="3C3D045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4ECDB4B0">
      <w:pPr>
        <w:autoSpaceDE/>
        <w:autoSpaceDN/>
        <w:spacing w:before="360" w:beforeLines="150"/>
        <w:ind w:left="0" w:leftChars="0" w:firstLine="0" w:firstLineChars="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hint="eastAsia" w:ascii="Times New Roman" w:hAnsi="Times New Roman" w:cs="Times New Roman"/>
          <w:b/>
          <w:color w:val="auto"/>
          <w:kern w:val="21"/>
          <w:sz w:val="21"/>
          <w:szCs w:val="21"/>
          <w:highlight w:val="none"/>
          <w:lang w:val="en-US" w:eastAsia="zh-CN"/>
        </w:rPr>
        <w:t>7</w:t>
      </w:r>
      <w:r>
        <w:rPr>
          <w:rFonts w:ascii="Times New Roman" w:hAnsi="Times New Roman" w:cs="Times New Roman"/>
          <w:b/>
          <w:color w:val="auto"/>
          <w:kern w:val="21"/>
          <w:sz w:val="21"/>
          <w:szCs w:val="21"/>
          <w:highlight w:val="none"/>
          <w:lang w:val="en-US"/>
        </w:rPr>
        <w:t>#植被样方调查表</w:t>
      </w:r>
    </w:p>
    <w:tbl>
      <w:tblPr>
        <w:tblStyle w:val="47"/>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4"/>
        <w:gridCol w:w="1513"/>
        <w:gridCol w:w="573"/>
        <w:gridCol w:w="573"/>
        <w:gridCol w:w="579"/>
        <w:gridCol w:w="570"/>
        <w:gridCol w:w="573"/>
        <w:gridCol w:w="625"/>
        <w:gridCol w:w="601"/>
        <w:gridCol w:w="599"/>
        <w:gridCol w:w="669"/>
      </w:tblGrid>
      <w:tr w14:paraId="4C6BFD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1" w:type="pct"/>
            <w:gridSpan w:val="3"/>
            <w:vMerge w:val="restart"/>
            <w:vAlign w:val="center"/>
          </w:tcPr>
          <w:p w14:paraId="396F34D7">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2028825" cy="1521460"/>
                  <wp:effectExtent l="0" t="0" r="9525" b="2540"/>
                  <wp:docPr id="89" name="图片 89" descr="8ac39874047e86faffb5ed627dc06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8ac39874047e86faffb5ed627dc06262"/>
                          <pic:cNvPicPr>
                            <a:picLocks noChangeAspect="1"/>
                          </pic:cNvPicPr>
                        </pic:nvPicPr>
                        <pic:blipFill>
                          <a:blip r:embed="rId59"/>
                          <a:stretch>
                            <a:fillRect/>
                          </a:stretch>
                        </pic:blipFill>
                        <pic:spPr>
                          <a:xfrm>
                            <a:off x="0" y="0"/>
                            <a:ext cx="2028825" cy="1521460"/>
                          </a:xfrm>
                          <a:prstGeom prst="rect">
                            <a:avLst/>
                          </a:prstGeom>
                        </pic:spPr>
                      </pic:pic>
                    </a:graphicData>
                  </a:graphic>
                </wp:inline>
              </w:drawing>
            </w:r>
          </w:p>
        </w:tc>
        <w:tc>
          <w:tcPr>
            <w:tcW w:w="3068" w:type="pct"/>
            <w:gridSpan w:val="9"/>
            <w:vAlign w:val="center"/>
          </w:tcPr>
          <w:p w14:paraId="59E61AE5">
            <w:pPr>
              <w:autoSpaceDE/>
              <w:autoSpaceDN/>
              <w:adjustRightInd w:val="0"/>
              <w:snapToGrid w:val="0"/>
              <w:ind w:left="0" w:leftChars="0" w:firstLine="0" w:firstLineChars="0"/>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名称：</w:t>
            </w:r>
            <w:r>
              <w:rPr>
                <w:rFonts w:ascii="Times New Roman" w:hAnsi="Times New Roman" w:cs="Times New Roman"/>
                <w:color w:val="auto"/>
                <w:kern w:val="21"/>
                <w:sz w:val="18"/>
                <w:szCs w:val="18"/>
                <w:highlight w:val="none"/>
                <w:lang w:val="en-US" w:bidi="ar-SA"/>
              </w:rPr>
              <w:t>贝加尔针茅</w:t>
            </w:r>
          </w:p>
        </w:tc>
      </w:tr>
      <w:tr w14:paraId="378329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1" w:type="pct"/>
            <w:gridSpan w:val="3"/>
            <w:vMerge w:val="continue"/>
            <w:vAlign w:val="center"/>
          </w:tcPr>
          <w:p w14:paraId="4F34C58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8" w:type="pct"/>
            <w:gridSpan w:val="9"/>
            <w:vAlign w:val="center"/>
          </w:tcPr>
          <w:p w14:paraId="0135AEB9">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bidi="ar"/>
              </w:rPr>
              <w:t>场区</w:t>
            </w:r>
            <w:r>
              <w:rPr>
                <w:rFonts w:ascii="Times New Roman" w:hAnsi="Times New Roman" w:cs="Times New Roman"/>
                <w:color w:val="auto"/>
                <w:kern w:val="21"/>
                <w:sz w:val="18"/>
                <w:szCs w:val="18"/>
                <w:highlight w:val="none"/>
                <w:lang w:val="en-US" w:bidi="ar"/>
              </w:rPr>
              <w:t>东北</w:t>
            </w:r>
          </w:p>
        </w:tc>
      </w:tr>
      <w:tr w14:paraId="0BF91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1" w:type="pct"/>
            <w:gridSpan w:val="3"/>
            <w:vMerge w:val="continue"/>
            <w:vAlign w:val="center"/>
          </w:tcPr>
          <w:p w14:paraId="7F25300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8" w:type="pct"/>
            <w:gridSpan w:val="9"/>
            <w:vAlign w:val="center"/>
          </w:tcPr>
          <w:p w14:paraId="52553B6C">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 xml:space="preserve">E </w:t>
            </w:r>
            <w:r>
              <w:rPr>
                <w:rFonts w:ascii="Times New Roman" w:hAnsi="Times New Roman" w:cs="Times New Roman"/>
                <w:color w:val="auto"/>
                <w:kern w:val="21"/>
                <w:sz w:val="18"/>
                <w:szCs w:val="18"/>
                <w:highlight w:val="none"/>
                <w:lang w:val="en-US" w:bidi="ar"/>
              </w:rPr>
              <w:t>127°20'23.6247"，N 49°28'53.3314"</w:t>
            </w:r>
          </w:p>
        </w:tc>
      </w:tr>
      <w:tr w14:paraId="7ABD7B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1" w:type="pct"/>
            <w:gridSpan w:val="3"/>
            <w:vMerge w:val="continue"/>
            <w:vAlign w:val="center"/>
          </w:tcPr>
          <w:p w14:paraId="4EE7713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8" w:type="pct"/>
            <w:gridSpan w:val="9"/>
            <w:vAlign w:val="center"/>
          </w:tcPr>
          <w:p w14:paraId="15187CC4">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251 m</w:t>
            </w:r>
          </w:p>
        </w:tc>
      </w:tr>
      <w:tr w14:paraId="32FC8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38FEE5E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7" w:type="pct"/>
            <w:vMerge w:val="restart"/>
            <w:vAlign w:val="center"/>
          </w:tcPr>
          <w:p w14:paraId="2A03871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5" w:type="pct"/>
            <w:vMerge w:val="restart"/>
            <w:vAlign w:val="center"/>
          </w:tcPr>
          <w:p w14:paraId="105862B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7" w:type="pct"/>
            <w:gridSpan w:val="3"/>
            <w:vAlign w:val="center"/>
          </w:tcPr>
          <w:p w14:paraId="49183A6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747399A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69" w:type="pct"/>
            <w:gridSpan w:val="3"/>
            <w:vAlign w:val="center"/>
          </w:tcPr>
          <w:p w14:paraId="1B531C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3DB63F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26FF64F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Merge w:val="continue"/>
            <w:vAlign w:val="center"/>
          </w:tcPr>
          <w:p w14:paraId="4FEFC4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Merge w:val="continue"/>
            <w:vAlign w:val="center"/>
          </w:tcPr>
          <w:p w14:paraId="44A719B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71974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4C467B4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1" w:type="pct"/>
            <w:vAlign w:val="center"/>
          </w:tcPr>
          <w:p w14:paraId="4E56B5D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6" w:type="pct"/>
            <w:vAlign w:val="center"/>
          </w:tcPr>
          <w:p w14:paraId="104BA2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7C891BE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00E408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43" w:type="pct"/>
            <w:vAlign w:val="center"/>
          </w:tcPr>
          <w:p w14:paraId="55F4060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42" w:type="pct"/>
            <w:vAlign w:val="center"/>
          </w:tcPr>
          <w:p w14:paraId="5C70A1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82" w:type="pct"/>
            <w:vAlign w:val="center"/>
          </w:tcPr>
          <w:p w14:paraId="19B39AF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409D9E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4B81115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7" w:type="pct"/>
            <w:vAlign w:val="center"/>
          </w:tcPr>
          <w:p w14:paraId="3377540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Align w:val="center"/>
          </w:tcPr>
          <w:p w14:paraId="73608F3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54140C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B4D1AB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5CF916C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150178E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5FFF61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2A7E100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3" w:type="pct"/>
            <w:vAlign w:val="center"/>
          </w:tcPr>
          <w:p w14:paraId="5C25EB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701BC07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2" w:type="pct"/>
            <w:vAlign w:val="center"/>
          </w:tcPr>
          <w:p w14:paraId="0D969D0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721F93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461D480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677" w:type="pct"/>
            <w:vAlign w:val="center"/>
          </w:tcPr>
          <w:p w14:paraId="1D6944D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865" w:type="pct"/>
            <w:vAlign w:val="center"/>
          </w:tcPr>
          <w:p w14:paraId="1C4700EC">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bidi="ar-SA"/>
              </w:rPr>
            </w:pPr>
          </w:p>
        </w:tc>
        <w:tc>
          <w:tcPr>
            <w:tcW w:w="327" w:type="pct"/>
            <w:vAlign w:val="center"/>
          </w:tcPr>
          <w:p w14:paraId="3E4577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064AAAC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31" w:type="pct"/>
            <w:vAlign w:val="center"/>
          </w:tcPr>
          <w:p w14:paraId="7D122D3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6" w:type="pct"/>
            <w:vAlign w:val="center"/>
          </w:tcPr>
          <w:p w14:paraId="1168632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152E022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57" w:type="pct"/>
            <w:vAlign w:val="center"/>
          </w:tcPr>
          <w:p w14:paraId="2409BEE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43" w:type="pct"/>
            <w:vAlign w:val="center"/>
          </w:tcPr>
          <w:p w14:paraId="5248DEA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2F1588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2" w:type="pct"/>
            <w:vAlign w:val="center"/>
          </w:tcPr>
          <w:p w14:paraId="2448617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6791B9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7AAACE4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7" w:type="pct"/>
            <w:vAlign w:val="center"/>
          </w:tcPr>
          <w:p w14:paraId="4CC1B3D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5" w:type="pct"/>
            <w:vAlign w:val="center"/>
          </w:tcPr>
          <w:p w14:paraId="7F960B9C">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1C50388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7F45BB3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00CF457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1A5212C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03B94E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3B5180F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3" w:type="pct"/>
            <w:vAlign w:val="center"/>
          </w:tcPr>
          <w:p w14:paraId="14B4B8FF">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3</w:t>
            </w:r>
          </w:p>
        </w:tc>
        <w:tc>
          <w:tcPr>
            <w:tcW w:w="342" w:type="pct"/>
            <w:vAlign w:val="center"/>
          </w:tcPr>
          <w:p w14:paraId="79782C32">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40</w:t>
            </w:r>
          </w:p>
        </w:tc>
        <w:tc>
          <w:tcPr>
            <w:tcW w:w="382" w:type="pct"/>
            <w:vAlign w:val="center"/>
          </w:tcPr>
          <w:p w14:paraId="746EB99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59A7B7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26948E4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6E278048">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r>
              <w:rPr>
                <w:rFonts w:hint="eastAsia" w:ascii="Times New Roman" w:hAnsi="Times New Roman" w:cs="Times New Roman"/>
                <w:color w:val="auto"/>
                <w:kern w:val="21"/>
                <w:sz w:val="18"/>
                <w:szCs w:val="18"/>
                <w:highlight w:val="none"/>
                <w:lang w:val="en-US" w:eastAsia="zh-CN"/>
              </w:rPr>
              <w:t>蒲公英</w:t>
            </w:r>
          </w:p>
        </w:tc>
        <w:tc>
          <w:tcPr>
            <w:tcW w:w="865" w:type="pct"/>
            <w:vAlign w:val="center"/>
          </w:tcPr>
          <w:p w14:paraId="6D5DDF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Taraxacum officinale</w:t>
            </w:r>
          </w:p>
        </w:tc>
        <w:tc>
          <w:tcPr>
            <w:tcW w:w="327" w:type="pct"/>
            <w:vAlign w:val="center"/>
          </w:tcPr>
          <w:p w14:paraId="58E4FCE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E14AEE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1" w:type="pct"/>
            <w:vAlign w:val="center"/>
          </w:tcPr>
          <w:p w14:paraId="7103D3F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6D766A8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2684B2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56C5685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3" w:type="pct"/>
            <w:vAlign w:val="center"/>
          </w:tcPr>
          <w:p w14:paraId="73D2156E">
            <w:pPr>
              <w:autoSpaceDE/>
              <w:autoSpaceDN/>
              <w:adjustRightInd w:val="0"/>
              <w:snapToGrid w:val="0"/>
              <w:ind w:left="0" w:leftChars="0" w:firstLine="0" w:firstLineChars="0"/>
              <w:jc w:val="center"/>
              <w:rPr>
                <w:rFonts w:hint="default"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4</w:t>
            </w:r>
          </w:p>
        </w:tc>
        <w:tc>
          <w:tcPr>
            <w:tcW w:w="342" w:type="pct"/>
            <w:vAlign w:val="center"/>
          </w:tcPr>
          <w:p w14:paraId="2C3023D1">
            <w:pPr>
              <w:autoSpaceDE/>
              <w:autoSpaceDN/>
              <w:adjustRightInd w:val="0"/>
              <w:snapToGrid w:val="0"/>
              <w:ind w:left="0" w:leftChars="0" w:firstLine="0" w:firstLineChars="0"/>
              <w:jc w:val="center"/>
              <w:rPr>
                <w:rFonts w:hint="default"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5</w:t>
            </w:r>
          </w:p>
        </w:tc>
        <w:tc>
          <w:tcPr>
            <w:tcW w:w="382" w:type="pct"/>
            <w:vAlign w:val="center"/>
          </w:tcPr>
          <w:p w14:paraId="2AEF8BA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08E1138E">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hint="eastAsia" w:ascii="Times New Roman" w:hAnsi="Times New Roman" w:cs="Times New Roman"/>
          <w:b/>
          <w:color w:val="auto"/>
          <w:kern w:val="21"/>
          <w:sz w:val="21"/>
          <w:szCs w:val="21"/>
          <w:highlight w:val="none"/>
          <w:lang w:val="en-US" w:eastAsia="zh-CN"/>
        </w:rPr>
        <w:t>8</w:t>
      </w:r>
      <w:r>
        <w:rPr>
          <w:rFonts w:ascii="Times New Roman" w:hAnsi="Times New Roman" w:cs="Times New Roman"/>
          <w:b/>
          <w:color w:val="auto"/>
          <w:kern w:val="21"/>
          <w:sz w:val="21"/>
          <w:szCs w:val="21"/>
          <w:highlight w:val="none"/>
          <w:lang w:val="en-US"/>
        </w:rPr>
        <w:t>#植被样方调查表</w:t>
      </w:r>
    </w:p>
    <w:tbl>
      <w:tblPr>
        <w:tblStyle w:val="47"/>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3"/>
        <w:gridCol w:w="1512"/>
        <w:gridCol w:w="572"/>
        <w:gridCol w:w="572"/>
        <w:gridCol w:w="580"/>
        <w:gridCol w:w="570"/>
        <w:gridCol w:w="572"/>
        <w:gridCol w:w="625"/>
        <w:gridCol w:w="599"/>
        <w:gridCol w:w="598"/>
        <w:gridCol w:w="676"/>
      </w:tblGrid>
      <w:tr w14:paraId="6F2558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restart"/>
            <w:vAlign w:val="center"/>
          </w:tcPr>
          <w:p w14:paraId="3B943040">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2028825" cy="1521460"/>
                  <wp:effectExtent l="0" t="0" r="9525" b="2540"/>
                  <wp:docPr id="90" name="图片 90" descr="362bc059db38f2be38774be1ba85a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362bc059db38f2be38774be1ba85a51f"/>
                          <pic:cNvPicPr>
                            <a:picLocks noChangeAspect="1"/>
                          </pic:cNvPicPr>
                        </pic:nvPicPr>
                        <pic:blipFill>
                          <a:blip r:embed="rId60"/>
                          <a:stretch>
                            <a:fillRect/>
                          </a:stretch>
                        </pic:blipFill>
                        <pic:spPr>
                          <a:xfrm>
                            <a:off x="0" y="0"/>
                            <a:ext cx="2028825" cy="1521460"/>
                          </a:xfrm>
                          <a:prstGeom prst="rect">
                            <a:avLst/>
                          </a:prstGeom>
                        </pic:spPr>
                      </pic:pic>
                    </a:graphicData>
                  </a:graphic>
                </wp:inline>
              </w:drawing>
            </w:r>
          </w:p>
        </w:tc>
        <w:tc>
          <w:tcPr>
            <w:tcW w:w="3069" w:type="pct"/>
            <w:gridSpan w:val="9"/>
            <w:vAlign w:val="center"/>
          </w:tcPr>
          <w:p w14:paraId="726846C2">
            <w:pPr>
              <w:autoSpaceDE/>
              <w:autoSpaceDN/>
              <w:adjustRightInd w:val="0"/>
              <w:snapToGrid w:val="0"/>
              <w:ind w:left="0" w:leftChars="0" w:firstLine="0" w:firstLineChars="0"/>
              <w:rPr>
                <w:rFonts w:hint="eastAsia" w:ascii="Times New Roman" w:hAnsi="Times New Roman" w:eastAsia="宋体" w:cs="Times New Roman"/>
                <w:color w:val="auto"/>
                <w:kern w:val="21"/>
                <w:sz w:val="18"/>
                <w:szCs w:val="18"/>
                <w:highlight w:val="none"/>
                <w:lang w:eastAsia="zh-CN"/>
              </w:rPr>
            </w:pPr>
            <w:r>
              <w:rPr>
                <w:rFonts w:ascii="Times New Roman" w:hAnsi="Times New Roman" w:cs="Times New Roman"/>
                <w:color w:val="auto"/>
                <w:kern w:val="21"/>
                <w:sz w:val="18"/>
                <w:szCs w:val="18"/>
                <w:highlight w:val="none"/>
                <w:lang w:val="en-US"/>
              </w:rPr>
              <w:t>名称：</w:t>
            </w:r>
            <w:r>
              <w:rPr>
                <w:rFonts w:hint="eastAsia" w:ascii="Times New Roman" w:hAnsi="Times New Roman" w:cs="Times New Roman"/>
                <w:color w:val="auto"/>
                <w:kern w:val="21"/>
                <w:sz w:val="18"/>
                <w:szCs w:val="18"/>
                <w:highlight w:val="none"/>
                <w:lang w:val="en-US" w:eastAsia="zh-CN" w:bidi="ar-SA"/>
              </w:rPr>
              <w:t>苔草</w:t>
            </w:r>
          </w:p>
        </w:tc>
      </w:tr>
      <w:tr w14:paraId="3FFA56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1B3735D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762C1848">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bidi="ar"/>
              </w:rPr>
              <w:t>场区</w:t>
            </w:r>
            <w:r>
              <w:rPr>
                <w:rFonts w:ascii="Times New Roman" w:hAnsi="Times New Roman" w:cs="Times New Roman"/>
                <w:color w:val="auto"/>
                <w:kern w:val="21"/>
                <w:sz w:val="18"/>
                <w:szCs w:val="18"/>
                <w:highlight w:val="none"/>
                <w:lang w:val="en-US" w:bidi="ar"/>
              </w:rPr>
              <w:t>东侧</w:t>
            </w:r>
          </w:p>
        </w:tc>
      </w:tr>
      <w:tr w14:paraId="2730AA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37218B2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649CDD46">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 xml:space="preserve">E </w:t>
            </w:r>
            <w:r>
              <w:rPr>
                <w:rFonts w:ascii="Times New Roman" w:hAnsi="Times New Roman" w:cs="Times New Roman"/>
                <w:color w:val="auto"/>
                <w:kern w:val="21"/>
                <w:sz w:val="18"/>
                <w:szCs w:val="18"/>
                <w:highlight w:val="none"/>
                <w:lang w:val="en-US" w:bidi="ar"/>
              </w:rPr>
              <w:t>127°20'25.0956"，N 49°28'44.7791"</w:t>
            </w:r>
          </w:p>
        </w:tc>
      </w:tr>
      <w:tr w14:paraId="462C7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0CF46D5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4BC83423">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249 m</w:t>
            </w:r>
          </w:p>
        </w:tc>
      </w:tr>
      <w:tr w14:paraId="7364C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1D73F24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7" w:type="pct"/>
            <w:vMerge w:val="restart"/>
            <w:vAlign w:val="center"/>
          </w:tcPr>
          <w:p w14:paraId="4488C8A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5" w:type="pct"/>
            <w:vMerge w:val="restart"/>
            <w:vAlign w:val="center"/>
          </w:tcPr>
          <w:p w14:paraId="065AF49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6" w:type="pct"/>
            <w:gridSpan w:val="3"/>
            <w:vAlign w:val="center"/>
          </w:tcPr>
          <w:p w14:paraId="54511BC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0C8E2E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71" w:type="pct"/>
            <w:gridSpan w:val="3"/>
            <w:vAlign w:val="center"/>
          </w:tcPr>
          <w:p w14:paraId="7B33F8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129A8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2674FF1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Merge w:val="continue"/>
            <w:vAlign w:val="center"/>
          </w:tcPr>
          <w:p w14:paraId="2F21BF2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Merge w:val="continue"/>
            <w:vAlign w:val="center"/>
          </w:tcPr>
          <w:p w14:paraId="0072B7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418AA7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48BFF69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4FFD4DE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6" w:type="pct"/>
            <w:vAlign w:val="center"/>
          </w:tcPr>
          <w:p w14:paraId="37250F4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3559CF1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5A3056A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42" w:type="pct"/>
            <w:vAlign w:val="center"/>
          </w:tcPr>
          <w:p w14:paraId="1538C7F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42" w:type="pct"/>
            <w:vAlign w:val="center"/>
          </w:tcPr>
          <w:p w14:paraId="35E7FD9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86" w:type="pct"/>
            <w:vAlign w:val="center"/>
          </w:tcPr>
          <w:p w14:paraId="4C8690D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610AE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3416060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7" w:type="pct"/>
            <w:vAlign w:val="center"/>
          </w:tcPr>
          <w:p w14:paraId="4EAF819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Align w:val="center"/>
          </w:tcPr>
          <w:p w14:paraId="480C06D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C3BE77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DCA31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23CC8BA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69EAE10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45C694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2335AD8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52ECE7F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699E796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6" w:type="pct"/>
            <w:vAlign w:val="center"/>
          </w:tcPr>
          <w:p w14:paraId="5DEF0CA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175EA9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0E7CEFA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677" w:type="pct"/>
            <w:vAlign w:val="center"/>
          </w:tcPr>
          <w:p w14:paraId="5302FE1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865" w:type="pct"/>
            <w:vAlign w:val="center"/>
          </w:tcPr>
          <w:p w14:paraId="48C9D9DC">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bidi="ar-SA"/>
              </w:rPr>
            </w:pPr>
          </w:p>
        </w:tc>
        <w:tc>
          <w:tcPr>
            <w:tcW w:w="327" w:type="pct"/>
            <w:vAlign w:val="center"/>
          </w:tcPr>
          <w:p w14:paraId="5A04C7E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518FBD5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32" w:type="pct"/>
            <w:vAlign w:val="center"/>
          </w:tcPr>
          <w:p w14:paraId="5CB76C9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6" w:type="pct"/>
            <w:vAlign w:val="center"/>
          </w:tcPr>
          <w:p w14:paraId="7F49799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090F04F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57" w:type="pct"/>
            <w:vAlign w:val="center"/>
          </w:tcPr>
          <w:p w14:paraId="3F7C948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42" w:type="pct"/>
            <w:vAlign w:val="center"/>
          </w:tcPr>
          <w:p w14:paraId="3DC1DB0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42" w:type="pct"/>
            <w:vAlign w:val="center"/>
          </w:tcPr>
          <w:p w14:paraId="1547C7B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86" w:type="pct"/>
            <w:vAlign w:val="center"/>
          </w:tcPr>
          <w:p w14:paraId="1988489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4C9864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0E8750A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7" w:type="pct"/>
            <w:vAlign w:val="center"/>
          </w:tcPr>
          <w:p w14:paraId="127CBCA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5" w:type="pct"/>
            <w:vAlign w:val="center"/>
          </w:tcPr>
          <w:p w14:paraId="664CD5A5">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2634050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629A3EB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1AB667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72C70C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6DB315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4A30E40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30351CA1">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7</w:t>
            </w:r>
          </w:p>
        </w:tc>
        <w:tc>
          <w:tcPr>
            <w:tcW w:w="342" w:type="pct"/>
            <w:vAlign w:val="center"/>
          </w:tcPr>
          <w:p w14:paraId="3879448F">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35</w:t>
            </w:r>
          </w:p>
        </w:tc>
        <w:tc>
          <w:tcPr>
            <w:tcW w:w="386" w:type="pct"/>
            <w:vAlign w:val="center"/>
          </w:tcPr>
          <w:p w14:paraId="50F9BBF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Cop1</w:t>
            </w:r>
          </w:p>
        </w:tc>
      </w:tr>
      <w:tr w14:paraId="630F06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54EE84F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7" w:type="pct"/>
            <w:vAlign w:val="center"/>
          </w:tcPr>
          <w:p w14:paraId="593F734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rPr>
            </w:pPr>
            <w:r>
              <w:rPr>
                <w:rFonts w:ascii="Times New Roman" w:hAnsi="Times New Roman" w:cs="Times New Roman"/>
                <w:color w:val="auto"/>
                <w:kern w:val="21"/>
                <w:sz w:val="18"/>
                <w:szCs w:val="18"/>
                <w:highlight w:val="none"/>
                <w:lang w:val="en-US"/>
              </w:rPr>
              <w:t>苔草</w:t>
            </w:r>
          </w:p>
        </w:tc>
        <w:tc>
          <w:tcPr>
            <w:tcW w:w="865" w:type="pct"/>
            <w:vAlign w:val="center"/>
          </w:tcPr>
          <w:p w14:paraId="588FB158">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6B670F5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56330C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2FBD640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3CA1F9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2E853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494AE74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0200BF2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6</w:t>
            </w:r>
          </w:p>
        </w:tc>
        <w:tc>
          <w:tcPr>
            <w:tcW w:w="342" w:type="pct"/>
            <w:vAlign w:val="center"/>
          </w:tcPr>
          <w:p w14:paraId="6520E446">
            <w:pPr>
              <w:autoSpaceDE/>
              <w:autoSpaceDN/>
              <w:adjustRightInd w:val="0"/>
              <w:snapToGrid w:val="0"/>
              <w:ind w:left="0" w:leftChars="0" w:firstLine="0" w:firstLineChars="0"/>
              <w:jc w:val="center"/>
              <w:rPr>
                <w:rFonts w:hint="default"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15</w:t>
            </w:r>
          </w:p>
        </w:tc>
        <w:tc>
          <w:tcPr>
            <w:tcW w:w="386" w:type="pct"/>
            <w:vAlign w:val="center"/>
          </w:tcPr>
          <w:p w14:paraId="6C14365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054BD569">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hint="eastAsia" w:ascii="Times New Roman" w:hAnsi="Times New Roman" w:cs="Times New Roman"/>
          <w:b/>
          <w:color w:val="auto"/>
          <w:kern w:val="21"/>
          <w:sz w:val="21"/>
          <w:szCs w:val="21"/>
          <w:highlight w:val="none"/>
          <w:lang w:val="en-US" w:eastAsia="zh-CN"/>
        </w:rPr>
        <w:t>9</w:t>
      </w:r>
      <w:r>
        <w:rPr>
          <w:rFonts w:ascii="Times New Roman" w:hAnsi="Times New Roman" w:cs="Times New Roman"/>
          <w:b/>
          <w:color w:val="auto"/>
          <w:kern w:val="21"/>
          <w:sz w:val="21"/>
          <w:szCs w:val="21"/>
          <w:highlight w:val="none"/>
          <w:lang w:val="en-US"/>
        </w:rPr>
        <w:t>#植被样方调查表</w:t>
      </w:r>
    </w:p>
    <w:tbl>
      <w:tblPr>
        <w:tblStyle w:val="47"/>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82"/>
        <w:gridCol w:w="1513"/>
        <w:gridCol w:w="572"/>
        <w:gridCol w:w="572"/>
        <w:gridCol w:w="580"/>
        <w:gridCol w:w="570"/>
        <w:gridCol w:w="572"/>
        <w:gridCol w:w="625"/>
        <w:gridCol w:w="599"/>
        <w:gridCol w:w="598"/>
        <w:gridCol w:w="676"/>
      </w:tblGrid>
      <w:tr w14:paraId="7F5E20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restart"/>
            <w:vAlign w:val="center"/>
          </w:tcPr>
          <w:p w14:paraId="6EA52BFB">
            <w:pPr>
              <w:autoSpaceDE/>
              <w:autoSpaceDN/>
              <w:adjustRightInd w:val="0"/>
              <w:snapToGrid w:val="0"/>
              <w:ind w:left="0" w:leftChars="0" w:firstLine="0" w:firstLineChars="0"/>
              <w:jc w:val="both"/>
              <w:rPr>
                <w:rFonts w:hint="eastAsia" w:ascii="Times New Roman" w:hAnsi="Times New Roman" w:eastAsia="宋体" w:cs="Times New Roman"/>
                <w:color w:val="auto"/>
                <w:kern w:val="21"/>
                <w:sz w:val="18"/>
                <w:szCs w:val="18"/>
                <w:highlight w:val="none"/>
                <w:lang w:val="en-US" w:eastAsia="zh-CN"/>
              </w:rPr>
            </w:pPr>
            <w:r>
              <w:rPr>
                <w:rFonts w:hint="eastAsia" w:ascii="Times New Roman" w:hAnsi="Times New Roman" w:eastAsia="宋体" w:cs="Times New Roman"/>
                <w:color w:val="auto"/>
                <w:kern w:val="21"/>
                <w:sz w:val="18"/>
                <w:szCs w:val="18"/>
                <w:highlight w:val="none"/>
                <w:lang w:val="en-US" w:eastAsia="zh-CN"/>
              </w:rPr>
              <w:drawing>
                <wp:inline distT="0" distB="0" distL="114300" distR="114300">
                  <wp:extent cx="2028825" cy="1513840"/>
                  <wp:effectExtent l="0" t="0" r="9525" b="10160"/>
                  <wp:docPr id="91" name="图片 91" descr="94d6799a7ab833551e199ea36e34d3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94d6799a7ab833551e199ea36e34d3b4"/>
                          <pic:cNvPicPr>
                            <a:picLocks noChangeAspect="1"/>
                          </pic:cNvPicPr>
                        </pic:nvPicPr>
                        <pic:blipFill>
                          <a:blip r:embed="rId61"/>
                          <a:srcRect t="23748"/>
                          <a:stretch>
                            <a:fillRect/>
                          </a:stretch>
                        </pic:blipFill>
                        <pic:spPr>
                          <a:xfrm>
                            <a:off x="0" y="0"/>
                            <a:ext cx="2028825" cy="1513840"/>
                          </a:xfrm>
                          <a:prstGeom prst="rect">
                            <a:avLst/>
                          </a:prstGeom>
                        </pic:spPr>
                      </pic:pic>
                    </a:graphicData>
                  </a:graphic>
                </wp:inline>
              </w:drawing>
            </w:r>
          </w:p>
        </w:tc>
        <w:tc>
          <w:tcPr>
            <w:tcW w:w="3069" w:type="pct"/>
            <w:gridSpan w:val="9"/>
            <w:vAlign w:val="center"/>
          </w:tcPr>
          <w:p w14:paraId="08BFF849">
            <w:pPr>
              <w:autoSpaceDE/>
              <w:autoSpaceDN/>
              <w:adjustRightInd w:val="0"/>
              <w:snapToGrid w:val="0"/>
              <w:ind w:left="0" w:leftChars="0" w:firstLine="0" w:firstLineChars="0"/>
              <w:rPr>
                <w:rFonts w:hint="default" w:ascii="Times New Roman" w:hAnsi="Times New Roman" w:eastAsia="宋体" w:cs="Times New Roman"/>
                <w:color w:val="auto"/>
                <w:kern w:val="21"/>
                <w:sz w:val="18"/>
                <w:szCs w:val="18"/>
                <w:highlight w:val="none"/>
                <w:lang w:val="en-US" w:eastAsia="zh-CN"/>
              </w:rPr>
            </w:pPr>
            <w:r>
              <w:rPr>
                <w:rFonts w:ascii="Times New Roman" w:hAnsi="Times New Roman" w:cs="Times New Roman"/>
                <w:color w:val="auto"/>
                <w:kern w:val="21"/>
                <w:sz w:val="18"/>
                <w:szCs w:val="18"/>
                <w:highlight w:val="none"/>
                <w:lang w:val="en-US"/>
              </w:rPr>
              <w:t>名称：</w:t>
            </w:r>
            <w:r>
              <w:rPr>
                <w:rFonts w:ascii="Times New Roman" w:hAnsi="Times New Roman" w:cs="Times New Roman"/>
                <w:color w:val="auto"/>
                <w:kern w:val="21"/>
                <w:sz w:val="18"/>
                <w:szCs w:val="18"/>
                <w:highlight w:val="none"/>
                <w:lang w:val="en-US" w:bidi="ar-SA"/>
              </w:rPr>
              <w:t>羊草</w:t>
            </w:r>
            <w:r>
              <w:rPr>
                <w:rFonts w:hint="eastAsia" w:ascii="Times New Roman" w:hAnsi="Times New Roman" w:cs="Times New Roman"/>
                <w:color w:val="auto"/>
                <w:kern w:val="21"/>
                <w:sz w:val="18"/>
                <w:szCs w:val="18"/>
                <w:highlight w:val="none"/>
                <w:lang w:val="en-US" w:eastAsia="zh-CN" w:bidi="ar-SA"/>
              </w:rPr>
              <w:t>、苔草</w:t>
            </w:r>
          </w:p>
        </w:tc>
      </w:tr>
      <w:tr w14:paraId="35165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455B7C9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49DAC3A9">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地点：</w:t>
            </w:r>
            <w:r>
              <w:rPr>
                <w:rFonts w:hint="eastAsia" w:ascii="Times New Roman" w:hAnsi="Times New Roman" w:cs="Times New Roman"/>
                <w:color w:val="auto"/>
                <w:kern w:val="21"/>
                <w:sz w:val="18"/>
                <w:szCs w:val="18"/>
                <w:highlight w:val="none"/>
                <w:lang w:val="en-US" w:eastAsia="zh-CN" w:bidi="ar"/>
              </w:rPr>
              <w:t>场区</w:t>
            </w:r>
            <w:r>
              <w:rPr>
                <w:rFonts w:ascii="Times New Roman" w:hAnsi="Times New Roman" w:cs="Times New Roman"/>
                <w:color w:val="auto"/>
                <w:kern w:val="21"/>
                <w:sz w:val="18"/>
                <w:szCs w:val="18"/>
                <w:highlight w:val="none"/>
                <w:lang w:val="en-US" w:bidi="ar"/>
              </w:rPr>
              <w:t>东南</w:t>
            </w:r>
          </w:p>
        </w:tc>
      </w:tr>
      <w:tr w14:paraId="6B91F0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4BED705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546D231D">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经纬度：</w:t>
            </w:r>
            <w:r>
              <w:rPr>
                <w:rFonts w:ascii="Times New Roman" w:hAnsi="Times New Roman" w:cs="Times New Roman"/>
                <w:color w:val="auto"/>
                <w:kern w:val="21"/>
                <w:sz w:val="18"/>
                <w:szCs w:val="18"/>
                <w:highlight w:val="none"/>
                <w:lang w:val="en-US"/>
              </w:rPr>
              <w:t xml:space="preserve">E </w:t>
            </w:r>
            <w:r>
              <w:rPr>
                <w:rFonts w:ascii="Times New Roman" w:hAnsi="Times New Roman" w:cs="Times New Roman"/>
                <w:color w:val="auto"/>
                <w:kern w:val="21"/>
                <w:sz w:val="18"/>
                <w:szCs w:val="18"/>
                <w:highlight w:val="none"/>
                <w:lang w:val="en-US" w:bidi="ar"/>
              </w:rPr>
              <w:t>127°20'16.9949"，N 49°28'38.7170"</w:t>
            </w:r>
          </w:p>
        </w:tc>
      </w:tr>
      <w:tr w14:paraId="466546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930" w:type="pct"/>
            <w:gridSpan w:val="3"/>
            <w:vMerge w:val="continue"/>
            <w:vAlign w:val="center"/>
          </w:tcPr>
          <w:p w14:paraId="339C813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069" w:type="pct"/>
            <w:gridSpan w:val="9"/>
            <w:vAlign w:val="center"/>
          </w:tcPr>
          <w:p w14:paraId="5CA1F23E">
            <w:pPr>
              <w:autoSpaceDE/>
              <w:autoSpaceDN/>
              <w:adjustRightInd w:val="0"/>
              <w:snapToGrid w:val="0"/>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rPr>
              <w:t>海拔：</w:t>
            </w:r>
            <w:r>
              <w:rPr>
                <w:rFonts w:ascii="Times New Roman" w:hAnsi="Times New Roman" w:cs="Times New Roman"/>
                <w:color w:val="auto"/>
                <w:kern w:val="21"/>
                <w:sz w:val="18"/>
                <w:szCs w:val="18"/>
                <w:highlight w:val="none"/>
                <w:lang w:val="en-US"/>
              </w:rPr>
              <w:t>258 m</w:t>
            </w:r>
          </w:p>
        </w:tc>
      </w:tr>
      <w:tr w14:paraId="06199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388" w:type="pct"/>
            <w:vMerge w:val="restart"/>
            <w:vAlign w:val="center"/>
          </w:tcPr>
          <w:p w14:paraId="4B7A592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样方类型</w:t>
            </w:r>
          </w:p>
        </w:tc>
        <w:tc>
          <w:tcPr>
            <w:tcW w:w="676" w:type="pct"/>
            <w:vMerge w:val="restart"/>
            <w:vAlign w:val="center"/>
          </w:tcPr>
          <w:p w14:paraId="244BD58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中文名</w:t>
            </w:r>
          </w:p>
        </w:tc>
        <w:tc>
          <w:tcPr>
            <w:tcW w:w="865" w:type="pct"/>
            <w:vMerge w:val="restart"/>
            <w:vAlign w:val="center"/>
          </w:tcPr>
          <w:p w14:paraId="61F44A7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拉丁名</w:t>
            </w:r>
          </w:p>
        </w:tc>
        <w:tc>
          <w:tcPr>
            <w:tcW w:w="986" w:type="pct"/>
            <w:gridSpan w:val="3"/>
            <w:vAlign w:val="center"/>
          </w:tcPr>
          <w:p w14:paraId="463A0C3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乔木层</w:t>
            </w:r>
          </w:p>
        </w:tc>
        <w:tc>
          <w:tcPr>
            <w:tcW w:w="1011" w:type="pct"/>
            <w:gridSpan w:val="3"/>
            <w:vAlign w:val="center"/>
          </w:tcPr>
          <w:p w14:paraId="4A1B7F7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灌木层</w:t>
            </w:r>
          </w:p>
        </w:tc>
        <w:tc>
          <w:tcPr>
            <w:tcW w:w="1071" w:type="pct"/>
            <w:gridSpan w:val="3"/>
            <w:vAlign w:val="center"/>
          </w:tcPr>
          <w:p w14:paraId="25E3D7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草本层</w:t>
            </w:r>
          </w:p>
        </w:tc>
      </w:tr>
      <w:tr w14:paraId="67EAA7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388" w:type="pct"/>
            <w:vMerge w:val="continue"/>
            <w:vAlign w:val="center"/>
          </w:tcPr>
          <w:p w14:paraId="40A00FF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Merge w:val="continue"/>
            <w:vAlign w:val="center"/>
          </w:tcPr>
          <w:p w14:paraId="4F41AB1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Merge w:val="continue"/>
            <w:vAlign w:val="center"/>
          </w:tcPr>
          <w:p w14:paraId="11B75A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5A236E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14C3052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高度(m)</w:t>
            </w:r>
          </w:p>
        </w:tc>
        <w:tc>
          <w:tcPr>
            <w:tcW w:w="332" w:type="pct"/>
            <w:vAlign w:val="center"/>
          </w:tcPr>
          <w:p w14:paraId="456741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平均胸径(cm)</w:t>
            </w:r>
          </w:p>
        </w:tc>
        <w:tc>
          <w:tcPr>
            <w:tcW w:w="326" w:type="pct"/>
            <w:vAlign w:val="center"/>
          </w:tcPr>
          <w:p w14:paraId="3343A53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株数(株)</w:t>
            </w:r>
          </w:p>
        </w:tc>
        <w:tc>
          <w:tcPr>
            <w:tcW w:w="327" w:type="pct"/>
            <w:vAlign w:val="center"/>
          </w:tcPr>
          <w:p w14:paraId="74D49D1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57" w:type="pct"/>
            <w:vAlign w:val="center"/>
          </w:tcPr>
          <w:p w14:paraId="05C050E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平均冠幅(m)</w:t>
            </w:r>
          </w:p>
        </w:tc>
        <w:tc>
          <w:tcPr>
            <w:tcW w:w="342" w:type="pct"/>
            <w:vAlign w:val="center"/>
          </w:tcPr>
          <w:p w14:paraId="1001016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高度(cm)</w:t>
            </w:r>
          </w:p>
        </w:tc>
        <w:tc>
          <w:tcPr>
            <w:tcW w:w="342" w:type="pct"/>
            <w:vAlign w:val="center"/>
          </w:tcPr>
          <w:p w14:paraId="7739C58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盖度(%)</w:t>
            </w:r>
          </w:p>
        </w:tc>
        <w:tc>
          <w:tcPr>
            <w:tcW w:w="386" w:type="pct"/>
            <w:vAlign w:val="center"/>
          </w:tcPr>
          <w:p w14:paraId="61B777B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多度</w:t>
            </w:r>
          </w:p>
        </w:tc>
      </w:tr>
      <w:tr w14:paraId="6F338E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09A0DFD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林地</w:t>
            </w:r>
          </w:p>
        </w:tc>
        <w:tc>
          <w:tcPr>
            <w:tcW w:w="676" w:type="pct"/>
            <w:vAlign w:val="center"/>
          </w:tcPr>
          <w:p w14:paraId="4B1A90D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65" w:type="pct"/>
            <w:vAlign w:val="center"/>
          </w:tcPr>
          <w:p w14:paraId="544B15A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59687A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254F090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309B103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364CC69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51C6DA2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6D24345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47C2C24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4566A14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6" w:type="pct"/>
            <w:vAlign w:val="center"/>
          </w:tcPr>
          <w:p w14:paraId="48BFBB1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76E8E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Align w:val="center"/>
          </w:tcPr>
          <w:p w14:paraId="01F92DD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灌木</w:t>
            </w:r>
          </w:p>
        </w:tc>
        <w:tc>
          <w:tcPr>
            <w:tcW w:w="676" w:type="pct"/>
            <w:vAlign w:val="center"/>
          </w:tcPr>
          <w:p w14:paraId="68D4976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865" w:type="pct"/>
            <w:vAlign w:val="center"/>
          </w:tcPr>
          <w:p w14:paraId="2B52A35B">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bidi="ar-SA"/>
              </w:rPr>
            </w:pPr>
          </w:p>
        </w:tc>
        <w:tc>
          <w:tcPr>
            <w:tcW w:w="327" w:type="pct"/>
            <w:vAlign w:val="center"/>
          </w:tcPr>
          <w:p w14:paraId="6BF654B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427EF40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32" w:type="pct"/>
            <w:vAlign w:val="center"/>
          </w:tcPr>
          <w:p w14:paraId="23E786D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6" w:type="pct"/>
            <w:vAlign w:val="center"/>
          </w:tcPr>
          <w:p w14:paraId="17D4C5F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27" w:type="pct"/>
            <w:vAlign w:val="center"/>
          </w:tcPr>
          <w:p w14:paraId="17491F0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57" w:type="pct"/>
            <w:vAlign w:val="center"/>
          </w:tcPr>
          <w:p w14:paraId="15285E2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342" w:type="pct"/>
            <w:vAlign w:val="center"/>
          </w:tcPr>
          <w:p w14:paraId="349C757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420FE52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86" w:type="pct"/>
            <w:vAlign w:val="center"/>
          </w:tcPr>
          <w:p w14:paraId="18E69B0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37CF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restart"/>
            <w:vAlign w:val="center"/>
          </w:tcPr>
          <w:p w14:paraId="0BD70B1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草地</w:t>
            </w:r>
          </w:p>
        </w:tc>
        <w:tc>
          <w:tcPr>
            <w:tcW w:w="676" w:type="pct"/>
            <w:vAlign w:val="center"/>
          </w:tcPr>
          <w:p w14:paraId="3DA0D9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羊草</w:t>
            </w:r>
          </w:p>
        </w:tc>
        <w:tc>
          <w:tcPr>
            <w:tcW w:w="865" w:type="pct"/>
            <w:vAlign w:val="center"/>
          </w:tcPr>
          <w:p w14:paraId="393B9B84">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Leymus chinensis</w:t>
            </w:r>
            <w:r>
              <w:rPr>
                <w:rFonts w:ascii="Times New Roman" w:hAnsi="Times New Roman" w:cs="Times New Roman"/>
                <w:color w:val="auto"/>
                <w:kern w:val="21"/>
                <w:sz w:val="18"/>
                <w:szCs w:val="18"/>
                <w:highlight w:val="none"/>
                <w:lang w:val="en-US"/>
              </w:rPr>
              <w:t>(Trin. ex Bunge) Tzvelev</w:t>
            </w:r>
          </w:p>
        </w:tc>
        <w:tc>
          <w:tcPr>
            <w:tcW w:w="327" w:type="pct"/>
            <w:vAlign w:val="center"/>
          </w:tcPr>
          <w:p w14:paraId="72FB560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8DCF73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6B8FBA5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7E7CF39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344F75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38279BA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0806F79E">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8</w:t>
            </w:r>
          </w:p>
        </w:tc>
        <w:tc>
          <w:tcPr>
            <w:tcW w:w="342" w:type="pct"/>
            <w:vAlign w:val="center"/>
          </w:tcPr>
          <w:p w14:paraId="0487D00C">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45</w:t>
            </w:r>
          </w:p>
        </w:tc>
        <w:tc>
          <w:tcPr>
            <w:tcW w:w="386" w:type="pct"/>
            <w:vAlign w:val="center"/>
          </w:tcPr>
          <w:p w14:paraId="3E52BDA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3A3159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40E7275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11DE298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苔草</w:t>
            </w:r>
          </w:p>
        </w:tc>
        <w:tc>
          <w:tcPr>
            <w:tcW w:w="865" w:type="pct"/>
            <w:vAlign w:val="center"/>
          </w:tcPr>
          <w:p w14:paraId="05D24BE1">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rPr>
            </w:pPr>
            <w:r>
              <w:rPr>
                <w:rFonts w:ascii="Times New Roman" w:hAnsi="Times New Roman" w:cs="Times New Roman"/>
                <w:i/>
                <w:iCs/>
                <w:color w:val="auto"/>
                <w:kern w:val="21"/>
                <w:sz w:val="18"/>
                <w:szCs w:val="18"/>
                <w:highlight w:val="none"/>
                <w:lang w:val="en-US"/>
              </w:rPr>
              <w:t>Carex</w:t>
            </w:r>
            <w:r>
              <w:rPr>
                <w:rFonts w:ascii="Times New Roman" w:hAnsi="Times New Roman" w:cs="Times New Roman"/>
                <w:color w:val="auto"/>
                <w:kern w:val="21"/>
                <w:sz w:val="18"/>
                <w:szCs w:val="18"/>
                <w:highlight w:val="none"/>
                <w:lang w:val="en-US"/>
              </w:rPr>
              <w:t xml:space="preserve"> spp.</w:t>
            </w:r>
          </w:p>
        </w:tc>
        <w:tc>
          <w:tcPr>
            <w:tcW w:w="327" w:type="pct"/>
            <w:vAlign w:val="center"/>
          </w:tcPr>
          <w:p w14:paraId="3562F14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38DDDC6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76EC6F8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78C5F99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0EC2E45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73F6A93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5CF33DB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9</w:t>
            </w:r>
          </w:p>
        </w:tc>
        <w:tc>
          <w:tcPr>
            <w:tcW w:w="342" w:type="pct"/>
            <w:vAlign w:val="center"/>
          </w:tcPr>
          <w:p w14:paraId="1B6E02E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cs="Times New Roman"/>
                <w:color w:val="auto"/>
                <w:kern w:val="21"/>
                <w:sz w:val="18"/>
                <w:szCs w:val="18"/>
                <w:highlight w:val="none"/>
                <w:lang w:val="en-US" w:eastAsia="zh-CN"/>
              </w:rPr>
              <w:t>35</w:t>
            </w:r>
          </w:p>
        </w:tc>
        <w:tc>
          <w:tcPr>
            <w:tcW w:w="386" w:type="pct"/>
            <w:vAlign w:val="center"/>
          </w:tcPr>
          <w:p w14:paraId="2E9B480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r w14:paraId="6FD13D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88" w:type="pct"/>
            <w:vMerge w:val="continue"/>
            <w:vAlign w:val="center"/>
          </w:tcPr>
          <w:p w14:paraId="75D68BB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676" w:type="pct"/>
            <w:vAlign w:val="center"/>
          </w:tcPr>
          <w:p w14:paraId="3C98C7D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老鹳草</w:t>
            </w:r>
          </w:p>
        </w:tc>
        <w:tc>
          <w:tcPr>
            <w:tcW w:w="865" w:type="pct"/>
            <w:vAlign w:val="center"/>
          </w:tcPr>
          <w:p w14:paraId="1636343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eastAsia="zh-CN"/>
              </w:rPr>
              <w:t>Geranium wilfordii Maxim.</w:t>
            </w:r>
          </w:p>
        </w:tc>
        <w:tc>
          <w:tcPr>
            <w:tcW w:w="327" w:type="pct"/>
            <w:vAlign w:val="center"/>
          </w:tcPr>
          <w:p w14:paraId="543AB3C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46993CB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32" w:type="pct"/>
            <w:vAlign w:val="center"/>
          </w:tcPr>
          <w:p w14:paraId="57B0FA5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6" w:type="pct"/>
            <w:vAlign w:val="center"/>
          </w:tcPr>
          <w:p w14:paraId="6863B87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27" w:type="pct"/>
            <w:vAlign w:val="center"/>
          </w:tcPr>
          <w:p w14:paraId="19176A9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57" w:type="pct"/>
            <w:vAlign w:val="center"/>
          </w:tcPr>
          <w:p w14:paraId="495B9B1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342" w:type="pct"/>
            <w:vAlign w:val="center"/>
          </w:tcPr>
          <w:p w14:paraId="4BFD1036">
            <w:pPr>
              <w:autoSpaceDE/>
              <w:autoSpaceDN/>
              <w:adjustRightInd w:val="0"/>
              <w:snapToGrid w:val="0"/>
              <w:ind w:left="0" w:leftChars="0" w:firstLine="0" w:firstLineChars="0"/>
              <w:jc w:val="center"/>
              <w:rPr>
                <w:rFonts w:hint="default"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6</w:t>
            </w:r>
          </w:p>
        </w:tc>
        <w:tc>
          <w:tcPr>
            <w:tcW w:w="342" w:type="pct"/>
            <w:vAlign w:val="center"/>
          </w:tcPr>
          <w:p w14:paraId="58021837">
            <w:pPr>
              <w:autoSpaceDE/>
              <w:autoSpaceDN/>
              <w:adjustRightInd w:val="0"/>
              <w:snapToGrid w:val="0"/>
              <w:ind w:left="0" w:leftChars="0" w:firstLine="0" w:firstLineChars="0"/>
              <w:jc w:val="center"/>
              <w:rPr>
                <w:rFonts w:hint="default" w:cs="Times New Roman"/>
                <w:color w:val="auto"/>
                <w:kern w:val="21"/>
                <w:sz w:val="18"/>
                <w:szCs w:val="18"/>
                <w:highlight w:val="none"/>
                <w:lang w:val="en-US" w:eastAsia="zh-CN"/>
              </w:rPr>
            </w:pPr>
            <w:r>
              <w:rPr>
                <w:rFonts w:hint="eastAsia" w:cs="Times New Roman"/>
                <w:color w:val="auto"/>
                <w:kern w:val="21"/>
                <w:sz w:val="18"/>
                <w:szCs w:val="18"/>
                <w:highlight w:val="none"/>
                <w:lang w:val="en-US" w:eastAsia="zh-CN"/>
              </w:rPr>
              <w:t>10</w:t>
            </w:r>
          </w:p>
        </w:tc>
        <w:tc>
          <w:tcPr>
            <w:tcW w:w="386" w:type="pct"/>
            <w:vAlign w:val="center"/>
          </w:tcPr>
          <w:p w14:paraId="2811DF4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Sp.</w:t>
            </w:r>
          </w:p>
        </w:tc>
      </w:tr>
    </w:tbl>
    <w:p w14:paraId="56113B26">
      <w:pPr>
        <w:bidi w:val="0"/>
        <w:rPr>
          <w:rFonts w:hint="eastAsia"/>
          <w:color w:val="auto"/>
          <w:highlight w:val="none"/>
          <w:lang w:val="en-US" w:eastAsia="zh-CN"/>
        </w:rPr>
      </w:pPr>
      <w:r>
        <w:rPr>
          <w:rFonts w:ascii="Times New Roman" w:hAnsi="Times New Roman" w:cs="Times New Roman"/>
          <w:color w:val="auto"/>
          <w:kern w:val="21"/>
          <w:highlight w:val="none"/>
          <w:lang w:val="en-US"/>
        </w:rPr>
        <w:br w:type="page"/>
      </w:r>
    </w:p>
    <w:p w14:paraId="3BF9BA69">
      <w:pPr>
        <w:bidi w:val="0"/>
        <w:rPr>
          <w:color w:val="auto"/>
          <w:highlight w:val="none"/>
        </w:rPr>
      </w:pPr>
      <w:r>
        <w:rPr>
          <w:rFonts w:hint="eastAsia"/>
          <w:color w:val="auto"/>
          <w:highlight w:val="none"/>
          <w:lang w:val="en-US" w:eastAsia="zh-CN"/>
        </w:rPr>
        <w:t>4.</w:t>
      </w:r>
      <w:r>
        <w:rPr>
          <w:color w:val="auto"/>
          <w:highlight w:val="none"/>
          <w:lang w:val="en-US"/>
        </w:rPr>
        <w:t>主要植被类型</w:t>
      </w:r>
    </w:p>
    <w:p w14:paraId="175111B9">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（1）森林生态系统</w:t>
      </w:r>
    </w:p>
    <w:p w14:paraId="67504878">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评价区森林生态系统内植被以阔叶林、针叶林为主，评价区内常见阔叶林有</w:t>
      </w:r>
      <w:r>
        <w:rPr>
          <w:rFonts w:hint="eastAsia" w:cs="Times New Roman"/>
          <w:color w:val="auto"/>
          <w:kern w:val="21"/>
          <w:highlight w:val="none"/>
          <w:lang w:val="en-US" w:eastAsia="zh-CN"/>
        </w:rPr>
        <w:t>山杨林</w:t>
      </w:r>
      <w:r>
        <w:rPr>
          <w:rFonts w:ascii="Times New Roman" w:hAnsi="Times New Roman" w:cs="Times New Roman"/>
          <w:color w:val="auto"/>
          <w:kern w:val="21"/>
          <w:highlight w:val="none"/>
          <w:lang w:val="en-US"/>
        </w:rPr>
        <w:t>（</w:t>
      </w:r>
      <w:r>
        <w:rPr>
          <w:rFonts w:hint="eastAsia" w:ascii="Times New Roman" w:hAnsi="Times New Roman" w:cs="Times New Roman"/>
          <w:i/>
          <w:iCs/>
          <w:color w:val="auto"/>
          <w:kern w:val="21"/>
          <w:highlight w:val="none"/>
          <w:lang w:val="en-US"/>
        </w:rPr>
        <w:t>Populus davidiana Dode</w:t>
      </w:r>
      <w:r>
        <w:rPr>
          <w:rFonts w:ascii="Times New Roman" w:hAnsi="Times New Roman" w:cs="Times New Roman"/>
          <w:color w:val="auto"/>
          <w:kern w:val="21"/>
          <w:highlight w:val="none"/>
          <w:lang w:val="en-US"/>
        </w:rPr>
        <w:t>.）、蒙古栎（</w:t>
      </w:r>
      <w:r>
        <w:rPr>
          <w:rFonts w:ascii="Times New Roman" w:hAnsi="Times New Roman" w:cs="Times New Roman"/>
          <w:i/>
          <w:iCs/>
          <w:color w:val="auto"/>
          <w:kern w:val="21"/>
          <w:highlight w:val="none"/>
          <w:lang w:val="en-US"/>
        </w:rPr>
        <w:t>Quercus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mongolica</w:t>
      </w:r>
      <w:r>
        <w:rPr>
          <w:rFonts w:ascii="Times New Roman" w:hAnsi="Times New Roman" w:cs="Times New Roman"/>
          <w:color w:val="auto"/>
          <w:kern w:val="21"/>
          <w:highlight w:val="none"/>
          <w:lang w:val="en-US"/>
        </w:rPr>
        <w:t xml:space="preserve"> Fisch. ex Ledeb.）等，常见针叶林有兴安落叶松（</w:t>
      </w:r>
      <w:r>
        <w:rPr>
          <w:rFonts w:ascii="Times New Roman" w:hAnsi="Times New Roman" w:cs="Times New Roman"/>
          <w:i/>
          <w:iCs/>
          <w:color w:val="auto"/>
          <w:kern w:val="21"/>
          <w:highlight w:val="none"/>
          <w:lang w:val="en-US"/>
        </w:rPr>
        <w:t>Larix gmelini</w:t>
      </w:r>
      <w:r>
        <w:rPr>
          <w:rFonts w:ascii="Times New Roman" w:hAnsi="Times New Roman" w:cs="Times New Roman"/>
          <w:color w:val="auto"/>
          <w:kern w:val="21"/>
          <w:highlight w:val="none"/>
          <w:lang w:val="en-US"/>
        </w:rPr>
        <w:t>i(Rupr.)Kuzen.）、樟子松（</w:t>
      </w:r>
      <w:r>
        <w:rPr>
          <w:rFonts w:ascii="Times New Roman" w:hAnsi="Times New Roman" w:cs="Times New Roman"/>
          <w:i/>
          <w:iCs/>
          <w:color w:val="auto"/>
          <w:kern w:val="21"/>
          <w:highlight w:val="none"/>
          <w:lang w:val="en-US"/>
        </w:rPr>
        <w:t>Pinus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sylvestris</w:t>
      </w:r>
      <w:r>
        <w:rPr>
          <w:rFonts w:ascii="Times New Roman" w:hAnsi="Times New Roman" w:cs="Times New Roman"/>
          <w:color w:val="auto"/>
          <w:kern w:val="21"/>
          <w:highlight w:val="none"/>
          <w:lang w:val="en-US"/>
        </w:rPr>
        <w:t xml:space="preserve"> var. </w:t>
      </w:r>
      <w:r>
        <w:rPr>
          <w:rFonts w:ascii="Times New Roman" w:hAnsi="Times New Roman" w:cs="Times New Roman"/>
          <w:i/>
          <w:iCs/>
          <w:color w:val="auto"/>
          <w:kern w:val="21"/>
          <w:highlight w:val="none"/>
          <w:lang w:val="en-US"/>
        </w:rPr>
        <w:t>Mongholica</w:t>
      </w:r>
      <w:r>
        <w:rPr>
          <w:rFonts w:ascii="Times New Roman" w:hAnsi="Times New Roman" w:cs="Times New Roman"/>
          <w:color w:val="auto"/>
          <w:kern w:val="21"/>
          <w:highlight w:val="none"/>
          <w:lang w:val="en-US"/>
        </w:rPr>
        <w:t xml:space="preserve"> Litv.）等。</w:t>
      </w:r>
    </w:p>
    <w:p w14:paraId="310D2480">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w:t>
      </w:r>
      <w:r>
        <w:rPr>
          <w:rFonts w:hint="eastAsia" w:cs="Times New Roman"/>
          <w:color w:val="auto"/>
          <w:kern w:val="21"/>
          <w:highlight w:val="none"/>
          <w:lang w:val="en-US" w:eastAsia="zh-CN"/>
        </w:rPr>
        <w:t>2</w:t>
      </w:r>
      <w:r>
        <w:rPr>
          <w:rFonts w:ascii="Times New Roman" w:hAnsi="Times New Roman" w:cs="Times New Roman"/>
          <w:color w:val="auto"/>
          <w:kern w:val="21"/>
          <w:highlight w:val="none"/>
          <w:lang w:val="en-US"/>
        </w:rPr>
        <w:t>）农田生态系统</w:t>
      </w:r>
    </w:p>
    <w:p w14:paraId="6D6F155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评价区农田生态系统内植被以农作物为主，常见的粮食农作物有</w:t>
      </w:r>
      <w:r>
        <w:rPr>
          <w:rFonts w:hint="eastAsia" w:cs="Times New Roman"/>
          <w:color w:val="auto"/>
          <w:kern w:val="21"/>
          <w:highlight w:val="none"/>
          <w:lang w:val="en-US" w:eastAsia="zh-CN"/>
        </w:rPr>
        <w:t>大豆</w:t>
      </w:r>
      <w:r>
        <w:rPr>
          <w:rFonts w:ascii="Times New Roman" w:hAnsi="Times New Roman" w:cs="Times New Roman"/>
          <w:color w:val="auto"/>
          <w:kern w:val="21"/>
          <w:highlight w:val="none"/>
          <w:lang w:val="en-US"/>
        </w:rPr>
        <w:t>、玉米等。</w:t>
      </w:r>
    </w:p>
    <w:p w14:paraId="166686E0">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根据遥感解译获取的调查范围内的植被类型遥感解译数据，评价区内主要植被类型及面积统计见下表。</w:t>
      </w:r>
    </w:p>
    <w:p w14:paraId="1723AD54">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w:t>
      </w:r>
      <w:r>
        <w:rPr>
          <w:rFonts w:hint="eastAsia" w:eastAsia="黑体" w:cs="Times New Roman"/>
          <w:snapToGrid w:val="0"/>
          <w:color w:val="auto"/>
          <w:kern w:val="0"/>
          <w:highlight w:val="none"/>
          <w:lang w:val="en-US" w:eastAsia="zh-CN"/>
        </w:rPr>
        <w:t>30</w:t>
      </w:r>
      <w:r>
        <w:rPr>
          <w:rFonts w:hint="eastAsia" w:ascii="Times New Roman" w:hAnsi="Times New Roman" w:eastAsia="黑体" w:cs="Times New Roman"/>
          <w:snapToGrid w:val="0"/>
          <w:color w:val="auto"/>
          <w:kern w:val="0"/>
          <w:highlight w:val="none"/>
          <w:lang w:val="en-US" w:eastAsia="zh-CN"/>
        </w:rPr>
        <w:t>评价区植被类型统计表</w:t>
      </w:r>
    </w:p>
    <w:tbl>
      <w:tblPr>
        <w:tblStyle w:val="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85" w:type="dxa"/>
          <w:left w:w="57" w:type="dxa"/>
          <w:bottom w:w="85" w:type="dxa"/>
          <w:right w:w="57" w:type="dxa"/>
        </w:tblCellMar>
      </w:tblPr>
      <w:tblGrid>
        <w:gridCol w:w="609"/>
        <w:gridCol w:w="979"/>
        <w:gridCol w:w="1259"/>
        <w:gridCol w:w="1686"/>
        <w:gridCol w:w="981"/>
        <w:gridCol w:w="979"/>
        <w:gridCol w:w="979"/>
        <w:gridCol w:w="840"/>
      </w:tblGrid>
      <w:tr w14:paraId="41A939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366" w:type="pct"/>
            <w:vMerge w:val="restart"/>
            <w:vAlign w:val="center"/>
          </w:tcPr>
          <w:p w14:paraId="0E03B9A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植被型组</w:t>
            </w:r>
          </w:p>
        </w:tc>
        <w:tc>
          <w:tcPr>
            <w:tcW w:w="589" w:type="pct"/>
            <w:vMerge w:val="restart"/>
            <w:vAlign w:val="center"/>
          </w:tcPr>
          <w:p w14:paraId="189B937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植被型</w:t>
            </w:r>
          </w:p>
        </w:tc>
        <w:tc>
          <w:tcPr>
            <w:tcW w:w="757" w:type="pct"/>
            <w:vMerge w:val="restart"/>
            <w:vAlign w:val="center"/>
          </w:tcPr>
          <w:p w14:paraId="2831FB4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植被亚型</w:t>
            </w:r>
          </w:p>
        </w:tc>
        <w:tc>
          <w:tcPr>
            <w:tcW w:w="1013" w:type="pct"/>
            <w:vMerge w:val="restart"/>
            <w:vAlign w:val="center"/>
          </w:tcPr>
          <w:p w14:paraId="25F758C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群系</w:t>
            </w:r>
          </w:p>
        </w:tc>
        <w:tc>
          <w:tcPr>
            <w:tcW w:w="1179" w:type="pct"/>
            <w:gridSpan w:val="2"/>
            <w:vAlign w:val="center"/>
          </w:tcPr>
          <w:p w14:paraId="56ABCED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评价区</w:t>
            </w:r>
          </w:p>
        </w:tc>
        <w:tc>
          <w:tcPr>
            <w:tcW w:w="1094" w:type="pct"/>
            <w:gridSpan w:val="2"/>
            <w:vAlign w:val="center"/>
          </w:tcPr>
          <w:p w14:paraId="23C2106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项目区</w:t>
            </w:r>
          </w:p>
        </w:tc>
      </w:tr>
      <w:tr w14:paraId="70DFA1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366" w:type="pct"/>
            <w:vMerge w:val="continue"/>
            <w:vAlign w:val="center"/>
          </w:tcPr>
          <w:p w14:paraId="6E9695DC">
            <w:pPr>
              <w:pStyle w:val="492"/>
              <w:bidi w:val="0"/>
              <w:ind w:firstLine="0" w:firstLineChars="0"/>
              <w:rPr>
                <w:rFonts w:hint="eastAsia" w:ascii="Times New Roman" w:hAnsi="Times New Roman" w:eastAsia="宋体" w:cs="Times New Roman"/>
                <w:color w:val="auto"/>
                <w:highlight w:val="none"/>
                <w:lang w:val="en-US" w:eastAsia="zh-CN"/>
              </w:rPr>
            </w:pPr>
          </w:p>
        </w:tc>
        <w:tc>
          <w:tcPr>
            <w:tcW w:w="589" w:type="pct"/>
            <w:vMerge w:val="continue"/>
            <w:vAlign w:val="center"/>
          </w:tcPr>
          <w:p w14:paraId="0623F1DE">
            <w:pPr>
              <w:pStyle w:val="492"/>
              <w:bidi w:val="0"/>
              <w:ind w:firstLine="0" w:firstLineChars="0"/>
              <w:rPr>
                <w:rFonts w:hint="eastAsia" w:ascii="Times New Roman" w:hAnsi="Times New Roman" w:eastAsia="宋体" w:cs="Times New Roman"/>
                <w:color w:val="auto"/>
                <w:highlight w:val="none"/>
                <w:lang w:val="en-US" w:eastAsia="zh-CN"/>
              </w:rPr>
            </w:pPr>
          </w:p>
        </w:tc>
        <w:tc>
          <w:tcPr>
            <w:tcW w:w="757" w:type="pct"/>
            <w:vMerge w:val="continue"/>
            <w:vAlign w:val="center"/>
          </w:tcPr>
          <w:p w14:paraId="72BCEB85">
            <w:pPr>
              <w:pStyle w:val="492"/>
              <w:bidi w:val="0"/>
              <w:ind w:firstLine="0" w:firstLineChars="0"/>
              <w:rPr>
                <w:rFonts w:hint="eastAsia" w:ascii="Times New Roman" w:hAnsi="Times New Roman" w:eastAsia="宋体" w:cs="Times New Roman"/>
                <w:color w:val="auto"/>
                <w:highlight w:val="none"/>
                <w:lang w:val="en-US" w:eastAsia="zh-CN"/>
              </w:rPr>
            </w:pPr>
          </w:p>
        </w:tc>
        <w:tc>
          <w:tcPr>
            <w:tcW w:w="1013" w:type="pct"/>
            <w:vMerge w:val="continue"/>
            <w:vAlign w:val="center"/>
          </w:tcPr>
          <w:p w14:paraId="52324A40">
            <w:pPr>
              <w:pStyle w:val="492"/>
              <w:bidi w:val="0"/>
              <w:ind w:firstLine="0" w:firstLineChars="0"/>
              <w:rPr>
                <w:rFonts w:hint="eastAsia" w:ascii="Times New Roman" w:hAnsi="Times New Roman" w:eastAsia="宋体" w:cs="Times New Roman"/>
                <w:color w:val="auto"/>
                <w:highlight w:val="none"/>
                <w:lang w:val="en-US" w:eastAsia="zh-CN"/>
              </w:rPr>
            </w:pPr>
          </w:p>
        </w:tc>
        <w:tc>
          <w:tcPr>
            <w:tcW w:w="590" w:type="pct"/>
            <w:vAlign w:val="center"/>
          </w:tcPr>
          <w:p w14:paraId="1622EAF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面积(hm2)</w:t>
            </w:r>
          </w:p>
        </w:tc>
        <w:tc>
          <w:tcPr>
            <w:tcW w:w="589" w:type="pct"/>
            <w:vAlign w:val="center"/>
          </w:tcPr>
          <w:p w14:paraId="2605673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比例(%)</w:t>
            </w:r>
          </w:p>
        </w:tc>
        <w:tc>
          <w:tcPr>
            <w:tcW w:w="589" w:type="pct"/>
            <w:vAlign w:val="center"/>
          </w:tcPr>
          <w:p w14:paraId="76960D5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面积(hm2)</w:t>
            </w:r>
          </w:p>
        </w:tc>
        <w:tc>
          <w:tcPr>
            <w:tcW w:w="505" w:type="pct"/>
            <w:vAlign w:val="center"/>
          </w:tcPr>
          <w:p w14:paraId="70D81A5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比例(%)</w:t>
            </w:r>
          </w:p>
        </w:tc>
      </w:tr>
      <w:tr w14:paraId="792615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366" w:type="pct"/>
            <w:vAlign w:val="center"/>
          </w:tcPr>
          <w:p w14:paraId="0736209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阔叶林</w:t>
            </w:r>
          </w:p>
        </w:tc>
        <w:tc>
          <w:tcPr>
            <w:tcW w:w="589" w:type="pct"/>
            <w:vAlign w:val="center"/>
          </w:tcPr>
          <w:p w14:paraId="4B87C10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寒温性阔叶林</w:t>
            </w:r>
          </w:p>
        </w:tc>
        <w:tc>
          <w:tcPr>
            <w:tcW w:w="757" w:type="pct"/>
            <w:vAlign w:val="center"/>
          </w:tcPr>
          <w:p w14:paraId="7DAE7DF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寒温性落叶阔叶林</w:t>
            </w:r>
          </w:p>
        </w:tc>
        <w:tc>
          <w:tcPr>
            <w:tcW w:w="1013" w:type="pct"/>
            <w:vAlign w:val="center"/>
          </w:tcPr>
          <w:p w14:paraId="76EF375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蒙古栎、山杨林</w:t>
            </w:r>
          </w:p>
        </w:tc>
        <w:tc>
          <w:tcPr>
            <w:tcW w:w="590" w:type="pct"/>
            <w:vAlign w:val="center"/>
          </w:tcPr>
          <w:p w14:paraId="20087E1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5.43</w:t>
            </w:r>
          </w:p>
        </w:tc>
        <w:tc>
          <w:tcPr>
            <w:tcW w:w="979" w:type="dxa"/>
            <w:vAlign w:val="center"/>
          </w:tcPr>
          <w:p w14:paraId="5E60AAD1">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2.42</w:t>
            </w:r>
          </w:p>
        </w:tc>
        <w:tc>
          <w:tcPr>
            <w:tcW w:w="589" w:type="pct"/>
            <w:vAlign w:val="center"/>
          </w:tcPr>
          <w:p w14:paraId="1C60B1D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760978E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51A022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366" w:type="pct"/>
            <w:vMerge w:val="restart"/>
            <w:vAlign w:val="center"/>
          </w:tcPr>
          <w:p w14:paraId="04E7B7F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针叶林</w:t>
            </w:r>
          </w:p>
        </w:tc>
        <w:tc>
          <w:tcPr>
            <w:tcW w:w="589" w:type="pct"/>
            <w:vMerge w:val="restart"/>
            <w:vAlign w:val="center"/>
          </w:tcPr>
          <w:p w14:paraId="75EC58F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寒温性针叶林</w:t>
            </w:r>
          </w:p>
        </w:tc>
        <w:tc>
          <w:tcPr>
            <w:tcW w:w="757" w:type="pct"/>
            <w:vMerge w:val="restart"/>
            <w:vAlign w:val="center"/>
          </w:tcPr>
          <w:p w14:paraId="121A8CD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寒温性常绿针叶林</w:t>
            </w:r>
          </w:p>
        </w:tc>
        <w:tc>
          <w:tcPr>
            <w:tcW w:w="1013" w:type="pct"/>
            <w:vAlign w:val="center"/>
          </w:tcPr>
          <w:p w14:paraId="2730F20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兴安落叶松群系</w:t>
            </w:r>
          </w:p>
        </w:tc>
        <w:tc>
          <w:tcPr>
            <w:tcW w:w="590" w:type="pct"/>
            <w:vAlign w:val="center"/>
          </w:tcPr>
          <w:p w14:paraId="0814EF02">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114.04</w:t>
            </w:r>
          </w:p>
        </w:tc>
        <w:tc>
          <w:tcPr>
            <w:tcW w:w="979" w:type="dxa"/>
            <w:vAlign w:val="center"/>
          </w:tcPr>
          <w:p w14:paraId="2385C0B8">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50.85</w:t>
            </w:r>
          </w:p>
        </w:tc>
        <w:tc>
          <w:tcPr>
            <w:tcW w:w="589" w:type="pct"/>
            <w:vAlign w:val="center"/>
          </w:tcPr>
          <w:p w14:paraId="2CB9288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2C7FE76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420E00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366" w:type="pct"/>
            <w:vMerge w:val="continue"/>
            <w:vAlign w:val="center"/>
          </w:tcPr>
          <w:p w14:paraId="6239DED6">
            <w:pPr>
              <w:pStyle w:val="492"/>
              <w:bidi w:val="0"/>
              <w:ind w:firstLine="0" w:firstLineChars="0"/>
              <w:rPr>
                <w:rFonts w:hint="eastAsia" w:ascii="Times New Roman" w:hAnsi="Times New Roman" w:eastAsia="宋体" w:cs="Times New Roman"/>
                <w:color w:val="auto"/>
                <w:highlight w:val="none"/>
                <w:lang w:val="en-US" w:eastAsia="zh-CN"/>
              </w:rPr>
            </w:pPr>
          </w:p>
        </w:tc>
        <w:tc>
          <w:tcPr>
            <w:tcW w:w="589" w:type="pct"/>
            <w:vMerge w:val="continue"/>
            <w:vAlign w:val="center"/>
          </w:tcPr>
          <w:p w14:paraId="35886A2A">
            <w:pPr>
              <w:pStyle w:val="492"/>
              <w:bidi w:val="0"/>
              <w:ind w:firstLine="0" w:firstLineChars="0"/>
              <w:rPr>
                <w:rFonts w:hint="eastAsia" w:ascii="Times New Roman" w:hAnsi="Times New Roman" w:eastAsia="宋体" w:cs="Times New Roman"/>
                <w:color w:val="auto"/>
                <w:highlight w:val="none"/>
                <w:lang w:val="en-US" w:eastAsia="zh-CN"/>
              </w:rPr>
            </w:pPr>
          </w:p>
        </w:tc>
        <w:tc>
          <w:tcPr>
            <w:tcW w:w="757" w:type="pct"/>
            <w:vMerge w:val="continue"/>
            <w:vAlign w:val="center"/>
          </w:tcPr>
          <w:p w14:paraId="557DC418">
            <w:pPr>
              <w:pStyle w:val="492"/>
              <w:bidi w:val="0"/>
              <w:ind w:firstLine="0" w:firstLineChars="0"/>
              <w:rPr>
                <w:rFonts w:hint="eastAsia" w:ascii="Times New Roman" w:hAnsi="Times New Roman" w:eastAsia="宋体" w:cs="Times New Roman"/>
                <w:color w:val="auto"/>
                <w:highlight w:val="none"/>
                <w:lang w:val="en-US" w:eastAsia="zh-CN"/>
              </w:rPr>
            </w:pPr>
          </w:p>
        </w:tc>
        <w:tc>
          <w:tcPr>
            <w:tcW w:w="1013" w:type="pct"/>
            <w:vAlign w:val="center"/>
          </w:tcPr>
          <w:p w14:paraId="1BBC58E3">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樟子松群系</w:t>
            </w:r>
          </w:p>
        </w:tc>
        <w:tc>
          <w:tcPr>
            <w:tcW w:w="590" w:type="pct"/>
            <w:vAlign w:val="center"/>
          </w:tcPr>
          <w:p w14:paraId="5CDB3DC3">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979" w:type="dxa"/>
            <w:vAlign w:val="center"/>
          </w:tcPr>
          <w:p w14:paraId="1A979249">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0.45</w:t>
            </w:r>
          </w:p>
        </w:tc>
        <w:tc>
          <w:tcPr>
            <w:tcW w:w="589" w:type="pct"/>
            <w:vAlign w:val="center"/>
          </w:tcPr>
          <w:p w14:paraId="2832D37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247F9E0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3F5E54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2726" w:type="pct"/>
            <w:gridSpan w:val="4"/>
            <w:vAlign w:val="center"/>
          </w:tcPr>
          <w:p w14:paraId="6EF82AF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农作物</w:t>
            </w:r>
          </w:p>
        </w:tc>
        <w:tc>
          <w:tcPr>
            <w:tcW w:w="590" w:type="pct"/>
            <w:vAlign w:val="center"/>
          </w:tcPr>
          <w:p w14:paraId="33254A5F">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39.93</w:t>
            </w:r>
          </w:p>
        </w:tc>
        <w:tc>
          <w:tcPr>
            <w:tcW w:w="979" w:type="dxa"/>
            <w:vAlign w:val="center"/>
          </w:tcPr>
          <w:p w14:paraId="63A3C516">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17.80</w:t>
            </w:r>
          </w:p>
        </w:tc>
        <w:tc>
          <w:tcPr>
            <w:tcW w:w="589" w:type="pct"/>
            <w:vAlign w:val="center"/>
          </w:tcPr>
          <w:p w14:paraId="5279DD5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0A44A14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4C5FBD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2726" w:type="pct"/>
            <w:gridSpan w:val="4"/>
            <w:vAlign w:val="center"/>
          </w:tcPr>
          <w:p w14:paraId="1D4E94D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交通</w:t>
            </w:r>
            <w:r>
              <w:rPr>
                <w:rFonts w:hint="eastAsia" w:ascii="Times New Roman" w:hAnsi="Times New Roman" w:eastAsia="宋体" w:cs="Times New Roman"/>
                <w:color w:val="auto"/>
                <w:highlight w:val="none"/>
                <w:lang w:val="en-US" w:eastAsia="zh-CN"/>
              </w:rPr>
              <w:t>道路</w:t>
            </w:r>
          </w:p>
        </w:tc>
        <w:tc>
          <w:tcPr>
            <w:tcW w:w="590" w:type="pct"/>
            <w:vAlign w:val="center"/>
          </w:tcPr>
          <w:p w14:paraId="3824A47A">
            <w:pPr>
              <w:pStyle w:val="492"/>
              <w:bidi w:val="0"/>
              <w:ind w:firstLine="0" w:firstLineChars="0"/>
              <w:rPr>
                <w:rFonts w:hint="default" w:cs="Times New Roman"/>
                <w:color w:val="auto"/>
                <w:highlight w:val="none"/>
                <w:lang w:val="en-US" w:eastAsia="zh-CN"/>
              </w:rPr>
            </w:pPr>
            <w:r>
              <w:rPr>
                <w:rFonts w:hint="eastAsia" w:cs="Times New Roman"/>
                <w:color w:val="auto"/>
                <w:highlight w:val="none"/>
                <w:lang w:val="en-US" w:eastAsia="zh-CN"/>
              </w:rPr>
              <w:t>7.12</w:t>
            </w:r>
          </w:p>
        </w:tc>
        <w:tc>
          <w:tcPr>
            <w:tcW w:w="979" w:type="dxa"/>
            <w:vAlign w:val="center"/>
          </w:tcPr>
          <w:p w14:paraId="7A47EB4A">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3.18</w:t>
            </w:r>
          </w:p>
        </w:tc>
        <w:tc>
          <w:tcPr>
            <w:tcW w:w="589" w:type="pct"/>
            <w:vAlign w:val="center"/>
          </w:tcPr>
          <w:p w14:paraId="3B726D7B">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13F5552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5F81FC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2726" w:type="pct"/>
            <w:gridSpan w:val="4"/>
            <w:vAlign w:val="center"/>
          </w:tcPr>
          <w:p w14:paraId="738F3013">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坑塘水面</w:t>
            </w:r>
          </w:p>
        </w:tc>
        <w:tc>
          <w:tcPr>
            <w:tcW w:w="590" w:type="pct"/>
            <w:vAlign w:val="center"/>
          </w:tcPr>
          <w:p w14:paraId="4E96E4B2">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0.32</w:t>
            </w:r>
          </w:p>
        </w:tc>
        <w:tc>
          <w:tcPr>
            <w:tcW w:w="979" w:type="dxa"/>
            <w:vAlign w:val="center"/>
          </w:tcPr>
          <w:p w14:paraId="441F118B">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w:t>
            </w: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 xml:space="preserve"> </w:t>
            </w:r>
          </w:p>
        </w:tc>
        <w:tc>
          <w:tcPr>
            <w:tcW w:w="589" w:type="pct"/>
            <w:vAlign w:val="center"/>
          </w:tcPr>
          <w:p w14:paraId="76C0E0AF">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505" w:type="pct"/>
            <w:vAlign w:val="center"/>
          </w:tcPr>
          <w:p w14:paraId="68AE82A8">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r>
      <w:tr w14:paraId="173F5E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2726" w:type="pct"/>
            <w:gridSpan w:val="4"/>
            <w:vAlign w:val="center"/>
          </w:tcPr>
          <w:p w14:paraId="1852A44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项目区</w:t>
            </w:r>
          </w:p>
        </w:tc>
        <w:tc>
          <w:tcPr>
            <w:tcW w:w="981" w:type="dxa"/>
            <w:vAlign w:val="center"/>
          </w:tcPr>
          <w:p w14:paraId="076A6603">
            <w:pPr>
              <w:pStyle w:val="492"/>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56.4</w:t>
            </w:r>
            <w:r>
              <w:rPr>
                <w:rFonts w:hint="eastAsia" w:cs="Times New Roman"/>
                <w:color w:val="auto"/>
                <w:highlight w:val="none"/>
                <w:lang w:val="en-US" w:eastAsia="zh-CN"/>
              </w:rPr>
              <w:t>3</w:t>
            </w:r>
          </w:p>
        </w:tc>
        <w:tc>
          <w:tcPr>
            <w:tcW w:w="979" w:type="dxa"/>
            <w:vAlign w:val="center"/>
          </w:tcPr>
          <w:p w14:paraId="410A551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25.16</w:t>
            </w:r>
          </w:p>
        </w:tc>
        <w:tc>
          <w:tcPr>
            <w:tcW w:w="992" w:type="dxa"/>
            <w:vAlign w:val="center"/>
          </w:tcPr>
          <w:p w14:paraId="002727CD">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56.4</w:t>
            </w:r>
            <w:r>
              <w:rPr>
                <w:rFonts w:hint="eastAsia" w:cs="Times New Roman"/>
                <w:color w:val="auto"/>
                <w:highlight w:val="none"/>
                <w:lang w:val="en-US" w:eastAsia="zh-CN"/>
              </w:rPr>
              <w:t>3</w:t>
            </w:r>
          </w:p>
        </w:tc>
        <w:tc>
          <w:tcPr>
            <w:tcW w:w="851" w:type="dxa"/>
            <w:vAlign w:val="center"/>
          </w:tcPr>
          <w:p w14:paraId="0C73BD85">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r w14:paraId="28CB8B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85" w:type="dxa"/>
            <w:left w:w="57" w:type="dxa"/>
            <w:bottom w:w="85" w:type="dxa"/>
            <w:right w:w="57" w:type="dxa"/>
          </w:tblCellMar>
        </w:tblPrEx>
        <w:trPr>
          <w:trHeight w:val="397" w:hRule="atLeast"/>
          <w:jc w:val="center"/>
        </w:trPr>
        <w:tc>
          <w:tcPr>
            <w:tcW w:w="2726" w:type="pct"/>
            <w:gridSpan w:val="4"/>
            <w:vAlign w:val="center"/>
          </w:tcPr>
          <w:p w14:paraId="2706BC3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合计</w:t>
            </w:r>
          </w:p>
        </w:tc>
        <w:tc>
          <w:tcPr>
            <w:tcW w:w="981" w:type="dxa"/>
            <w:vAlign w:val="center"/>
          </w:tcPr>
          <w:p w14:paraId="0A3B4D55">
            <w:pPr>
              <w:pStyle w:val="492"/>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224.29</w:t>
            </w:r>
          </w:p>
        </w:tc>
        <w:tc>
          <w:tcPr>
            <w:tcW w:w="589" w:type="pct"/>
            <w:vAlign w:val="center"/>
          </w:tcPr>
          <w:p w14:paraId="523513A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fldChar w:fldCharType="begin"/>
            </w:r>
            <w:r>
              <w:rPr>
                <w:rFonts w:hint="eastAsia" w:ascii="Times New Roman" w:hAnsi="Times New Roman" w:eastAsia="宋体" w:cs="Times New Roman"/>
                <w:color w:val="auto"/>
                <w:highlight w:val="none"/>
                <w:lang w:val="en-US" w:eastAsia="zh-CN"/>
              </w:rPr>
              <w:instrText xml:space="preserve"> =SUM(ABOVE) </w:instrText>
            </w:r>
            <w:r>
              <w:rPr>
                <w:rFonts w:hint="eastAsia" w:ascii="Times New Roman" w:hAnsi="Times New Roman" w:eastAsia="宋体" w:cs="Times New Roman"/>
                <w:color w:val="auto"/>
                <w:highlight w:val="none"/>
                <w:lang w:val="en-US" w:eastAsia="zh-CN"/>
              </w:rPr>
              <w:fldChar w:fldCharType="separate"/>
            </w:r>
            <w:r>
              <w:rPr>
                <w:rFonts w:hint="eastAsia" w:ascii="Times New Roman" w:hAnsi="Times New Roman" w:eastAsia="宋体" w:cs="Times New Roman"/>
                <w:color w:val="auto"/>
                <w:highlight w:val="none"/>
                <w:lang w:val="en-US" w:eastAsia="zh-CN"/>
              </w:rPr>
              <w:t>100</w:t>
            </w:r>
            <w:r>
              <w:rPr>
                <w:rFonts w:hint="eastAsia" w:ascii="Times New Roman" w:hAnsi="Times New Roman" w:eastAsia="宋体" w:cs="Times New Roman"/>
                <w:color w:val="auto"/>
                <w:highlight w:val="none"/>
                <w:lang w:val="en-US" w:eastAsia="zh-CN"/>
              </w:rPr>
              <w:fldChar w:fldCharType="end"/>
            </w:r>
          </w:p>
        </w:tc>
        <w:tc>
          <w:tcPr>
            <w:tcW w:w="589" w:type="pct"/>
            <w:vAlign w:val="center"/>
          </w:tcPr>
          <w:p w14:paraId="4EBA30DA">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56.4</w:t>
            </w:r>
            <w:r>
              <w:rPr>
                <w:rFonts w:hint="eastAsia" w:cs="Times New Roman"/>
                <w:color w:val="auto"/>
                <w:highlight w:val="none"/>
                <w:lang w:val="en-US" w:eastAsia="zh-CN"/>
              </w:rPr>
              <w:t>3</w:t>
            </w:r>
          </w:p>
        </w:tc>
        <w:tc>
          <w:tcPr>
            <w:tcW w:w="505" w:type="pct"/>
            <w:vAlign w:val="center"/>
          </w:tcPr>
          <w:p w14:paraId="272A736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r>
    </w:tbl>
    <w:p w14:paraId="57F68745">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44505B9D">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635E2BB3">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3C4BA405">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r>
        <w:rPr>
          <w:rFonts w:hint="default" w:ascii="Times New Roman" w:hAnsi="Times New Roman" w:cs="Times New Roman"/>
          <w:color w:val="auto"/>
          <w:highlight w:val="none"/>
          <w:lang w:val="en-US"/>
        </w:rPr>
        <w:drawing>
          <wp:anchor distT="0" distB="0" distL="114300" distR="114300" simplePos="0" relativeHeight="251727872" behindDoc="0" locked="0" layoutInCell="1" allowOverlap="1">
            <wp:simplePos x="0" y="0"/>
            <wp:positionH relativeFrom="column">
              <wp:posOffset>33655</wp:posOffset>
            </wp:positionH>
            <wp:positionV relativeFrom="paragraph">
              <wp:posOffset>-5080</wp:posOffset>
            </wp:positionV>
            <wp:extent cx="5267325" cy="7439025"/>
            <wp:effectExtent l="0" t="0" r="9525" b="9525"/>
            <wp:wrapNone/>
            <wp:docPr id="145" name="图片 145" descr="5b287e6028574a1ea231bde79be0d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5b287e6028574a1ea231bde79be0d13c"/>
                    <pic:cNvPicPr>
                      <a:picLocks noChangeAspect="1"/>
                    </pic:cNvPicPr>
                  </pic:nvPicPr>
                  <pic:blipFill>
                    <a:blip r:embed="rId62"/>
                    <a:stretch>
                      <a:fillRect/>
                    </a:stretch>
                  </pic:blipFill>
                  <pic:spPr>
                    <a:xfrm>
                      <a:off x="0" y="0"/>
                      <a:ext cx="5267325" cy="7439025"/>
                    </a:xfrm>
                    <a:prstGeom prst="rect">
                      <a:avLst/>
                    </a:prstGeom>
                  </pic:spPr>
                </pic:pic>
              </a:graphicData>
            </a:graphic>
          </wp:anchor>
        </w:drawing>
      </w:r>
    </w:p>
    <w:p w14:paraId="41B1985B">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57CEC89B">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7DBBA54B">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4AB98546">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086DD284">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0B1F2D46">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5EA6DC05">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2A36D461">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5E1776A6">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50A61ECA">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5FA3EABE">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011AFAA9">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7977DAB9">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79C91960">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459E240D">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6F16BB62">
      <w:pPr>
        <w:autoSpaceDE/>
        <w:autoSpaceDN/>
        <w:spacing w:before="120" w:beforeLines="50"/>
        <w:ind w:left="0" w:leftChars="0" w:firstLine="0" w:firstLineChars="0"/>
        <w:jc w:val="both"/>
        <w:rPr>
          <w:rFonts w:hint="eastAsia" w:ascii="Times New Roman" w:hAnsi="Times New Roman" w:eastAsia="宋体" w:cs="Times New Roman"/>
          <w:b/>
          <w:bCs/>
          <w:color w:val="auto"/>
          <w:kern w:val="21"/>
          <w:szCs w:val="28"/>
          <w:highlight w:val="none"/>
          <w:lang w:eastAsia="zh-CN"/>
        </w:rPr>
      </w:pPr>
    </w:p>
    <w:p w14:paraId="2C35680E">
      <w:pPr>
        <w:pStyle w:val="2"/>
        <w:rPr>
          <w:rFonts w:hint="eastAsia"/>
          <w:color w:val="auto"/>
          <w:highlight w:val="none"/>
          <w:lang w:eastAsia="zh-CN"/>
        </w:rPr>
      </w:pPr>
    </w:p>
    <w:p w14:paraId="0667E64F">
      <w:pPr>
        <w:pStyle w:val="2"/>
        <w:rPr>
          <w:rFonts w:hint="eastAsia"/>
          <w:color w:val="auto"/>
          <w:highlight w:val="none"/>
          <w:lang w:eastAsia="zh-CN"/>
        </w:rPr>
      </w:pPr>
    </w:p>
    <w:p w14:paraId="0C104941">
      <w:pPr>
        <w:pStyle w:val="2"/>
        <w:rPr>
          <w:rFonts w:hint="eastAsia"/>
          <w:color w:val="auto"/>
          <w:highlight w:val="none"/>
          <w:lang w:eastAsia="zh-CN"/>
        </w:rPr>
      </w:pPr>
    </w:p>
    <w:p w14:paraId="7002E2BC">
      <w:pPr>
        <w:pStyle w:val="2"/>
        <w:rPr>
          <w:rFonts w:hint="eastAsia"/>
          <w:color w:val="auto"/>
          <w:highlight w:val="none"/>
          <w:lang w:eastAsia="zh-CN"/>
        </w:rPr>
      </w:pPr>
    </w:p>
    <w:p w14:paraId="23549187">
      <w:pPr>
        <w:pStyle w:val="2"/>
        <w:rPr>
          <w:rFonts w:hint="eastAsia"/>
          <w:color w:val="auto"/>
          <w:highlight w:val="none"/>
          <w:lang w:eastAsia="zh-CN"/>
        </w:rPr>
      </w:pPr>
    </w:p>
    <w:p w14:paraId="1C4D1D78">
      <w:pPr>
        <w:spacing w:line="500" w:lineRule="exact"/>
        <w:ind w:firstLine="0" w:firstLineChars="0"/>
        <w:jc w:val="both"/>
        <w:rPr>
          <w:rFonts w:hint="eastAsia" w:ascii="Times New Roman" w:hAnsi="Times New Roman" w:eastAsia="黑体" w:cs="Times New Roman"/>
          <w:snapToGrid w:val="0"/>
          <w:color w:val="auto"/>
          <w:kern w:val="0"/>
          <w:highlight w:val="none"/>
          <w:lang w:val="en-US" w:eastAsia="zh-CN"/>
        </w:rPr>
      </w:pPr>
    </w:p>
    <w:p w14:paraId="4227E63C">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图4-2-</w:t>
      </w:r>
      <w:r>
        <w:rPr>
          <w:rFonts w:hint="eastAsia" w:eastAsia="黑体" w:cs="Times New Roman"/>
          <w:snapToGrid w:val="0"/>
          <w:color w:val="auto"/>
          <w:kern w:val="0"/>
          <w:highlight w:val="none"/>
          <w:lang w:val="en-US" w:eastAsia="zh-CN"/>
        </w:rPr>
        <w:t>5</w:t>
      </w:r>
      <w:r>
        <w:rPr>
          <w:rFonts w:hint="eastAsia" w:ascii="Times New Roman" w:hAnsi="Times New Roman" w:eastAsia="黑体" w:cs="Times New Roman"/>
          <w:snapToGrid w:val="0"/>
          <w:color w:val="auto"/>
          <w:kern w:val="0"/>
          <w:highlight w:val="none"/>
          <w:lang w:val="en-US" w:eastAsia="zh-CN"/>
        </w:rPr>
        <w:t>植被类型及调查样方布设情况示意图</w:t>
      </w:r>
    </w:p>
    <w:p w14:paraId="59F0EDAA">
      <w:pPr>
        <w:autoSpaceDE/>
        <w:autoSpaceDN/>
        <w:spacing w:line="360" w:lineRule="auto"/>
        <w:ind w:firstLine="480" w:firstLineChars="200"/>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根据遥感解译数据，项目生态调查面积为</w:t>
      </w:r>
      <w:r>
        <w:rPr>
          <w:rFonts w:hint="eastAsia" w:cs="Times New Roman"/>
          <w:color w:val="auto"/>
          <w:kern w:val="21"/>
          <w:highlight w:val="none"/>
          <w:lang w:val="en-US" w:eastAsia="zh-CN"/>
        </w:rPr>
        <w:t>224.29h</w:t>
      </w:r>
      <w:r>
        <w:rPr>
          <w:rFonts w:ascii="Times New Roman" w:hAnsi="Times New Roman" w:cs="Times New Roman"/>
          <w:color w:val="auto"/>
          <w:kern w:val="21"/>
          <w:highlight w:val="none"/>
          <w:lang w:val="en-US"/>
        </w:rPr>
        <w:t>m</w:t>
      </w:r>
      <w:r>
        <w:rPr>
          <w:rFonts w:ascii="Times New Roman" w:hAnsi="Times New Roman" w:cs="Times New Roman"/>
          <w:color w:val="auto"/>
          <w:kern w:val="21"/>
          <w:highlight w:val="none"/>
          <w:vertAlign w:val="superscript"/>
          <w:lang w:val="en-US"/>
        </w:rPr>
        <w:t>2</w:t>
      </w:r>
      <w:r>
        <w:rPr>
          <w:rFonts w:ascii="Times New Roman" w:hAnsi="Times New Roman" w:cs="Times New Roman"/>
          <w:color w:val="auto"/>
          <w:kern w:val="21"/>
          <w:highlight w:val="none"/>
          <w:lang w:val="en-US"/>
        </w:rPr>
        <w:t>，其中</w:t>
      </w:r>
      <w:r>
        <w:rPr>
          <w:rFonts w:hint="eastAsia" w:cs="Times New Roman"/>
          <w:color w:val="auto"/>
          <w:kern w:val="21"/>
          <w:highlight w:val="none"/>
          <w:lang w:val="en-US" w:eastAsia="zh-CN"/>
        </w:rPr>
        <w:t>兴安落叶松</w:t>
      </w:r>
      <w:r>
        <w:rPr>
          <w:rFonts w:ascii="Times New Roman" w:hAnsi="Times New Roman" w:cs="Times New Roman"/>
          <w:color w:val="auto"/>
          <w:kern w:val="21"/>
          <w:highlight w:val="none"/>
          <w:lang w:val="en-US"/>
        </w:rPr>
        <w:t>面积最大，面积为</w:t>
      </w:r>
      <w:r>
        <w:rPr>
          <w:rFonts w:hint="eastAsia" w:cs="Times New Roman"/>
          <w:color w:val="auto"/>
          <w:kern w:val="21"/>
          <w:highlight w:val="none"/>
          <w:lang w:val="en-US" w:eastAsia="zh-CN"/>
        </w:rPr>
        <w:t>114.04h</w:t>
      </w:r>
      <w:r>
        <w:rPr>
          <w:rFonts w:ascii="Times New Roman" w:hAnsi="Times New Roman" w:cs="Times New Roman"/>
          <w:color w:val="auto"/>
          <w:kern w:val="21"/>
          <w:highlight w:val="none"/>
          <w:lang w:val="en-US"/>
        </w:rPr>
        <w:t>m</w:t>
      </w:r>
      <w:r>
        <w:rPr>
          <w:rFonts w:ascii="Times New Roman" w:hAnsi="Times New Roman" w:cs="Times New Roman"/>
          <w:color w:val="auto"/>
          <w:kern w:val="21"/>
          <w:highlight w:val="none"/>
          <w:vertAlign w:val="superscript"/>
          <w:lang w:val="en-US"/>
        </w:rPr>
        <w:t>2</w:t>
      </w:r>
      <w:r>
        <w:rPr>
          <w:rFonts w:ascii="Times New Roman" w:hAnsi="Times New Roman" w:cs="Times New Roman"/>
          <w:color w:val="auto"/>
          <w:kern w:val="21"/>
          <w:highlight w:val="none"/>
          <w:lang w:val="en-US"/>
        </w:rPr>
        <w:t>，占总面积的</w:t>
      </w:r>
      <w:r>
        <w:rPr>
          <w:rFonts w:hint="eastAsia" w:cs="Times New Roman"/>
          <w:color w:val="auto"/>
          <w:kern w:val="21"/>
          <w:highlight w:val="none"/>
          <w:lang w:val="en-US" w:eastAsia="zh-CN"/>
        </w:rPr>
        <w:t>50.85</w:t>
      </w:r>
      <w:r>
        <w:rPr>
          <w:rFonts w:ascii="Times New Roman" w:hAnsi="Times New Roman" w:cs="Times New Roman"/>
          <w:color w:val="auto"/>
          <w:kern w:val="21"/>
          <w:highlight w:val="none"/>
          <w:lang w:val="en-US"/>
        </w:rPr>
        <w:t>%；其次是</w:t>
      </w:r>
      <w:r>
        <w:rPr>
          <w:rFonts w:hint="eastAsia" w:cs="Times New Roman"/>
          <w:color w:val="auto"/>
          <w:kern w:val="21"/>
          <w:highlight w:val="none"/>
          <w:lang w:val="en-US" w:eastAsia="zh-CN"/>
        </w:rPr>
        <w:t>农田植被</w:t>
      </w:r>
      <w:r>
        <w:rPr>
          <w:rFonts w:ascii="Times New Roman" w:hAnsi="Times New Roman" w:cs="Times New Roman"/>
          <w:color w:val="auto"/>
          <w:kern w:val="21"/>
          <w:highlight w:val="none"/>
          <w:lang w:val="en-US"/>
        </w:rPr>
        <w:t>，面积为</w:t>
      </w:r>
      <w:r>
        <w:rPr>
          <w:rFonts w:hint="eastAsia" w:cs="Times New Roman"/>
          <w:color w:val="auto"/>
          <w:kern w:val="21"/>
          <w:highlight w:val="none"/>
          <w:lang w:val="en-US" w:eastAsia="zh-CN"/>
        </w:rPr>
        <w:t>39.93h</w:t>
      </w:r>
      <w:r>
        <w:rPr>
          <w:rFonts w:ascii="Times New Roman" w:hAnsi="Times New Roman" w:cs="Times New Roman"/>
          <w:color w:val="auto"/>
          <w:kern w:val="21"/>
          <w:highlight w:val="none"/>
          <w:lang w:val="en-US"/>
        </w:rPr>
        <w:t>m</w:t>
      </w:r>
      <w:r>
        <w:rPr>
          <w:rFonts w:ascii="Times New Roman" w:hAnsi="Times New Roman" w:cs="Times New Roman"/>
          <w:color w:val="auto"/>
          <w:kern w:val="21"/>
          <w:highlight w:val="none"/>
          <w:vertAlign w:val="superscript"/>
          <w:lang w:val="en-US"/>
        </w:rPr>
        <w:t>2</w:t>
      </w:r>
      <w:r>
        <w:rPr>
          <w:rFonts w:ascii="Times New Roman" w:hAnsi="Times New Roman" w:cs="Times New Roman"/>
          <w:color w:val="auto"/>
          <w:kern w:val="21"/>
          <w:highlight w:val="none"/>
          <w:lang w:val="en-US"/>
        </w:rPr>
        <w:t>，占总面积的</w:t>
      </w:r>
      <w:r>
        <w:rPr>
          <w:rFonts w:hint="eastAsia" w:cs="Times New Roman"/>
          <w:color w:val="auto"/>
          <w:kern w:val="21"/>
          <w:highlight w:val="none"/>
          <w:lang w:val="en-US" w:eastAsia="zh-CN"/>
        </w:rPr>
        <w:t>17.80</w:t>
      </w:r>
      <w:r>
        <w:rPr>
          <w:rFonts w:ascii="Times New Roman" w:hAnsi="Times New Roman" w:cs="Times New Roman"/>
          <w:color w:val="auto"/>
          <w:kern w:val="21"/>
          <w:highlight w:val="none"/>
          <w:lang w:val="en-US"/>
        </w:rPr>
        <w:t>%。</w:t>
      </w:r>
    </w:p>
    <w:p w14:paraId="6BFD34EC">
      <w:pPr>
        <w:autoSpaceDE/>
        <w:autoSpaceDN/>
        <w:spacing w:line="360" w:lineRule="auto"/>
        <w:ind w:firstLine="480" w:firstLineChars="200"/>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根据资料收集及现场调查，</w:t>
      </w:r>
      <w:r>
        <w:rPr>
          <w:rFonts w:ascii="Times New Roman" w:hAnsi="Times New Roman" w:cs="Times New Roman"/>
          <w:color w:val="auto"/>
          <w:highlight w:val="none"/>
          <w:lang w:val="en-US"/>
        </w:rPr>
        <w:t>生态环境影响评价范围内分布的天然林为以</w:t>
      </w:r>
      <w:r>
        <w:rPr>
          <w:rFonts w:ascii="Times New Roman" w:hAnsi="Times New Roman" w:cs="Times New Roman"/>
          <w:color w:val="auto"/>
          <w:kern w:val="21"/>
          <w:highlight w:val="none"/>
          <w:lang w:val="en-US"/>
        </w:rPr>
        <w:t>蒙古栎（</w:t>
      </w:r>
      <w:r>
        <w:rPr>
          <w:rFonts w:ascii="Times New Roman" w:hAnsi="Times New Roman" w:cs="Times New Roman"/>
          <w:i/>
          <w:iCs/>
          <w:color w:val="auto"/>
          <w:kern w:val="21"/>
          <w:highlight w:val="none"/>
          <w:lang w:val="en-US"/>
        </w:rPr>
        <w:t>Quercus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mongolica</w:t>
      </w:r>
      <w:r>
        <w:rPr>
          <w:rFonts w:ascii="Times New Roman" w:hAnsi="Times New Roman" w:cs="Times New Roman"/>
          <w:color w:val="auto"/>
          <w:kern w:val="21"/>
          <w:highlight w:val="none"/>
          <w:lang w:val="en-US"/>
        </w:rPr>
        <w:t xml:space="preserve"> Fisch. ex Ledeb.）、兴安落叶松（</w:t>
      </w:r>
      <w:r>
        <w:rPr>
          <w:rFonts w:ascii="Times New Roman" w:hAnsi="Times New Roman" w:cs="Times New Roman"/>
          <w:i/>
          <w:iCs/>
          <w:color w:val="auto"/>
          <w:kern w:val="21"/>
          <w:highlight w:val="none"/>
          <w:lang w:val="en-US"/>
        </w:rPr>
        <w:t xml:space="preserve">Larixgmelinii </w:t>
      </w:r>
      <w:r>
        <w:rPr>
          <w:rFonts w:ascii="Times New Roman" w:hAnsi="Times New Roman" w:cs="Times New Roman"/>
          <w:color w:val="auto"/>
          <w:kern w:val="21"/>
          <w:highlight w:val="none"/>
          <w:lang w:val="en-US"/>
        </w:rPr>
        <w:t>(Rupr.) Kuzen.）为主的落叶阔叶常绿针叶混交林。</w:t>
      </w:r>
    </w:p>
    <w:p w14:paraId="2852B410">
      <w:pPr>
        <w:bidi w:val="0"/>
        <w:rPr>
          <w:color w:val="auto"/>
          <w:highlight w:val="none"/>
        </w:rPr>
      </w:pPr>
      <w:r>
        <w:rPr>
          <w:rFonts w:hint="eastAsia"/>
          <w:color w:val="auto"/>
          <w:highlight w:val="none"/>
          <w:lang w:val="en-US" w:eastAsia="zh-CN"/>
        </w:rPr>
        <w:t>5.</w:t>
      </w:r>
      <w:r>
        <w:rPr>
          <w:color w:val="auto"/>
          <w:highlight w:val="none"/>
          <w:lang w:val="en-US"/>
        </w:rPr>
        <w:t>重要生境及重要物种</w:t>
      </w:r>
    </w:p>
    <w:p w14:paraId="7CDD0988">
      <w:pPr>
        <w:autoSpaceDE/>
        <w:autoSpaceDN/>
        <w:spacing w:line="360" w:lineRule="auto"/>
        <w:ind w:firstLine="480" w:firstLineChars="200"/>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根据环评单位与建设单位于202</w:t>
      </w:r>
      <w:r>
        <w:rPr>
          <w:rFonts w:hint="eastAsia" w:cs="Times New Roman"/>
          <w:color w:val="auto"/>
          <w:kern w:val="21"/>
          <w:highlight w:val="none"/>
          <w:lang w:val="en-US" w:eastAsia="zh-CN"/>
        </w:rPr>
        <w:t>6</w:t>
      </w:r>
      <w:r>
        <w:rPr>
          <w:rFonts w:ascii="Times New Roman" w:hAnsi="Times New Roman" w:cs="Times New Roman"/>
          <w:color w:val="auto"/>
          <w:kern w:val="21"/>
          <w:highlight w:val="none"/>
          <w:lang w:val="en-US"/>
        </w:rPr>
        <w:t>年</w:t>
      </w:r>
      <w:r>
        <w:rPr>
          <w:rFonts w:hint="eastAsia" w:cs="Times New Roman"/>
          <w:color w:val="auto"/>
          <w:kern w:val="21"/>
          <w:highlight w:val="none"/>
          <w:lang w:val="en-US" w:eastAsia="zh-CN"/>
        </w:rPr>
        <w:t>4</w:t>
      </w:r>
      <w:r>
        <w:rPr>
          <w:rFonts w:ascii="Times New Roman" w:hAnsi="Times New Roman" w:cs="Times New Roman"/>
          <w:color w:val="auto"/>
          <w:kern w:val="21"/>
          <w:highlight w:val="none"/>
          <w:lang w:val="en-US"/>
        </w:rPr>
        <w:t>月现场调查</w:t>
      </w:r>
      <w:r>
        <w:rPr>
          <w:rFonts w:hint="eastAsia" w:cs="Times New Roman"/>
          <w:color w:val="auto"/>
          <w:kern w:val="21"/>
          <w:highlight w:val="none"/>
          <w:lang w:val="en-US" w:eastAsia="zh-CN"/>
        </w:rPr>
        <w:t>及</w:t>
      </w:r>
      <w:r>
        <w:rPr>
          <w:rFonts w:ascii="Times New Roman" w:hAnsi="Times New Roman" w:cs="Times New Roman"/>
          <w:color w:val="auto"/>
          <w:kern w:val="21"/>
          <w:highlight w:val="none"/>
          <w:lang w:val="en-US"/>
        </w:rPr>
        <w:t>收集资料并咨询相关管理部门，评价区内无重要物种的天然集中分布区、栖息地等重要生境。</w:t>
      </w:r>
    </w:p>
    <w:p w14:paraId="178751F0">
      <w:pPr>
        <w:autoSpaceDE/>
        <w:autoSpaceDN/>
        <w:spacing w:line="360" w:lineRule="auto"/>
        <w:ind w:firstLine="480" w:firstLineChars="200"/>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rPr>
        <w:t>根据</w:t>
      </w:r>
      <w:r>
        <w:rPr>
          <w:rFonts w:ascii="Times New Roman" w:hAnsi="Times New Roman" w:cs="Times New Roman"/>
          <w:color w:val="auto"/>
          <w:kern w:val="21"/>
          <w:highlight w:val="none"/>
          <w:lang w:val="en-US"/>
        </w:rPr>
        <w:t>《环境影响评价技术导则 生态影响》（HJ 19-2022）</w:t>
      </w:r>
      <w:r>
        <w:rPr>
          <w:rFonts w:ascii="Times New Roman" w:hAnsi="Times New Roman" w:cs="Times New Roman"/>
          <w:color w:val="auto"/>
          <w:kern w:val="21"/>
          <w:szCs w:val="21"/>
          <w:highlight w:val="none"/>
          <w:lang w:val="en-US"/>
        </w:rPr>
        <w:t>相关内容，</w:t>
      </w:r>
      <w:r>
        <w:rPr>
          <w:rFonts w:ascii="Times New Roman" w:hAnsi="Times New Roman" w:cs="Times New Roman"/>
          <w:color w:val="auto"/>
          <w:kern w:val="21"/>
          <w:highlight w:val="none"/>
        </w:rPr>
        <w:t>重要物种是指在生态影响评价中需要重点关注、具有较高保护价值或保护要求的物种</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包括国家及地方重点保护野生动植物名录所列的物种</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《中国生物多样性红色名录》中列为极危</w:t>
      </w:r>
      <w:r>
        <w:rPr>
          <w:rFonts w:ascii="Times New Roman" w:hAnsi="Times New Roman" w:cs="Times New Roman"/>
          <w:color w:val="auto"/>
          <w:kern w:val="21"/>
          <w:highlight w:val="none"/>
          <w:lang w:val="en-US"/>
        </w:rPr>
        <w:t>（Critically Endangered）、</w:t>
      </w:r>
      <w:r>
        <w:rPr>
          <w:rFonts w:ascii="Times New Roman" w:hAnsi="Times New Roman" w:cs="Times New Roman"/>
          <w:color w:val="auto"/>
          <w:kern w:val="21"/>
          <w:highlight w:val="none"/>
        </w:rPr>
        <w:t>濒危</w:t>
      </w:r>
      <w:r>
        <w:rPr>
          <w:rFonts w:ascii="Times New Roman" w:hAnsi="Times New Roman" w:cs="Times New Roman"/>
          <w:color w:val="auto"/>
          <w:kern w:val="21"/>
          <w:highlight w:val="none"/>
          <w:lang w:val="en-US"/>
        </w:rPr>
        <w:t>（Endangered）</w:t>
      </w:r>
      <w:r>
        <w:rPr>
          <w:rFonts w:ascii="Times New Roman" w:hAnsi="Times New Roman" w:cs="Times New Roman"/>
          <w:color w:val="auto"/>
          <w:kern w:val="21"/>
          <w:highlight w:val="none"/>
        </w:rPr>
        <w:t>和易危</w:t>
      </w:r>
      <w:r>
        <w:rPr>
          <w:rFonts w:ascii="Times New Roman" w:hAnsi="Times New Roman" w:cs="Times New Roman"/>
          <w:color w:val="auto"/>
          <w:kern w:val="21"/>
          <w:highlight w:val="none"/>
          <w:lang w:val="en-US"/>
        </w:rPr>
        <w:t>（Vulnerable）</w:t>
      </w:r>
      <w:r>
        <w:rPr>
          <w:rFonts w:ascii="Times New Roman" w:hAnsi="Times New Roman" w:cs="Times New Roman"/>
          <w:color w:val="auto"/>
          <w:kern w:val="21"/>
          <w:highlight w:val="none"/>
        </w:rPr>
        <w:t>的物种</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国家和地方政府列入拯救保护的极小种群物种</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特有种以及古树名木等。</w:t>
      </w:r>
    </w:p>
    <w:p w14:paraId="1729D168">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根据资料收集及现场调查，</w:t>
      </w:r>
      <w:r>
        <w:rPr>
          <w:rFonts w:ascii="Times New Roman" w:hAnsi="Times New Roman" w:cs="Times New Roman"/>
          <w:color w:val="auto"/>
          <w:kern w:val="21"/>
          <w:highlight w:val="none"/>
        </w:rPr>
        <w:t>评价区</w:t>
      </w:r>
      <w:r>
        <w:rPr>
          <w:rFonts w:ascii="Times New Roman" w:hAnsi="Times New Roman" w:cs="Times New Roman"/>
          <w:color w:val="auto"/>
          <w:kern w:val="21"/>
          <w:highlight w:val="none"/>
          <w:lang w:val="en-US"/>
        </w:rPr>
        <w:t>未</w:t>
      </w:r>
      <w:r>
        <w:rPr>
          <w:rFonts w:ascii="Times New Roman" w:hAnsi="Times New Roman" w:cs="Times New Roman"/>
          <w:color w:val="auto"/>
          <w:kern w:val="21"/>
          <w:highlight w:val="none"/>
        </w:rPr>
        <w:t>发现有重要物种。</w:t>
      </w:r>
    </w:p>
    <w:p w14:paraId="5C543F7D">
      <w:pPr>
        <w:pStyle w:val="6"/>
        <w:bidi w:val="0"/>
        <w:rPr>
          <w:color w:val="auto"/>
          <w:highlight w:val="none"/>
        </w:rPr>
      </w:pPr>
      <w:r>
        <w:rPr>
          <w:rFonts w:hint="eastAsia"/>
          <w:color w:val="auto"/>
          <w:highlight w:val="none"/>
          <w:lang w:val="en-US" w:eastAsia="zh-CN"/>
        </w:rPr>
        <w:t>4.2.6.8</w:t>
      </w:r>
      <w:r>
        <w:rPr>
          <w:color w:val="auto"/>
          <w:highlight w:val="none"/>
          <w:lang w:val="en-US"/>
        </w:rPr>
        <w:t>动物现状</w:t>
      </w:r>
    </w:p>
    <w:p w14:paraId="3DFB6B2F">
      <w:pPr>
        <w:bidi w:val="0"/>
        <w:rPr>
          <w:color w:val="auto"/>
          <w:highlight w:val="none"/>
        </w:rPr>
      </w:pPr>
      <w:r>
        <w:rPr>
          <w:rFonts w:hint="eastAsia"/>
          <w:color w:val="auto"/>
          <w:highlight w:val="none"/>
          <w:lang w:val="en-US" w:eastAsia="zh-CN"/>
        </w:rPr>
        <w:t>1.</w:t>
      </w:r>
      <w:r>
        <w:rPr>
          <w:color w:val="auto"/>
          <w:highlight w:val="none"/>
          <w:lang w:val="en-US"/>
        </w:rPr>
        <w:t>动物区系</w:t>
      </w:r>
    </w:p>
    <w:p w14:paraId="72F8F982">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rPr>
        <w:t>项目组于20</w:t>
      </w:r>
      <w:r>
        <w:rPr>
          <w:rFonts w:ascii="Times New Roman" w:hAnsi="Times New Roman" w:cs="Times New Roman"/>
          <w:color w:val="auto"/>
          <w:kern w:val="21"/>
          <w:highlight w:val="none"/>
          <w:lang w:val="en-US"/>
        </w:rPr>
        <w:t>2</w:t>
      </w:r>
      <w:r>
        <w:rPr>
          <w:rFonts w:hint="eastAsia" w:cs="Times New Roman"/>
          <w:color w:val="auto"/>
          <w:kern w:val="21"/>
          <w:highlight w:val="none"/>
          <w:lang w:val="en-US" w:eastAsia="zh-CN"/>
        </w:rPr>
        <w:t>6</w:t>
      </w:r>
      <w:r>
        <w:rPr>
          <w:rFonts w:ascii="Times New Roman" w:hAnsi="Times New Roman" w:cs="Times New Roman"/>
          <w:color w:val="auto"/>
          <w:kern w:val="21"/>
          <w:highlight w:val="none"/>
        </w:rPr>
        <w:t>年</w:t>
      </w:r>
      <w:r>
        <w:rPr>
          <w:rFonts w:hint="eastAsia" w:cs="Times New Roman"/>
          <w:color w:val="auto"/>
          <w:kern w:val="21"/>
          <w:highlight w:val="none"/>
          <w:lang w:val="en-US" w:eastAsia="zh-CN"/>
        </w:rPr>
        <w:t>4</w:t>
      </w:r>
      <w:r>
        <w:rPr>
          <w:rFonts w:ascii="Times New Roman" w:hAnsi="Times New Roman" w:cs="Times New Roman"/>
          <w:color w:val="auto"/>
          <w:kern w:val="21"/>
          <w:highlight w:val="none"/>
        </w:rPr>
        <w:t>月</w:t>
      </w:r>
      <w:r>
        <w:rPr>
          <w:rFonts w:ascii="Times New Roman" w:hAnsi="Times New Roman" w:cs="Times New Roman"/>
          <w:color w:val="auto"/>
          <w:kern w:val="21"/>
          <w:highlight w:val="none"/>
          <w:lang w:val="en-US"/>
        </w:rPr>
        <w:t>评价区进行了实地调查，根据工程特点，在调查过程中选择典型生境进行考察分析，采用样线法和调查访问法对陆生野生动物进行观察记录，并参考《中国鸟类分类与分布名录（第3版）》（郑光美，2017年）、《中国哺乳动物多样性编目（第2版）》（蒋志刚等，2017）等资料，对评价区的动物资源现状得出综合结论。</w:t>
      </w:r>
    </w:p>
    <w:p w14:paraId="0A42A94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（1）野生动物资源</w:t>
      </w:r>
    </w:p>
    <w:p w14:paraId="64C3AC17">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现场调查及资料收集，评价范围内分布的陆生脊椎动物有4纲12目22科35种；其中古北种18种，广布种17种；评价范围内国家二级重点保护野生动物1种，省级重点保护野生动物1种。陆生动物在各纲中的种类组成、区系见下表。</w:t>
      </w:r>
    </w:p>
    <w:p w14:paraId="14B36051">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w:t>
      </w:r>
      <w:r>
        <w:rPr>
          <w:rFonts w:hint="eastAsia" w:eastAsia="黑体" w:cs="Times New Roman"/>
          <w:snapToGrid w:val="0"/>
          <w:color w:val="auto"/>
          <w:kern w:val="0"/>
          <w:highlight w:val="none"/>
          <w:lang w:val="en-US" w:eastAsia="zh-CN"/>
        </w:rPr>
        <w:t>31</w:t>
      </w:r>
      <w:r>
        <w:rPr>
          <w:rFonts w:hint="eastAsia" w:ascii="Times New Roman" w:hAnsi="Times New Roman" w:eastAsia="黑体" w:cs="Times New Roman"/>
          <w:snapToGrid w:val="0"/>
          <w:color w:val="auto"/>
          <w:kern w:val="0"/>
          <w:highlight w:val="none"/>
          <w:lang w:val="en-US" w:eastAsia="zh-CN"/>
        </w:rPr>
        <w:t xml:space="preserve"> 评价范围内陆生脊椎动物种类组成表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617"/>
        <w:gridCol w:w="608"/>
        <w:gridCol w:w="691"/>
        <w:gridCol w:w="970"/>
        <w:gridCol w:w="1016"/>
        <w:gridCol w:w="870"/>
        <w:gridCol w:w="930"/>
        <w:gridCol w:w="782"/>
        <w:gridCol w:w="827"/>
      </w:tblGrid>
      <w:tr w14:paraId="00761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50" w:type="pct"/>
            <w:gridSpan w:val="4"/>
            <w:tcBorders>
              <w:top w:val="single" w:color="auto" w:sz="12" w:space="0"/>
              <w:left w:val="nil"/>
            </w:tcBorders>
            <w:vAlign w:val="center"/>
          </w:tcPr>
          <w:p w14:paraId="7EE302C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种类组成</w:t>
            </w:r>
          </w:p>
        </w:tc>
        <w:tc>
          <w:tcPr>
            <w:tcW w:w="1720" w:type="pct"/>
            <w:gridSpan w:val="3"/>
            <w:tcBorders>
              <w:top w:val="single" w:color="auto" w:sz="12" w:space="0"/>
            </w:tcBorders>
            <w:vAlign w:val="center"/>
          </w:tcPr>
          <w:p w14:paraId="17048DE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动物区系</w:t>
            </w:r>
          </w:p>
        </w:tc>
        <w:tc>
          <w:tcPr>
            <w:tcW w:w="1529" w:type="pct"/>
            <w:gridSpan w:val="3"/>
            <w:tcBorders>
              <w:top w:val="single" w:color="auto" w:sz="12" w:space="0"/>
              <w:right w:val="nil"/>
            </w:tcBorders>
            <w:vAlign w:val="center"/>
          </w:tcPr>
          <w:p w14:paraId="0B0B9FE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保护动物</w:t>
            </w:r>
          </w:p>
        </w:tc>
      </w:tr>
      <w:tr w14:paraId="63616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restart"/>
            <w:tcBorders>
              <w:left w:val="nil"/>
            </w:tcBorders>
            <w:vAlign w:val="center"/>
          </w:tcPr>
          <w:p w14:paraId="29AAF26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纲</w:t>
            </w:r>
          </w:p>
        </w:tc>
        <w:tc>
          <w:tcPr>
            <w:tcW w:w="372" w:type="pct"/>
            <w:vMerge w:val="restart"/>
            <w:vAlign w:val="center"/>
          </w:tcPr>
          <w:p w14:paraId="3E12071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目</w:t>
            </w:r>
          </w:p>
        </w:tc>
        <w:tc>
          <w:tcPr>
            <w:tcW w:w="366" w:type="pct"/>
            <w:vMerge w:val="restart"/>
            <w:vAlign w:val="center"/>
          </w:tcPr>
          <w:p w14:paraId="656F933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科</w:t>
            </w:r>
          </w:p>
        </w:tc>
        <w:tc>
          <w:tcPr>
            <w:tcW w:w="415" w:type="pct"/>
            <w:vMerge w:val="restart"/>
            <w:vAlign w:val="center"/>
          </w:tcPr>
          <w:p w14:paraId="5A305FB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种</w:t>
            </w:r>
          </w:p>
        </w:tc>
        <w:tc>
          <w:tcPr>
            <w:tcW w:w="584" w:type="pct"/>
            <w:vMerge w:val="restart"/>
            <w:vAlign w:val="center"/>
          </w:tcPr>
          <w:p w14:paraId="3286906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东洋种</w:t>
            </w:r>
          </w:p>
        </w:tc>
        <w:tc>
          <w:tcPr>
            <w:tcW w:w="612" w:type="pct"/>
            <w:vMerge w:val="restart"/>
            <w:vAlign w:val="center"/>
          </w:tcPr>
          <w:p w14:paraId="47BB6C3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524" w:type="pct"/>
            <w:vMerge w:val="restart"/>
            <w:vAlign w:val="center"/>
          </w:tcPr>
          <w:p w14:paraId="1E0F2D2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广布种</w:t>
            </w:r>
          </w:p>
        </w:tc>
        <w:tc>
          <w:tcPr>
            <w:tcW w:w="1031" w:type="pct"/>
            <w:gridSpan w:val="2"/>
            <w:tcBorders>
              <w:right w:val="single" w:color="auto" w:sz="4" w:space="0"/>
            </w:tcBorders>
            <w:vAlign w:val="center"/>
          </w:tcPr>
          <w:p w14:paraId="43477BB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国家级</w:t>
            </w:r>
          </w:p>
        </w:tc>
        <w:tc>
          <w:tcPr>
            <w:tcW w:w="497" w:type="pct"/>
            <w:vMerge w:val="restart"/>
            <w:tcBorders>
              <w:right w:val="nil"/>
            </w:tcBorders>
            <w:vAlign w:val="center"/>
          </w:tcPr>
          <w:p w14:paraId="6EBCA18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省级重点</w:t>
            </w:r>
          </w:p>
        </w:tc>
      </w:tr>
      <w:tr w14:paraId="74783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vMerge w:val="continue"/>
            <w:tcBorders>
              <w:left w:val="nil"/>
            </w:tcBorders>
            <w:vAlign w:val="center"/>
          </w:tcPr>
          <w:p w14:paraId="19518837">
            <w:pPr>
              <w:pStyle w:val="492"/>
              <w:bidi w:val="0"/>
              <w:ind w:firstLine="0" w:firstLineChars="0"/>
              <w:rPr>
                <w:rFonts w:hint="eastAsia" w:ascii="Times New Roman" w:hAnsi="Times New Roman" w:eastAsia="宋体" w:cs="Times New Roman"/>
                <w:color w:val="auto"/>
                <w:highlight w:val="none"/>
                <w:lang w:val="en-US" w:eastAsia="zh-CN"/>
              </w:rPr>
            </w:pPr>
          </w:p>
        </w:tc>
        <w:tc>
          <w:tcPr>
            <w:tcW w:w="372" w:type="pct"/>
            <w:vMerge w:val="continue"/>
            <w:vAlign w:val="center"/>
          </w:tcPr>
          <w:p w14:paraId="1DDEA2CB">
            <w:pPr>
              <w:pStyle w:val="492"/>
              <w:bidi w:val="0"/>
              <w:ind w:firstLine="0" w:firstLineChars="0"/>
              <w:rPr>
                <w:rFonts w:hint="eastAsia" w:ascii="Times New Roman" w:hAnsi="Times New Roman" w:eastAsia="宋体" w:cs="Times New Roman"/>
                <w:color w:val="auto"/>
                <w:highlight w:val="none"/>
                <w:lang w:val="en-US" w:eastAsia="zh-CN"/>
              </w:rPr>
            </w:pPr>
          </w:p>
        </w:tc>
        <w:tc>
          <w:tcPr>
            <w:tcW w:w="366" w:type="pct"/>
            <w:vMerge w:val="continue"/>
            <w:vAlign w:val="center"/>
          </w:tcPr>
          <w:p w14:paraId="15E68AFF">
            <w:pPr>
              <w:pStyle w:val="492"/>
              <w:bidi w:val="0"/>
              <w:ind w:firstLine="0" w:firstLineChars="0"/>
              <w:rPr>
                <w:rFonts w:hint="eastAsia" w:ascii="Times New Roman" w:hAnsi="Times New Roman" w:eastAsia="宋体" w:cs="Times New Roman"/>
                <w:color w:val="auto"/>
                <w:highlight w:val="none"/>
                <w:lang w:val="en-US" w:eastAsia="zh-CN"/>
              </w:rPr>
            </w:pPr>
          </w:p>
        </w:tc>
        <w:tc>
          <w:tcPr>
            <w:tcW w:w="415" w:type="pct"/>
            <w:vMerge w:val="continue"/>
            <w:vAlign w:val="center"/>
          </w:tcPr>
          <w:p w14:paraId="759DCC79">
            <w:pPr>
              <w:pStyle w:val="492"/>
              <w:bidi w:val="0"/>
              <w:ind w:firstLine="0" w:firstLineChars="0"/>
              <w:rPr>
                <w:rFonts w:hint="eastAsia" w:ascii="Times New Roman" w:hAnsi="Times New Roman" w:eastAsia="宋体" w:cs="Times New Roman"/>
                <w:color w:val="auto"/>
                <w:highlight w:val="none"/>
                <w:lang w:val="en-US" w:eastAsia="zh-CN"/>
              </w:rPr>
            </w:pPr>
          </w:p>
        </w:tc>
        <w:tc>
          <w:tcPr>
            <w:tcW w:w="584" w:type="pct"/>
            <w:vMerge w:val="continue"/>
            <w:vAlign w:val="center"/>
          </w:tcPr>
          <w:p w14:paraId="56C5ACFC">
            <w:pPr>
              <w:pStyle w:val="492"/>
              <w:bidi w:val="0"/>
              <w:ind w:firstLine="0" w:firstLineChars="0"/>
              <w:rPr>
                <w:rFonts w:hint="eastAsia" w:ascii="Times New Roman" w:hAnsi="Times New Roman" w:eastAsia="宋体" w:cs="Times New Roman"/>
                <w:color w:val="auto"/>
                <w:highlight w:val="none"/>
                <w:lang w:val="en-US" w:eastAsia="zh-CN"/>
              </w:rPr>
            </w:pPr>
          </w:p>
        </w:tc>
        <w:tc>
          <w:tcPr>
            <w:tcW w:w="612" w:type="pct"/>
            <w:vMerge w:val="continue"/>
            <w:vAlign w:val="center"/>
          </w:tcPr>
          <w:p w14:paraId="5A8C7981">
            <w:pPr>
              <w:pStyle w:val="492"/>
              <w:bidi w:val="0"/>
              <w:ind w:firstLine="0" w:firstLineChars="0"/>
              <w:rPr>
                <w:rFonts w:hint="eastAsia" w:ascii="Times New Roman" w:hAnsi="Times New Roman" w:eastAsia="宋体" w:cs="Times New Roman"/>
                <w:color w:val="auto"/>
                <w:highlight w:val="none"/>
                <w:lang w:val="en-US" w:eastAsia="zh-CN"/>
              </w:rPr>
            </w:pPr>
          </w:p>
        </w:tc>
        <w:tc>
          <w:tcPr>
            <w:tcW w:w="524" w:type="pct"/>
            <w:vMerge w:val="continue"/>
            <w:vAlign w:val="center"/>
          </w:tcPr>
          <w:p w14:paraId="68FA04CD">
            <w:pPr>
              <w:pStyle w:val="492"/>
              <w:bidi w:val="0"/>
              <w:ind w:firstLine="0" w:firstLineChars="0"/>
              <w:rPr>
                <w:rFonts w:hint="eastAsia" w:ascii="Times New Roman" w:hAnsi="Times New Roman" w:eastAsia="宋体" w:cs="Times New Roman"/>
                <w:color w:val="auto"/>
                <w:highlight w:val="none"/>
                <w:lang w:val="en-US" w:eastAsia="zh-CN"/>
              </w:rPr>
            </w:pPr>
          </w:p>
        </w:tc>
        <w:tc>
          <w:tcPr>
            <w:tcW w:w="560" w:type="pct"/>
            <w:vAlign w:val="center"/>
          </w:tcPr>
          <w:p w14:paraId="0FC6087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一级</w:t>
            </w:r>
          </w:p>
        </w:tc>
        <w:tc>
          <w:tcPr>
            <w:tcW w:w="471" w:type="pct"/>
            <w:tcBorders>
              <w:right w:val="single" w:color="auto" w:sz="4" w:space="0"/>
            </w:tcBorders>
            <w:vAlign w:val="center"/>
          </w:tcPr>
          <w:p w14:paraId="10F90C7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二级</w:t>
            </w:r>
          </w:p>
        </w:tc>
        <w:tc>
          <w:tcPr>
            <w:tcW w:w="497" w:type="pct"/>
            <w:vMerge w:val="continue"/>
            <w:tcBorders>
              <w:right w:val="nil"/>
            </w:tcBorders>
            <w:vAlign w:val="center"/>
          </w:tcPr>
          <w:p w14:paraId="51A0ADB6">
            <w:pPr>
              <w:pStyle w:val="492"/>
              <w:bidi w:val="0"/>
              <w:ind w:firstLine="0" w:firstLineChars="0"/>
              <w:rPr>
                <w:rFonts w:hint="eastAsia" w:ascii="Times New Roman" w:hAnsi="Times New Roman" w:eastAsia="宋体" w:cs="Times New Roman"/>
                <w:color w:val="auto"/>
                <w:highlight w:val="none"/>
                <w:lang w:val="en-US" w:eastAsia="zh-CN"/>
              </w:rPr>
            </w:pPr>
          </w:p>
        </w:tc>
      </w:tr>
      <w:tr w14:paraId="5373D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nil"/>
            </w:tcBorders>
            <w:vAlign w:val="center"/>
          </w:tcPr>
          <w:p w14:paraId="2C255A5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两栖纲</w:t>
            </w:r>
          </w:p>
        </w:tc>
        <w:tc>
          <w:tcPr>
            <w:tcW w:w="372" w:type="pct"/>
            <w:vAlign w:val="center"/>
          </w:tcPr>
          <w:p w14:paraId="67FD572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366" w:type="pct"/>
            <w:vAlign w:val="center"/>
          </w:tcPr>
          <w:p w14:paraId="21231A6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415" w:type="pct"/>
            <w:vAlign w:val="center"/>
          </w:tcPr>
          <w:p w14:paraId="426B57A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584" w:type="pct"/>
            <w:vAlign w:val="center"/>
          </w:tcPr>
          <w:p w14:paraId="42CAD52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12" w:type="pct"/>
            <w:vAlign w:val="center"/>
          </w:tcPr>
          <w:p w14:paraId="4FD8C55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524" w:type="pct"/>
            <w:vAlign w:val="center"/>
          </w:tcPr>
          <w:p w14:paraId="2782610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560" w:type="pct"/>
            <w:vAlign w:val="center"/>
          </w:tcPr>
          <w:p w14:paraId="3C8F1EA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71" w:type="pct"/>
            <w:tcBorders>
              <w:right w:val="single" w:color="auto" w:sz="4" w:space="0"/>
            </w:tcBorders>
            <w:vAlign w:val="center"/>
          </w:tcPr>
          <w:p w14:paraId="520A629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97" w:type="pct"/>
            <w:tcBorders>
              <w:right w:val="nil"/>
            </w:tcBorders>
            <w:vAlign w:val="center"/>
          </w:tcPr>
          <w:p w14:paraId="7E1C4B2C">
            <w:pPr>
              <w:pStyle w:val="492"/>
              <w:bidi w:val="0"/>
              <w:ind w:firstLine="0" w:firstLineChars="0"/>
              <w:rPr>
                <w:rFonts w:hint="eastAsia" w:ascii="Times New Roman" w:hAnsi="Times New Roman" w:eastAsia="宋体" w:cs="Times New Roman"/>
                <w:color w:val="auto"/>
                <w:highlight w:val="none"/>
                <w:lang w:val="en-US" w:eastAsia="zh-CN"/>
              </w:rPr>
            </w:pPr>
          </w:p>
        </w:tc>
      </w:tr>
      <w:tr w14:paraId="543F8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nil"/>
            </w:tcBorders>
            <w:vAlign w:val="center"/>
          </w:tcPr>
          <w:p w14:paraId="6330A13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爬行纲</w:t>
            </w:r>
          </w:p>
        </w:tc>
        <w:tc>
          <w:tcPr>
            <w:tcW w:w="372" w:type="pct"/>
            <w:vAlign w:val="center"/>
          </w:tcPr>
          <w:p w14:paraId="13548EC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366" w:type="pct"/>
            <w:vAlign w:val="center"/>
          </w:tcPr>
          <w:p w14:paraId="76BC50E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415" w:type="pct"/>
            <w:vAlign w:val="center"/>
          </w:tcPr>
          <w:p w14:paraId="58C8B5C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584" w:type="pct"/>
            <w:vAlign w:val="center"/>
          </w:tcPr>
          <w:p w14:paraId="44A4321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12" w:type="pct"/>
            <w:vAlign w:val="center"/>
          </w:tcPr>
          <w:p w14:paraId="422BFA9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524" w:type="pct"/>
            <w:vAlign w:val="center"/>
          </w:tcPr>
          <w:p w14:paraId="2057706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560" w:type="pct"/>
            <w:vAlign w:val="center"/>
          </w:tcPr>
          <w:p w14:paraId="2BCC512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71" w:type="pct"/>
            <w:tcBorders>
              <w:right w:val="single" w:color="auto" w:sz="4" w:space="0"/>
            </w:tcBorders>
            <w:vAlign w:val="center"/>
          </w:tcPr>
          <w:p w14:paraId="3172428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97" w:type="pct"/>
            <w:tcBorders>
              <w:right w:val="nil"/>
            </w:tcBorders>
            <w:vAlign w:val="center"/>
          </w:tcPr>
          <w:p w14:paraId="6C360B52">
            <w:pPr>
              <w:pStyle w:val="492"/>
              <w:bidi w:val="0"/>
              <w:ind w:firstLine="0" w:firstLineChars="0"/>
              <w:rPr>
                <w:rFonts w:hint="eastAsia" w:ascii="Times New Roman" w:hAnsi="Times New Roman" w:eastAsia="宋体" w:cs="Times New Roman"/>
                <w:color w:val="auto"/>
                <w:highlight w:val="none"/>
                <w:lang w:val="en-US" w:eastAsia="zh-CN"/>
              </w:rPr>
            </w:pPr>
          </w:p>
        </w:tc>
      </w:tr>
      <w:tr w14:paraId="20711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nil"/>
            </w:tcBorders>
            <w:vAlign w:val="center"/>
          </w:tcPr>
          <w:p w14:paraId="654841F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鸟纲</w:t>
            </w:r>
          </w:p>
        </w:tc>
        <w:tc>
          <w:tcPr>
            <w:tcW w:w="372" w:type="pct"/>
            <w:vAlign w:val="center"/>
          </w:tcPr>
          <w:p w14:paraId="41B51AC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366" w:type="pct"/>
            <w:vAlign w:val="center"/>
          </w:tcPr>
          <w:p w14:paraId="4B061C8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415" w:type="pct"/>
            <w:vAlign w:val="center"/>
          </w:tcPr>
          <w:p w14:paraId="733C94F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w:t>
            </w:r>
          </w:p>
        </w:tc>
        <w:tc>
          <w:tcPr>
            <w:tcW w:w="584" w:type="pct"/>
            <w:vAlign w:val="center"/>
          </w:tcPr>
          <w:p w14:paraId="7D3A3A6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12" w:type="pct"/>
            <w:vAlign w:val="center"/>
          </w:tcPr>
          <w:p w14:paraId="1154573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524" w:type="pct"/>
            <w:vAlign w:val="center"/>
          </w:tcPr>
          <w:p w14:paraId="4ECE6FC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560" w:type="pct"/>
            <w:vAlign w:val="center"/>
          </w:tcPr>
          <w:p w14:paraId="613194E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71" w:type="pct"/>
            <w:tcBorders>
              <w:right w:val="single" w:color="auto" w:sz="4" w:space="0"/>
            </w:tcBorders>
            <w:vAlign w:val="center"/>
          </w:tcPr>
          <w:p w14:paraId="74D6E7D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497" w:type="pct"/>
            <w:tcBorders>
              <w:right w:val="nil"/>
            </w:tcBorders>
            <w:vAlign w:val="center"/>
          </w:tcPr>
          <w:p w14:paraId="308B61F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r>
      <w:tr w14:paraId="706CF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nil"/>
            </w:tcBorders>
            <w:vAlign w:val="center"/>
          </w:tcPr>
          <w:p w14:paraId="4273B50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哺乳纲</w:t>
            </w:r>
          </w:p>
        </w:tc>
        <w:tc>
          <w:tcPr>
            <w:tcW w:w="372" w:type="pct"/>
            <w:vAlign w:val="center"/>
          </w:tcPr>
          <w:p w14:paraId="7E24968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366" w:type="pct"/>
            <w:vAlign w:val="center"/>
          </w:tcPr>
          <w:p w14:paraId="422AA01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415" w:type="pct"/>
            <w:vAlign w:val="center"/>
          </w:tcPr>
          <w:p w14:paraId="3602947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584" w:type="pct"/>
            <w:vAlign w:val="center"/>
          </w:tcPr>
          <w:p w14:paraId="0C15976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12" w:type="pct"/>
            <w:vAlign w:val="center"/>
          </w:tcPr>
          <w:p w14:paraId="43391DB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524" w:type="pct"/>
            <w:vAlign w:val="center"/>
          </w:tcPr>
          <w:p w14:paraId="359950C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560" w:type="pct"/>
            <w:vAlign w:val="center"/>
          </w:tcPr>
          <w:p w14:paraId="0548320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71" w:type="pct"/>
            <w:tcBorders>
              <w:right w:val="single" w:color="auto" w:sz="4" w:space="0"/>
            </w:tcBorders>
            <w:vAlign w:val="center"/>
          </w:tcPr>
          <w:p w14:paraId="5CDA23F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97" w:type="pct"/>
            <w:tcBorders>
              <w:right w:val="nil"/>
            </w:tcBorders>
            <w:vAlign w:val="center"/>
          </w:tcPr>
          <w:p w14:paraId="41203B01">
            <w:pPr>
              <w:pStyle w:val="492"/>
              <w:bidi w:val="0"/>
              <w:ind w:firstLine="0" w:firstLineChars="0"/>
              <w:rPr>
                <w:rFonts w:hint="eastAsia" w:ascii="Times New Roman" w:hAnsi="Times New Roman" w:eastAsia="宋体" w:cs="Times New Roman"/>
                <w:color w:val="auto"/>
                <w:highlight w:val="none"/>
                <w:lang w:val="en-US" w:eastAsia="zh-CN"/>
              </w:rPr>
            </w:pPr>
          </w:p>
        </w:tc>
      </w:tr>
      <w:tr w14:paraId="15882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nil"/>
              <w:bottom w:val="single" w:color="auto" w:sz="12" w:space="0"/>
            </w:tcBorders>
            <w:vAlign w:val="center"/>
          </w:tcPr>
          <w:p w14:paraId="3815F7C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合计</w:t>
            </w:r>
          </w:p>
        </w:tc>
        <w:tc>
          <w:tcPr>
            <w:tcW w:w="372" w:type="pct"/>
            <w:tcBorders>
              <w:bottom w:val="single" w:color="auto" w:sz="12" w:space="0"/>
            </w:tcBorders>
            <w:vAlign w:val="center"/>
          </w:tcPr>
          <w:p w14:paraId="5E57A12E">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366" w:type="pct"/>
            <w:tcBorders>
              <w:bottom w:val="single" w:color="auto" w:sz="12" w:space="0"/>
            </w:tcBorders>
            <w:vAlign w:val="center"/>
          </w:tcPr>
          <w:p w14:paraId="0D4E23B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w:t>
            </w:r>
          </w:p>
        </w:tc>
        <w:tc>
          <w:tcPr>
            <w:tcW w:w="415" w:type="pct"/>
            <w:tcBorders>
              <w:bottom w:val="single" w:color="auto" w:sz="12" w:space="0"/>
            </w:tcBorders>
            <w:vAlign w:val="center"/>
          </w:tcPr>
          <w:p w14:paraId="049508B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w:t>
            </w:r>
          </w:p>
        </w:tc>
        <w:tc>
          <w:tcPr>
            <w:tcW w:w="584" w:type="pct"/>
            <w:tcBorders>
              <w:bottom w:val="single" w:color="auto" w:sz="12" w:space="0"/>
            </w:tcBorders>
            <w:vAlign w:val="center"/>
          </w:tcPr>
          <w:p w14:paraId="0FDD39A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612" w:type="pct"/>
            <w:tcBorders>
              <w:bottom w:val="single" w:color="auto" w:sz="12" w:space="0"/>
            </w:tcBorders>
            <w:vAlign w:val="center"/>
          </w:tcPr>
          <w:p w14:paraId="0A5AA17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w:t>
            </w:r>
          </w:p>
        </w:tc>
        <w:tc>
          <w:tcPr>
            <w:tcW w:w="524" w:type="pct"/>
            <w:tcBorders>
              <w:bottom w:val="single" w:color="auto" w:sz="12" w:space="0"/>
            </w:tcBorders>
            <w:vAlign w:val="center"/>
          </w:tcPr>
          <w:p w14:paraId="3016967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w:t>
            </w:r>
          </w:p>
        </w:tc>
        <w:tc>
          <w:tcPr>
            <w:tcW w:w="560" w:type="pct"/>
            <w:tcBorders>
              <w:bottom w:val="single" w:color="auto" w:sz="12" w:space="0"/>
            </w:tcBorders>
            <w:vAlign w:val="center"/>
          </w:tcPr>
          <w:p w14:paraId="22CE9ED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p>
        </w:tc>
        <w:tc>
          <w:tcPr>
            <w:tcW w:w="471" w:type="pct"/>
            <w:tcBorders>
              <w:bottom w:val="single" w:color="auto" w:sz="12" w:space="0"/>
              <w:right w:val="single" w:color="auto" w:sz="4" w:space="0"/>
            </w:tcBorders>
            <w:vAlign w:val="center"/>
          </w:tcPr>
          <w:p w14:paraId="24EE13C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497" w:type="pct"/>
            <w:tcBorders>
              <w:bottom w:val="single" w:color="auto" w:sz="12" w:space="0"/>
              <w:right w:val="nil"/>
            </w:tcBorders>
            <w:vAlign w:val="center"/>
          </w:tcPr>
          <w:p w14:paraId="4418906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r>
    </w:tbl>
    <w:p w14:paraId="6EF69DA7">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（2）区系分布特点</w:t>
      </w:r>
    </w:p>
    <w:p w14:paraId="6468931A">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野生动物区系成份复杂，以古北界种类居多，有部分东洋界向北延伸的种类，也有少量蒙新区干旱种类侵入。该区野生动物分布特点为：既有适应北方寒冷气候的典型物种，也有可适应各种自然气候条件的广布种，仅有极少数南方物种。野生动物资源的分布特点，可概括为以下方面。</w:t>
      </w:r>
    </w:p>
    <w:p w14:paraId="1450BB15">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1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①</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北方种类占优势</w:t>
      </w:r>
    </w:p>
    <w:p w14:paraId="28584E7B">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在哺乳类中，北方优势种类表现明显。在长期进化过程中，许多哺乳类群已适应北方寒冷自然环境，形成典型的北方寒湿型物种。主要有香鼬（</w:t>
      </w:r>
      <w:r>
        <w:rPr>
          <w:rFonts w:ascii="Times New Roman" w:hAnsi="Times New Roman" w:cs="Times New Roman"/>
          <w:i/>
          <w:iCs/>
          <w:color w:val="auto"/>
          <w:kern w:val="21"/>
          <w:highlight w:val="none"/>
          <w:lang w:val="en-US"/>
        </w:rPr>
        <w:t>Mustela</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altaica</w:t>
      </w:r>
      <w:r>
        <w:rPr>
          <w:rFonts w:ascii="Times New Roman" w:hAnsi="Times New Roman" w:cs="Times New Roman"/>
          <w:color w:val="auto"/>
          <w:kern w:val="21"/>
          <w:highlight w:val="none"/>
          <w:lang w:val="en-US"/>
        </w:rPr>
        <w:t>）、东北兔（</w:t>
      </w:r>
      <w:r>
        <w:rPr>
          <w:rFonts w:ascii="Times New Roman" w:hAnsi="Times New Roman" w:cs="Times New Roman"/>
          <w:i/>
          <w:iCs/>
          <w:color w:val="auto"/>
          <w:kern w:val="21"/>
          <w:highlight w:val="none"/>
          <w:lang w:val="en-US"/>
        </w:rPr>
        <w:t>Lepus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mandshuricus</w:t>
      </w:r>
      <w:r>
        <w:rPr>
          <w:rFonts w:ascii="Times New Roman" w:hAnsi="Times New Roman" w:cs="Times New Roman"/>
          <w:color w:val="auto"/>
          <w:kern w:val="21"/>
          <w:highlight w:val="none"/>
          <w:lang w:val="en-US"/>
        </w:rPr>
        <w:t>）、松鼠（</w:t>
      </w:r>
      <w:r>
        <w:rPr>
          <w:rFonts w:ascii="Times New Roman" w:hAnsi="Times New Roman" w:cs="Times New Roman"/>
          <w:i/>
          <w:iCs/>
          <w:color w:val="auto"/>
          <w:kern w:val="21"/>
          <w:highlight w:val="none"/>
          <w:lang w:val="en-US"/>
        </w:rPr>
        <w:t>Sciurus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vulgaris</w:t>
      </w:r>
      <w:r>
        <w:rPr>
          <w:rFonts w:ascii="Times New Roman" w:hAnsi="Times New Roman" w:cs="Times New Roman"/>
          <w:color w:val="auto"/>
          <w:kern w:val="21"/>
          <w:highlight w:val="none"/>
          <w:lang w:val="en-US"/>
        </w:rPr>
        <w:t>）和小飞鼠（</w:t>
      </w:r>
      <w:r>
        <w:rPr>
          <w:rFonts w:ascii="Times New Roman" w:hAnsi="Times New Roman" w:cs="Times New Roman"/>
          <w:i/>
          <w:iCs/>
          <w:color w:val="auto"/>
          <w:kern w:val="21"/>
          <w:highlight w:val="none"/>
          <w:lang w:val="en-US"/>
        </w:rPr>
        <w:t>Pteromys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volans</w:t>
      </w:r>
      <w:r>
        <w:rPr>
          <w:rFonts w:ascii="Times New Roman" w:hAnsi="Times New Roman" w:cs="Times New Roman"/>
          <w:color w:val="auto"/>
          <w:kern w:val="21"/>
          <w:highlight w:val="none"/>
          <w:lang w:val="en-US"/>
        </w:rPr>
        <w:t>）等。具有北方特色的鸟类较多。</w:t>
      </w:r>
    </w:p>
    <w:p w14:paraId="26CAAC0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2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②</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两栖爬行动物分布种类较少</w:t>
      </w:r>
    </w:p>
    <w:p w14:paraId="2A9AE804">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评价区地处北方地区，受自然气候因素限制，保护区两栖和爬行动物分布的种类相对南方低纬度地区较少，但北方地区常见种类均有分布。评价区有两栖类动物有1目1科3种，爬行类动物有1目3科4种。</w:t>
      </w:r>
    </w:p>
    <w:p w14:paraId="4C9F9CF7">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3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③</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鸟类组成季节变化较大</w:t>
      </w:r>
    </w:p>
    <w:p w14:paraId="0E32576A">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冬季漫长寒冷、夏季温暖湿润，食物丰富，是多种候鸟的栖息地和繁殖地。各季节中，鸟类组成波动较大。冬季虽有一些留鸟和冬候鸟栖息活动，但与夏季比较呈现种类贫乏、种群单调。春、夏季由于有候鸟迁入繁殖，鸟类种类和数量均明显增多。</w:t>
      </w:r>
    </w:p>
    <w:p w14:paraId="6A613A9E">
      <w:pPr>
        <w:bidi w:val="0"/>
        <w:rPr>
          <w:color w:val="auto"/>
          <w:highlight w:val="none"/>
        </w:rPr>
      </w:pPr>
      <w:r>
        <w:rPr>
          <w:rFonts w:hint="eastAsia"/>
          <w:color w:val="auto"/>
          <w:highlight w:val="none"/>
          <w:lang w:val="en-US" w:eastAsia="zh-CN"/>
        </w:rPr>
        <w:t>2.</w:t>
      </w:r>
      <w:r>
        <w:rPr>
          <w:color w:val="auto"/>
          <w:highlight w:val="none"/>
          <w:lang w:val="en-US"/>
        </w:rPr>
        <w:t>动物现状调查</w:t>
      </w:r>
    </w:p>
    <w:p w14:paraId="4DD960F7">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根据《环境影响评价技术导则 生态影响》（HJ 19-2022）相关内容，陆生生态二级评价应结合调查范围、调查对象、地形地貌和实际情况选择合适的调查方法。开展样线调查的，应合理确定样线的数量、长度或面积，涵盖评价范围内不同的生境类型。一级评价每种生境类型设置的野生动物调查样线数量不少于3条。依据《全国陆生野生动物资源调查与监测技术规程》野生动物生境类型分为8种类型，即森林、灌丛、草原、荒漠、高山冻原、草甸、湿地及农田8大类型。</w:t>
      </w:r>
    </w:p>
    <w:p w14:paraId="4B83BAB5">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本项目涉及</w:t>
      </w:r>
      <w:r>
        <w:rPr>
          <w:rFonts w:hint="eastAsia" w:cs="Times New Roman"/>
          <w:color w:val="auto"/>
          <w:kern w:val="21"/>
          <w:highlight w:val="none"/>
          <w:lang w:val="en-US" w:eastAsia="zh-CN"/>
        </w:rPr>
        <w:t>2</w:t>
      </w:r>
      <w:r>
        <w:rPr>
          <w:rFonts w:ascii="Times New Roman" w:hAnsi="Times New Roman" w:cs="Times New Roman"/>
          <w:color w:val="auto"/>
          <w:kern w:val="21"/>
          <w:highlight w:val="none"/>
          <w:lang w:val="en-US"/>
        </w:rPr>
        <w:t>种类型生境，即森林、农田，依据评价范围内不同的生境类型，本项目共设置</w:t>
      </w:r>
      <w:r>
        <w:rPr>
          <w:rFonts w:hint="eastAsia" w:cs="Times New Roman"/>
          <w:color w:val="auto"/>
          <w:kern w:val="21"/>
          <w:highlight w:val="none"/>
          <w:lang w:val="en-US" w:eastAsia="zh-CN"/>
        </w:rPr>
        <w:t>6</w:t>
      </w:r>
      <w:r>
        <w:rPr>
          <w:rFonts w:ascii="Times New Roman" w:hAnsi="Times New Roman" w:cs="Times New Roman"/>
          <w:color w:val="auto"/>
          <w:kern w:val="21"/>
          <w:highlight w:val="none"/>
          <w:lang w:val="en-US"/>
        </w:rPr>
        <w:t>条动物样线。本次调查动物样线布设原则见表</w:t>
      </w:r>
      <w:r>
        <w:rPr>
          <w:rFonts w:hint="eastAsia" w:cs="Times New Roman"/>
          <w:color w:val="auto"/>
          <w:kern w:val="21"/>
          <w:highlight w:val="none"/>
          <w:lang w:val="en-US" w:eastAsia="zh-CN"/>
        </w:rPr>
        <w:t>4-2-31</w:t>
      </w:r>
      <w:r>
        <w:rPr>
          <w:rFonts w:ascii="Times New Roman" w:hAnsi="Times New Roman" w:cs="Times New Roman"/>
          <w:color w:val="auto"/>
          <w:kern w:val="21"/>
          <w:highlight w:val="none"/>
          <w:lang w:val="en-US"/>
        </w:rPr>
        <w:t>，评价区不同生境类型样线设置情况见表</w:t>
      </w:r>
      <w:r>
        <w:rPr>
          <w:rFonts w:hint="eastAsia" w:cs="Times New Roman"/>
          <w:color w:val="auto"/>
          <w:kern w:val="21"/>
          <w:highlight w:val="none"/>
          <w:lang w:val="en-US" w:eastAsia="zh-CN"/>
        </w:rPr>
        <w:t>4-2-32</w:t>
      </w:r>
      <w:r>
        <w:rPr>
          <w:rFonts w:ascii="Times New Roman" w:hAnsi="Times New Roman" w:cs="Times New Roman"/>
          <w:color w:val="auto"/>
          <w:kern w:val="21"/>
          <w:highlight w:val="none"/>
          <w:lang w:val="en-US"/>
        </w:rPr>
        <w:t>。</w:t>
      </w:r>
    </w:p>
    <w:p w14:paraId="4FF039C9">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w:t>
      </w:r>
      <w:r>
        <w:rPr>
          <w:rFonts w:hint="eastAsia" w:eastAsia="黑体" w:cs="Times New Roman"/>
          <w:snapToGrid w:val="0"/>
          <w:color w:val="auto"/>
          <w:kern w:val="0"/>
          <w:highlight w:val="none"/>
          <w:lang w:val="en-US" w:eastAsia="zh-CN"/>
        </w:rPr>
        <w:t>32</w:t>
      </w:r>
      <w:r>
        <w:rPr>
          <w:rFonts w:hint="eastAsia" w:ascii="Times New Roman" w:hAnsi="Times New Roman" w:eastAsia="黑体" w:cs="Times New Roman"/>
          <w:snapToGrid w:val="0"/>
          <w:color w:val="auto"/>
          <w:kern w:val="0"/>
          <w:highlight w:val="none"/>
          <w:lang w:val="en-US" w:eastAsia="zh-CN"/>
        </w:rPr>
        <w:t>动物样线布设原则表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
        <w:gridCol w:w="2007"/>
        <w:gridCol w:w="1305"/>
        <w:gridCol w:w="1742"/>
        <w:gridCol w:w="1200"/>
        <w:gridCol w:w="1355"/>
      </w:tblGrid>
      <w:tr w14:paraId="2732B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6" w:type="pct"/>
            <w:tcBorders>
              <w:top w:val="single" w:color="auto" w:sz="12" w:space="0"/>
              <w:left w:val="nil"/>
            </w:tcBorders>
            <w:vAlign w:val="center"/>
          </w:tcPr>
          <w:p w14:paraId="50759F9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序号</w:t>
            </w:r>
          </w:p>
        </w:tc>
        <w:tc>
          <w:tcPr>
            <w:tcW w:w="1209" w:type="pct"/>
            <w:tcBorders>
              <w:top w:val="single" w:color="auto" w:sz="12" w:space="0"/>
            </w:tcBorders>
            <w:vAlign w:val="center"/>
          </w:tcPr>
          <w:p w14:paraId="5C39FAC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敏感区名称</w:t>
            </w:r>
          </w:p>
        </w:tc>
        <w:tc>
          <w:tcPr>
            <w:tcW w:w="786" w:type="pct"/>
            <w:tcBorders>
              <w:top w:val="single" w:color="auto" w:sz="12" w:space="0"/>
            </w:tcBorders>
            <w:vAlign w:val="center"/>
          </w:tcPr>
          <w:p w14:paraId="50FFEE4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评价等级</w:t>
            </w:r>
          </w:p>
        </w:tc>
        <w:tc>
          <w:tcPr>
            <w:tcW w:w="1049" w:type="pct"/>
            <w:tcBorders>
              <w:top w:val="single" w:color="auto" w:sz="12" w:space="0"/>
            </w:tcBorders>
            <w:vAlign w:val="center"/>
          </w:tcPr>
          <w:p w14:paraId="030F6ED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涉及生境</w:t>
            </w:r>
          </w:p>
        </w:tc>
        <w:tc>
          <w:tcPr>
            <w:tcW w:w="721" w:type="pct"/>
            <w:tcBorders>
              <w:top w:val="single" w:color="auto" w:sz="12" w:space="0"/>
              <w:right w:val="nil"/>
            </w:tcBorders>
            <w:vAlign w:val="center"/>
          </w:tcPr>
          <w:p w14:paraId="6E3A46C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样线数量</w:t>
            </w:r>
          </w:p>
        </w:tc>
        <w:tc>
          <w:tcPr>
            <w:tcW w:w="816" w:type="pct"/>
            <w:tcBorders>
              <w:top w:val="single" w:color="auto" w:sz="12" w:space="0"/>
              <w:right w:val="nil"/>
            </w:tcBorders>
            <w:vAlign w:val="center"/>
          </w:tcPr>
          <w:p w14:paraId="040EDEC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合计</w:t>
            </w:r>
          </w:p>
        </w:tc>
      </w:tr>
      <w:tr w14:paraId="1573B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6" w:type="pct"/>
            <w:vMerge w:val="restart"/>
            <w:tcBorders>
              <w:left w:val="nil"/>
            </w:tcBorders>
            <w:vAlign w:val="center"/>
          </w:tcPr>
          <w:p w14:paraId="1DA86C8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1209" w:type="pct"/>
            <w:vMerge w:val="restart"/>
            <w:vAlign w:val="center"/>
          </w:tcPr>
          <w:p w14:paraId="1E5A4FB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天然林</w:t>
            </w:r>
          </w:p>
        </w:tc>
        <w:tc>
          <w:tcPr>
            <w:tcW w:w="786" w:type="pct"/>
            <w:vMerge w:val="restart"/>
            <w:vAlign w:val="center"/>
          </w:tcPr>
          <w:p w14:paraId="0695C2E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二级</w:t>
            </w:r>
          </w:p>
        </w:tc>
        <w:tc>
          <w:tcPr>
            <w:tcW w:w="1049" w:type="pct"/>
            <w:vAlign w:val="center"/>
          </w:tcPr>
          <w:p w14:paraId="34371DB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森林</w:t>
            </w:r>
          </w:p>
        </w:tc>
        <w:tc>
          <w:tcPr>
            <w:tcW w:w="721" w:type="pct"/>
            <w:tcBorders>
              <w:right w:val="nil"/>
            </w:tcBorders>
            <w:vAlign w:val="center"/>
          </w:tcPr>
          <w:p w14:paraId="4850E0D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816" w:type="pct"/>
            <w:tcBorders>
              <w:right w:val="nil"/>
            </w:tcBorders>
            <w:vAlign w:val="center"/>
          </w:tcPr>
          <w:p w14:paraId="3A67706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r>
      <w:tr w14:paraId="12412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6" w:type="pct"/>
            <w:vMerge w:val="continue"/>
            <w:tcBorders>
              <w:left w:val="nil"/>
            </w:tcBorders>
            <w:vAlign w:val="center"/>
          </w:tcPr>
          <w:p w14:paraId="28608813">
            <w:pPr>
              <w:pStyle w:val="492"/>
              <w:bidi w:val="0"/>
              <w:ind w:firstLine="0" w:firstLineChars="0"/>
              <w:rPr>
                <w:rFonts w:hint="eastAsia" w:ascii="Times New Roman" w:hAnsi="Times New Roman" w:eastAsia="宋体" w:cs="Times New Roman"/>
                <w:color w:val="auto"/>
                <w:highlight w:val="none"/>
                <w:lang w:val="en-US" w:eastAsia="zh-CN"/>
              </w:rPr>
            </w:pPr>
          </w:p>
        </w:tc>
        <w:tc>
          <w:tcPr>
            <w:tcW w:w="1209" w:type="pct"/>
            <w:vMerge w:val="continue"/>
            <w:vAlign w:val="center"/>
          </w:tcPr>
          <w:p w14:paraId="1B7FEE9D">
            <w:pPr>
              <w:pStyle w:val="492"/>
              <w:bidi w:val="0"/>
              <w:ind w:firstLine="0" w:firstLineChars="0"/>
              <w:rPr>
                <w:rFonts w:hint="eastAsia" w:ascii="Times New Roman" w:hAnsi="Times New Roman" w:eastAsia="宋体" w:cs="Times New Roman"/>
                <w:color w:val="auto"/>
                <w:highlight w:val="none"/>
                <w:lang w:val="en-US" w:eastAsia="zh-CN"/>
              </w:rPr>
            </w:pPr>
          </w:p>
        </w:tc>
        <w:tc>
          <w:tcPr>
            <w:tcW w:w="786" w:type="pct"/>
            <w:vMerge w:val="continue"/>
            <w:vAlign w:val="center"/>
          </w:tcPr>
          <w:p w14:paraId="2D83F6C0">
            <w:pPr>
              <w:pStyle w:val="492"/>
              <w:bidi w:val="0"/>
              <w:ind w:firstLine="0" w:firstLineChars="0"/>
              <w:rPr>
                <w:rFonts w:hint="eastAsia" w:ascii="Times New Roman" w:hAnsi="Times New Roman" w:eastAsia="宋体" w:cs="Times New Roman"/>
                <w:color w:val="auto"/>
                <w:highlight w:val="none"/>
                <w:lang w:val="en-US" w:eastAsia="zh-CN"/>
              </w:rPr>
            </w:pPr>
          </w:p>
        </w:tc>
        <w:tc>
          <w:tcPr>
            <w:tcW w:w="1049" w:type="pct"/>
            <w:tcBorders>
              <w:bottom w:val="single" w:color="000000" w:sz="4" w:space="0"/>
            </w:tcBorders>
            <w:vAlign w:val="center"/>
          </w:tcPr>
          <w:p w14:paraId="0F9A53C6">
            <w:pPr>
              <w:pStyle w:val="492"/>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农田</w:t>
            </w:r>
          </w:p>
        </w:tc>
        <w:tc>
          <w:tcPr>
            <w:tcW w:w="721" w:type="pct"/>
            <w:tcBorders>
              <w:right w:val="nil"/>
            </w:tcBorders>
            <w:vAlign w:val="center"/>
          </w:tcPr>
          <w:p w14:paraId="1AF761E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816" w:type="pct"/>
            <w:tcBorders>
              <w:right w:val="nil"/>
            </w:tcBorders>
            <w:vAlign w:val="center"/>
          </w:tcPr>
          <w:p w14:paraId="34B292F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r>
      <w:tr w14:paraId="5B563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83" w:type="pct"/>
            <w:gridSpan w:val="5"/>
            <w:tcBorders>
              <w:left w:val="nil"/>
              <w:bottom w:val="single" w:color="auto" w:sz="12" w:space="0"/>
              <w:right w:val="nil"/>
            </w:tcBorders>
            <w:vAlign w:val="center"/>
          </w:tcPr>
          <w:p w14:paraId="1BC1437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合计</w:t>
            </w:r>
          </w:p>
        </w:tc>
        <w:tc>
          <w:tcPr>
            <w:tcW w:w="816" w:type="pct"/>
            <w:tcBorders>
              <w:bottom w:val="single" w:color="auto" w:sz="12" w:space="0"/>
              <w:right w:val="nil"/>
            </w:tcBorders>
            <w:vAlign w:val="center"/>
          </w:tcPr>
          <w:p w14:paraId="48AD27A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r>
    </w:tbl>
    <w:p w14:paraId="2ACD4705">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表4-2-3</w:t>
      </w:r>
      <w:r>
        <w:rPr>
          <w:rFonts w:hint="eastAsia" w:eastAsia="黑体" w:cs="Times New Roman"/>
          <w:snapToGrid w:val="0"/>
          <w:color w:val="auto"/>
          <w:kern w:val="0"/>
          <w:highlight w:val="none"/>
          <w:lang w:val="en-US" w:eastAsia="zh-CN"/>
        </w:rPr>
        <w:t>3</w:t>
      </w:r>
      <w:r>
        <w:rPr>
          <w:rFonts w:hint="eastAsia" w:ascii="Times New Roman" w:hAnsi="Times New Roman" w:eastAsia="黑体" w:cs="Times New Roman"/>
          <w:snapToGrid w:val="0"/>
          <w:color w:val="auto"/>
          <w:kern w:val="0"/>
          <w:highlight w:val="none"/>
          <w:lang w:val="en-US" w:eastAsia="zh-CN"/>
        </w:rPr>
        <w:t xml:space="preserve"> 评价区不同生境类型样线设置情况表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984"/>
        <w:gridCol w:w="2081"/>
        <w:gridCol w:w="2016"/>
        <w:gridCol w:w="1199"/>
        <w:gridCol w:w="1146"/>
      </w:tblGrid>
      <w:tr w14:paraId="42E50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restart"/>
            <w:vAlign w:val="center"/>
          </w:tcPr>
          <w:p w14:paraId="3FF3DC74">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生境</w:t>
            </w:r>
          </w:p>
          <w:p w14:paraId="7F616B3B">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类型</w:t>
            </w:r>
          </w:p>
        </w:tc>
        <w:tc>
          <w:tcPr>
            <w:tcW w:w="592" w:type="pct"/>
            <w:vMerge w:val="restart"/>
            <w:vAlign w:val="center"/>
          </w:tcPr>
          <w:p w14:paraId="4CB79725">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样线</w:t>
            </w:r>
          </w:p>
          <w:p w14:paraId="6D4B05D2">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编号</w:t>
            </w:r>
          </w:p>
        </w:tc>
        <w:tc>
          <w:tcPr>
            <w:tcW w:w="2465" w:type="pct"/>
            <w:gridSpan w:val="2"/>
            <w:vAlign w:val="center"/>
          </w:tcPr>
          <w:p w14:paraId="523E937B">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样线经纬度</w:t>
            </w:r>
          </w:p>
        </w:tc>
        <w:tc>
          <w:tcPr>
            <w:tcW w:w="721" w:type="pct"/>
            <w:vMerge w:val="restart"/>
            <w:vAlign w:val="center"/>
          </w:tcPr>
          <w:p w14:paraId="1CDFBB0B">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样</w:t>
            </w:r>
            <w:r>
              <w:rPr>
                <w:rFonts w:ascii="Times New Roman" w:hAnsi="Times New Roman" w:cs="Times New Roman"/>
                <w:color w:val="auto"/>
                <w:kern w:val="21"/>
                <w:sz w:val="21"/>
                <w:szCs w:val="21"/>
                <w:highlight w:val="none"/>
                <w:lang w:val="en-US"/>
              </w:rPr>
              <w:t>线位置</w:t>
            </w:r>
          </w:p>
        </w:tc>
        <w:tc>
          <w:tcPr>
            <w:tcW w:w="689" w:type="pct"/>
            <w:vMerge w:val="restart"/>
            <w:vAlign w:val="center"/>
          </w:tcPr>
          <w:p w14:paraId="4C21003F">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样</w:t>
            </w:r>
            <w:r>
              <w:rPr>
                <w:rFonts w:ascii="Times New Roman" w:hAnsi="Times New Roman" w:cs="Times New Roman"/>
                <w:color w:val="auto"/>
                <w:kern w:val="21"/>
                <w:sz w:val="21"/>
                <w:szCs w:val="21"/>
                <w:highlight w:val="none"/>
                <w:lang w:val="en-US"/>
              </w:rPr>
              <w:t>线长度</w:t>
            </w:r>
          </w:p>
        </w:tc>
      </w:tr>
      <w:tr w14:paraId="3DB23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continue"/>
            <w:vAlign w:val="center"/>
          </w:tcPr>
          <w:p w14:paraId="78CC53FC">
            <w:pPr>
              <w:autoSpaceDE/>
              <w:autoSpaceDN/>
              <w:adjustRightInd w:val="0"/>
              <w:snapToGrid w:val="0"/>
              <w:jc w:val="center"/>
              <w:rPr>
                <w:rFonts w:ascii="Times New Roman" w:hAnsi="Times New Roman" w:cs="Times New Roman"/>
                <w:color w:val="auto"/>
                <w:kern w:val="21"/>
                <w:sz w:val="21"/>
                <w:szCs w:val="21"/>
                <w:highlight w:val="none"/>
                <w:lang w:val="en-US"/>
              </w:rPr>
            </w:pPr>
          </w:p>
        </w:tc>
        <w:tc>
          <w:tcPr>
            <w:tcW w:w="592" w:type="pct"/>
            <w:vMerge w:val="continue"/>
            <w:vAlign w:val="center"/>
          </w:tcPr>
          <w:p w14:paraId="4958DB47">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p>
        </w:tc>
        <w:tc>
          <w:tcPr>
            <w:tcW w:w="1252" w:type="pct"/>
            <w:vAlign w:val="center"/>
          </w:tcPr>
          <w:p w14:paraId="3EED6837">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起点</w:t>
            </w:r>
          </w:p>
        </w:tc>
        <w:tc>
          <w:tcPr>
            <w:tcW w:w="1212" w:type="pct"/>
            <w:vAlign w:val="center"/>
          </w:tcPr>
          <w:p w14:paraId="321D88A3">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终点</w:t>
            </w:r>
          </w:p>
        </w:tc>
        <w:tc>
          <w:tcPr>
            <w:tcW w:w="721" w:type="pct"/>
            <w:vMerge w:val="continue"/>
            <w:vAlign w:val="center"/>
          </w:tcPr>
          <w:p w14:paraId="4996FC1D">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p>
        </w:tc>
        <w:tc>
          <w:tcPr>
            <w:tcW w:w="689" w:type="pct"/>
            <w:vMerge w:val="continue"/>
            <w:vAlign w:val="center"/>
          </w:tcPr>
          <w:p w14:paraId="3B28D793">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p>
        </w:tc>
      </w:tr>
      <w:tr w14:paraId="268A78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restart"/>
            <w:vAlign w:val="center"/>
          </w:tcPr>
          <w:p w14:paraId="3113AF9E">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森林</w:t>
            </w:r>
          </w:p>
        </w:tc>
        <w:tc>
          <w:tcPr>
            <w:tcW w:w="592" w:type="pct"/>
            <w:vAlign w:val="center"/>
          </w:tcPr>
          <w:p w14:paraId="14D0B16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rPr>
              <w:t>1#</w:t>
            </w:r>
          </w:p>
        </w:tc>
        <w:tc>
          <w:tcPr>
            <w:tcW w:w="1252" w:type="pct"/>
            <w:vAlign w:val="center"/>
          </w:tcPr>
          <w:p w14:paraId="164D4060">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SA"/>
              </w:rPr>
              <w:t>127°21'28.3743"</w:t>
            </w:r>
          </w:p>
          <w:p w14:paraId="30888470">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SA"/>
              </w:rPr>
              <w:t>49°32'05.4862"</w:t>
            </w:r>
          </w:p>
        </w:tc>
        <w:tc>
          <w:tcPr>
            <w:tcW w:w="1212" w:type="pct"/>
            <w:vAlign w:val="center"/>
          </w:tcPr>
          <w:p w14:paraId="3A7F97F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SA"/>
              </w:rPr>
              <w:t>127°21'29.1482"</w:t>
            </w:r>
          </w:p>
          <w:p w14:paraId="26B0DDF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SA"/>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SA"/>
              </w:rPr>
              <w:t>49°32'01.0771"</w:t>
            </w:r>
          </w:p>
        </w:tc>
        <w:tc>
          <w:tcPr>
            <w:tcW w:w="721" w:type="pct"/>
            <w:vAlign w:val="center"/>
          </w:tcPr>
          <w:p w14:paraId="5CBC5D63">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场区东</w:t>
            </w:r>
            <w:r>
              <w:rPr>
                <w:rFonts w:ascii="Times New Roman" w:hAnsi="Times New Roman" w:cs="Times New Roman"/>
                <w:color w:val="auto"/>
                <w:kern w:val="21"/>
                <w:sz w:val="21"/>
                <w:szCs w:val="21"/>
                <w:highlight w:val="none"/>
                <w:lang w:val="en-US" w:bidi="ar"/>
              </w:rPr>
              <w:t>侧</w:t>
            </w:r>
          </w:p>
        </w:tc>
        <w:tc>
          <w:tcPr>
            <w:tcW w:w="689" w:type="pct"/>
            <w:vAlign w:val="center"/>
          </w:tcPr>
          <w:p w14:paraId="4BC913C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
              </w:rPr>
              <w:t>1</w:t>
            </w:r>
            <w:r>
              <w:rPr>
                <w:rFonts w:hint="eastAsia" w:ascii="Times New Roman" w:hAnsi="Times New Roman" w:cs="Times New Roman"/>
                <w:color w:val="auto"/>
                <w:kern w:val="21"/>
                <w:sz w:val="21"/>
                <w:szCs w:val="21"/>
                <w:highlight w:val="none"/>
                <w:lang w:val="en-US" w:eastAsia="zh-CN" w:bidi="ar"/>
              </w:rPr>
              <w:t>3</w:t>
            </w:r>
            <w:r>
              <w:rPr>
                <w:rFonts w:ascii="Times New Roman" w:hAnsi="Times New Roman" w:cs="Times New Roman"/>
                <w:color w:val="auto"/>
                <w:kern w:val="21"/>
                <w:sz w:val="21"/>
                <w:szCs w:val="21"/>
                <w:highlight w:val="none"/>
                <w:lang w:val="en-US" w:bidi="ar"/>
              </w:rPr>
              <w:t>0m</w:t>
            </w:r>
          </w:p>
        </w:tc>
      </w:tr>
      <w:tr w14:paraId="4F823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continue"/>
            <w:vAlign w:val="center"/>
          </w:tcPr>
          <w:p w14:paraId="2DDC8F8F">
            <w:pPr>
              <w:widowControl/>
              <w:autoSpaceDE/>
              <w:autoSpaceDN/>
              <w:adjustRightInd w:val="0"/>
              <w:snapToGrid w:val="0"/>
              <w:jc w:val="center"/>
              <w:textAlignment w:val="center"/>
              <w:rPr>
                <w:rFonts w:ascii="Times New Roman" w:hAnsi="Times New Roman" w:cs="Times New Roman"/>
                <w:color w:val="auto"/>
                <w:kern w:val="21"/>
                <w:sz w:val="21"/>
                <w:szCs w:val="21"/>
                <w:highlight w:val="none"/>
                <w:lang w:val="en-US"/>
              </w:rPr>
            </w:pPr>
          </w:p>
        </w:tc>
        <w:tc>
          <w:tcPr>
            <w:tcW w:w="592" w:type="pct"/>
            <w:vAlign w:val="center"/>
          </w:tcPr>
          <w:p w14:paraId="6E854058">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2#</w:t>
            </w:r>
          </w:p>
        </w:tc>
        <w:tc>
          <w:tcPr>
            <w:tcW w:w="1252" w:type="pct"/>
            <w:vAlign w:val="center"/>
          </w:tcPr>
          <w:p w14:paraId="164BFE11">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127°20'59.0805"</w:t>
            </w:r>
          </w:p>
          <w:p w14:paraId="2E5DB0C9">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N</w:t>
            </w:r>
            <w:r>
              <w:rPr>
                <w:rFonts w:hint="eastAsia" w:ascii="Times New Roman" w:hAnsi="Times New Roman" w:cs="Times New Roman"/>
                <w:color w:val="auto"/>
                <w:kern w:val="21"/>
                <w:sz w:val="21"/>
                <w:szCs w:val="21"/>
                <w:highlight w:val="none"/>
                <w:lang w:val="en-US" w:eastAsia="zh-CN" w:bidi="ar-SA"/>
              </w:rPr>
              <w:t xml:space="preserve"> </w:t>
            </w:r>
            <w:r>
              <w:rPr>
                <w:rFonts w:hint="eastAsia" w:ascii="Times New Roman" w:hAnsi="Times New Roman" w:cs="Times New Roman"/>
                <w:color w:val="auto"/>
                <w:kern w:val="21"/>
                <w:sz w:val="21"/>
                <w:szCs w:val="21"/>
                <w:highlight w:val="none"/>
                <w:lang w:val="en-US" w:bidi="ar-SA"/>
              </w:rPr>
              <w:t>49°31'53.0043"</w:t>
            </w:r>
          </w:p>
        </w:tc>
        <w:tc>
          <w:tcPr>
            <w:tcW w:w="1212" w:type="pct"/>
            <w:vAlign w:val="center"/>
          </w:tcPr>
          <w:p w14:paraId="35FC226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127°20'57.8402"</w:t>
            </w:r>
          </w:p>
          <w:p w14:paraId="4F2E7929">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49°31'51.0974"</w:t>
            </w:r>
          </w:p>
        </w:tc>
        <w:tc>
          <w:tcPr>
            <w:tcW w:w="721" w:type="pct"/>
            <w:vAlign w:val="center"/>
          </w:tcPr>
          <w:p w14:paraId="209009B8">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西</w:t>
            </w:r>
            <w:r>
              <w:rPr>
                <w:rFonts w:hint="eastAsia" w:ascii="Times New Roman" w:hAnsi="Times New Roman" w:cs="Times New Roman"/>
                <w:color w:val="auto"/>
                <w:kern w:val="21"/>
                <w:sz w:val="21"/>
                <w:szCs w:val="21"/>
                <w:highlight w:val="none"/>
                <w:lang w:val="en-US" w:eastAsia="zh-CN" w:bidi="ar"/>
              </w:rPr>
              <w:t>侧</w:t>
            </w:r>
          </w:p>
        </w:tc>
        <w:tc>
          <w:tcPr>
            <w:tcW w:w="689" w:type="pct"/>
            <w:vAlign w:val="center"/>
          </w:tcPr>
          <w:p w14:paraId="5F979EDF">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12</w:t>
            </w:r>
            <w:r>
              <w:rPr>
                <w:rFonts w:ascii="Times New Roman" w:hAnsi="Times New Roman" w:cs="Times New Roman"/>
                <w:color w:val="auto"/>
                <w:kern w:val="21"/>
                <w:sz w:val="21"/>
                <w:szCs w:val="21"/>
                <w:highlight w:val="none"/>
                <w:lang w:val="en-US" w:bidi="ar"/>
              </w:rPr>
              <w:t>0m</w:t>
            </w:r>
          </w:p>
        </w:tc>
      </w:tr>
      <w:tr w14:paraId="3944E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continue"/>
            <w:vAlign w:val="center"/>
          </w:tcPr>
          <w:p w14:paraId="712C1A15">
            <w:pPr>
              <w:widowControl/>
              <w:autoSpaceDE/>
              <w:autoSpaceDN/>
              <w:adjustRightInd w:val="0"/>
              <w:snapToGrid w:val="0"/>
              <w:jc w:val="center"/>
              <w:textAlignment w:val="center"/>
              <w:rPr>
                <w:rFonts w:ascii="Times New Roman" w:hAnsi="Times New Roman" w:cs="Times New Roman"/>
                <w:color w:val="auto"/>
                <w:kern w:val="21"/>
                <w:sz w:val="21"/>
                <w:szCs w:val="21"/>
                <w:highlight w:val="none"/>
                <w:lang w:val="en-US"/>
              </w:rPr>
            </w:pPr>
          </w:p>
        </w:tc>
        <w:tc>
          <w:tcPr>
            <w:tcW w:w="592" w:type="pct"/>
            <w:vAlign w:val="center"/>
          </w:tcPr>
          <w:p w14:paraId="5D907A49">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3#</w:t>
            </w:r>
          </w:p>
        </w:tc>
        <w:tc>
          <w:tcPr>
            <w:tcW w:w="1252" w:type="pct"/>
            <w:vAlign w:val="center"/>
          </w:tcPr>
          <w:p w14:paraId="0E543180">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127°20'39.2364"</w:t>
            </w:r>
          </w:p>
          <w:p w14:paraId="3BE194D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49°31'32.8174"</w:t>
            </w:r>
          </w:p>
        </w:tc>
        <w:tc>
          <w:tcPr>
            <w:tcW w:w="1212" w:type="pct"/>
            <w:vAlign w:val="center"/>
          </w:tcPr>
          <w:p w14:paraId="66610913">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127°20'33.8106"</w:t>
            </w:r>
          </w:p>
          <w:p w14:paraId="064925DA">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49°31'30.3007"</w:t>
            </w:r>
          </w:p>
        </w:tc>
        <w:tc>
          <w:tcPr>
            <w:tcW w:w="721" w:type="pct"/>
            <w:vAlign w:val="center"/>
          </w:tcPr>
          <w:p w14:paraId="59260A12">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场区北</w:t>
            </w:r>
            <w:r>
              <w:rPr>
                <w:rFonts w:ascii="Times New Roman" w:hAnsi="Times New Roman" w:cs="Times New Roman"/>
                <w:color w:val="auto"/>
                <w:kern w:val="21"/>
                <w:sz w:val="21"/>
                <w:szCs w:val="21"/>
                <w:highlight w:val="none"/>
                <w:lang w:val="en-US" w:bidi="ar"/>
              </w:rPr>
              <w:t>侧</w:t>
            </w:r>
          </w:p>
        </w:tc>
        <w:tc>
          <w:tcPr>
            <w:tcW w:w="689" w:type="pct"/>
            <w:vAlign w:val="center"/>
          </w:tcPr>
          <w:p w14:paraId="1D8E2D6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16</w:t>
            </w:r>
            <w:r>
              <w:rPr>
                <w:rFonts w:ascii="Times New Roman" w:hAnsi="Times New Roman" w:cs="Times New Roman"/>
                <w:color w:val="auto"/>
                <w:kern w:val="21"/>
                <w:sz w:val="21"/>
                <w:szCs w:val="21"/>
                <w:highlight w:val="none"/>
                <w:lang w:val="en-US" w:bidi="ar"/>
              </w:rPr>
              <w:t>0m</w:t>
            </w:r>
          </w:p>
        </w:tc>
      </w:tr>
      <w:tr w14:paraId="0C0ED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restart"/>
            <w:vAlign w:val="center"/>
          </w:tcPr>
          <w:p w14:paraId="35D2BB64">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农田</w:t>
            </w:r>
          </w:p>
        </w:tc>
        <w:tc>
          <w:tcPr>
            <w:tcW w:w="592" w:type="pct"/>
            <w:vAlign w:val="center"/>
          </w:tcPr>
          <w:p w14:paraId="05BFF0C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rPr>
            </w:pPr>
            <w:r>
              <w:rPr>
                <w:rFonts w:hint="eastAsia" w:ascii="Times New Roman" w:hAnsi="Times New Roman" w:cs="Times New Roman"/>
                <w:color w:val="auto"/>
                <w:kern w:val="21"/>
                <w:sz w:val="21"/>
                <w:szCs w:val="21"/>
                <w:highlight w:val="none"/>
                <w:lang w:val="en-US" w:eastAsia="zh-CN"/>
              </w:rPr>
              <w:t>4</w:t>
            </w:r>
            <w:r>
              <w:rPr>
                <w:rFonts w:ascii="Times New Roman" w:hAnsi="Times New Roman" w:cs="Times New Roman"/>
                <w:color w:val="auto"/>
                <w:kern w:val="21"/>
                <w:sz w:val="21"/>
                <w:szCs w:val="21"/>
                <w:highlight w:val="none"/>
                <w:lang w:val="en-US"/>
              </w:rPr>
              <w:t>#</w:t>
            </w:r>
          </w:p>
        </w:tc>
        <w:tc>
          <w:tcPr>
            <w:tcW w:w="1252" w:type="pct"/>
            <w:vAlign w:val="center"/>
          </w:tcPr>
          <w:p w14:paraId="0271482C">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127°21'04.5062"</w:t>
            </w:r>
          </w:p>
          <w:p w14:paraId="28D3ABA3">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49°31'57.7255"</w:t>
            </w:r>
          </w:p>
        </w:tc>
        <w:tc>
          <w:tcPr>
            <w:tcW w:w="1212" w:type="pct"/>
            <w:vAlign w:val="center"/>
          </w:tcPr>
          <w:p w14:paraId="10B21820">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127°20'58.7712"</w:t>
            </w:r>
          </w:p>
          <w:p w14:paraId="4E5B92DF">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49°31'56.4119"</w:t>
            </w:r>
          </w:p>
        </w:tc>
        <w:tc>
          <w:tcPr>
            <w:tcW w:w="721" w:type="pct"/>
            <w:vAlign w:val="center"/>
          </w:tcPr>
          <w:p w14:paraId="22349DD8">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场区</w:t>
            </w:r>
            <w:r>
              <w:rPr>
                <w:rFonts w:ascii="Times New Roman" w:hAnsi="Times New Roman" w:cs="Times New Roman"/>
                <w:color w:val="auto"/>
                <w:kern w:val="21"/>
                <w:sz w:val="21"/>
                <w:szCs w:val="21"/>
                <w:highlight w:val="none"/>
                <w:lang w:val="en-US" w:bidi="ar"/>
              </w:rPr>
              <w:t>北侧</w:t>
            </w:r>
          </w:p>
        </w:tc>
        <w:tc>
          <w:tcPr>
            <w:tcW w:w="689" w:type="pct"/>
            <w:vAlign w:val="center"/>
          </w:tcPr>
          <w:p w14:paraId="462C6572">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20</w:t>
            </w:r>
            <w:r>
              <w:rPr>
                <w:rFonts w:ascii="Times New Roman" w:hAnsi="Times New Roman" w:cs="Times New Roman"/>
                <w:color w:val="auto"/>
                <w:kern w:val="21"/>
                <w:sz w:val="21"/>
                <w:szCs w:val="21"/>
                <w:highlight w:val="none"/>
                <w:lang w:val="en-US" w:bidi="ar"/>
              </w:rPr>
              <w:t>0m</w:t>
            </w:r>
          </w:p>
        </w:tc>
      </w:tr>
      <w:tr w14:paraId="6C14F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continue"/>
            <w:vAlign w:val="center"/>
          </w:tcPr>
          <w:p w14:paraId="03AF8CF5">
            <w:pPr>
              <w:widowControl/>
              <w:autoSpaceDE/>
              <w:autoSpaceDN/>
              <w:adjustRightInd w:val="0"/>
              <w:snapToGrid w:val="0"/>
              <w:jc w:val="center"/>
              <w:textAlignment w:val="center"/>
              <w:rPr>
                <w:rFonts w:ascii="Times New Roman" w:hAnsi="Times New Roman" w:cs="Times New Roman"/>
                <w:color w:val="auto"/>
                <w:kern w:val="21"/>
                <w:sz w:val="21"/>
                <w:szCs w:val="21"/>
                <w:highlight w:val="none"/>
                <w:lang w:val="en-US"/>
              </w:rPr>
            </w:pPr>
          </w:p>
        </w:tc>
        <w:tc>
          <w:tcPr>
            <w:tcW w:w="592" w:type="pct"/>
            <w:vAlign w:val="center"/>
          </w:tcPr>
          <w:p w14:paraId="4E9A83F5">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rPr>
              <w:t>5</w:t>
            </w:r>
            <w:r>
              <w:rPr>
                <w:rFonts w:ascii="Times New Roman" w:hAnsi="Times New Roman" w:cs="Times New Roman"/>
                <w:color w:val="auto"/>
                <w:kern w:val="21"/>
                <w:sz w:val="21"/>
                <w:szCs w:val="21"/>
                <w:highlight w:val="none"/>
                <w:lang w:val="en-US"/>
              </w:rPr>
              <w:t>#</w:t>
            </w:r>
          </w:p>
        </w:tc>
        <w:tc>
          <w:tcPr>
            <w:tcW w:w="1252" w:type="pct"/>
            <w:vAlign w:val="center"/>
          </w:tcPr>
          <w:p w14:paraId="1053E7FB">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127°20'54.8949"</w:t>
            </w:r>
          </w:p>
          <w:p w14:paraId="0E59AF6D">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49°31'49.2876"</w:t>
            </w:r>
          </w:p>
        </w:tc>
        <w:tc>
          <w:tcPr>
            <w:tcW w:w="1212" w:type="pct"/>
            <w:vAlign w:val="center"/>
          </w:tcPr>
          <w:p w14:paraId="361B975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127°20'50.5550"</w:t>
            </w:r>
          </w:p>
          <w:p w14:paraId="79E939EA">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49°31'49.2795"</w:t>
            </w:r>
          </w:p>
        </w:tc>
        <w:tc>
          <w:tcPr>
            <w:tcW w:w="721" w:type="pct"/>
            <w:vAlign w:val="center"/>
          </w:tcPr>
          <w:p w14:paraId="3226C576">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场区北侧</w:t>
            </w:r>
          </w:p>
        </w:tc>
        <w:tc>
          <w:tcPr>
            <w:tcW w:w="689" w:type="pct"/>
            <w:vAlign w:val="center"/>
          </w:tcPr>
          <w:p w14:paraId="242EBD45">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10</w:t>
            </w:r>
            <w:r>
              <w:rPr>
                <w:rFonts w:ascii="Times New Roman" w:hAnsi="Times New Roman" w:cs="Times New Roman"/>
                <w:color w:val="auto"/>
                <w:kern w:val="21"/>
                <w:sz w:val="21"/>
                <w:szCs w:val="21"/>
                <w:highlight w:val="none"/>
                <w:lang w:val="en-US" w:bidi="ar"/>
              </w:rPr>
              <w:t>0m</w:t>
            </w:r>
          </w:p>
        </w:tc>
      </w:tr>
      <w:tr w14:paraId="74EA9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1" w:type="pct"/>
            <w:vMerge w:val="continue"/>
            <w:vAlign w:val="center"/>
          </w:tcPr>
          <w:p w14:paraId="795D1698">
            <w:pPr>
              <w:widowControl/>
              <w:autoSpaceDE/>
              <w:autoSpaceDN/>
              <w:adjustRightInd w:val="0"/>
              <w:snapToGrid w:val="0"/>
              <w:jc w:val="center"/>
              <w:textAlignment w:val="center"/>
              <w:rPr>
                <w:rFonts w:ascii="Times New Roman" w:hAnsi="Times New Roman" w:cs="Times New Roman"/>
                <w:color w:val="auto"/>
                <w:kern w:val="21"/>
                <w:sz w:val="21"/>
                <w:szCs w:val="21"/>
                <w:highlight w:val="none"/>
                <w:lang w:val="en-US"/>
              </w:rPr>
            </w:pPr>
          </w:p>
        </w:tc>
        <w:tc>
          <w:tcPr>
            <w:tcW w:w="592" w:type="pct"/>
            <w:vAlign w:val="center"/>
          </w:tcPr>
          <w:p w14:paraId="0F86344E">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rPr>
              <w:t>6</w:t>
            </w:r>
            <w:r>
              <w:rPr>
                <w:rFonts w:ascii="Times New Roman" w:hAnsi="Times New Roman" w:cs="Times New Roman"/>
                <w:color w:val="auto"/>
                <w:kern w:val="21"/>
                <w:sz w:val="21"/>
                <w:szCs w:val="21"/>
                <w:highlight w:val="none"/>
                <w:lang w:val="en-US"/>
              </w:rPr>
              <w:t>#</w:t>
            </w:r>
          </w:p>
        </w:tc>
        <w:tc>
          <w:tcPr>
            <w:tcW w:w="1252" w:type="pct"/>
            <w:vAlign w:val="center"/>
          </w:tcPr>
          <w:p w14:paraId="6CB5B305">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127°20'24.3546"</w:t>
            </w:r>
          </w:p>
          <w:p w14:paraId="592D7C17">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49°31'28.6786"</w:t>
            </w:r>
          </w:p>
        </w:tc>
        <w:tc>
          <w:tcPr>
            <w:tcW w:w="1212" w:type="pct"/>
            <w:vAlign w:val="center"/>
          </w:tcPr>
          <w:p w14:paraId="7AA5317F">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E </w:t>
            </w:r>
            <w:r>
              <w:rPr>
                <w:rFonts w:hint="eastAsia" w:ascii="Times New Roman" w:hAnsi="Times New Roman" w:cs="Times New Roman"/>
                <w:color w:val="auto"/>
                <w:kern w:val="21"/>
                <w:sz w:val="21"/>
                <w:szCs w:val="21"/>
                <w:highlight w:val="none"/>
                <w:lang w:val="en-US" w:bidi="ar"/>
              </w:rPr>
              <w:t>127°20'18.4634"</w:t>
            </w:r>
          </w:p>
          <w:p w14:paraId="23F79BA0">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bidi="ar-SA"/>
              </w:rPr>
              <w:t xml:space="preserve">N </w:t>
            </w:r>
            <w:r>
              <w:rPr>
                <w:rFonts w:hint="eastAsia" w:ascii="Times New Roman" w:hAnsi="Times New Roman" w:cs="Times New Roman"/>
                <w:color w:val="auto"/>
                <w:kern w:val="21"/>
                <w:sz w:val="21"/>
                <w:szCs w:val="21"/>
                <w:highlight w:val="none"/>
                <w:lang w:val="en-US" w:bidi="ar"/>
              </w:rPr>
              <w:t>49°31'25.0580"</w:t>
            </w:r>
          </w:p>
        </w:tc>
        <w:tc>
          <w:tcPr>
            <w:tcW w:w="721" w:type="pct"/>
            <w:vAlign w:val="center"/>
          </w:tcPr>
          <w:p w14:paraId="43A1EC30">
            <w:pPr>
              <w:widowControl/>
              <w:autoSpaceDE/>
              <w:autoSpaceDN/>
              <w:adjustRightInd w:val="0"/>
              <w:snapToGrid w:val="0"/>
              <w:ind w:left="0" w:leftChars="0" w:firstLine="0" w:firstLineChars="0"/>
              <w:jc w:val="center"/>
              <w:textAlignment w:val="center"/>
              <w:rPr>
                <w:rFonts w:hint="eastAsia" w:ascii="Times New Roman" w:hAnsi="Times New Roman" w:eastAsia="宋体" w:cs="Times New Roman"/>
                <w:color w:val="auto"/>
                <w:kern w:val="21"/>
                <w:sz w:val="21"/>
                <w:szCs w:val="21"/>
                <w:highlight w:val="none"/>
                <w:lang w:val="en-US" w:eastAsia="zh-CN" w:bidi="ar"/>
              </w:rPr>
            </w:pPr>
            <w:r>
              <w:rPr>
                <w:rFonts w:hint="eastAsia" w:ascii="Times New Roman" w:hAnsi="Times New Roman" w:cs="Times New Roman"/>
                <w:color w:val="auto"/>
                <w:kern w:val="21"/>
                <w:sz w:val="21"/>
                <w:szCs w:val="21"/>
                <w:highlight w:val="none"/>
                <w:lang w:val="en-US" w:eastAsia="zh-CN" w:bidi="ar"/>
              </w:rPr>
              <w:t>场区西北</w:t>
            </w:r>
          </w:p>
        </w:tc>
        <w:tc>
          <w:tcPr>
            <w:tcW w:w="689" w:type="pct"/>
            <w:vAlign w:val="center"/>
          </w:tcPr>
          <w:p w14:paraId="1433E026">
            <w:pPr>
              <w:widowControl/>
              <w:autoSpaceDE/>
              <w:autoSpaceDN/>
              <w:adjustRightInd w:val="0"/>
              <w:snapToGrid w:val="0"/>
              <w:ind w:left="0" w:leftChars="0" w:firstLine="0" w:firstLineChars="0"/>
              <w:jc w:val="center"/>
              <w:textAlignment w:val="center"/>
              <w:rPr>
                <w:rFonts w:ascii="Times New Roman" w:hAnsi="Times New Roman" w:cs="Times New Roman"/>
                <w:color w:val="auto"/>
                <w:kern w:val="21"/>
                <w:sz w:val="21"/>
                <w:szCs w:val="21"/>
                <w:highlight w:val="none"/>
                <w:lang w:val="en-US" w:bidi="ar"/>
              </w:rPr>
            </w:pPr>
            <w:r>
              <w:rPr>
                <w:rFonts w:hint="eastAsia" w:ascii="Times New Roman" w:hAnsi="Times New Roman" w:cs="Times New Roman"/>
                <w:color w:val="auto"/>
                <w:kern w:val="21"/>
                <w:sz w:val="21"/>
                <w:szCs w:val="21"/>
                <w:highlight w:val="none"/>
                <w:lang w:val="en-US" w:eastAsia="zh-CN" w:bidi="ar"/>
              </w:rPr>
              <w:t>17</w:t>
            </w:r>
            <w:r>
              <w:rPr>
                <w:rFonts w:ascii="Times New Roman" w:hAnsi="Times New Roman" w:cs="Times New Roman"/>
                <w:color w:val="auto"/>
                <w:kern w:val="21"/>
                <w:sz w:val="21"/>
                <w:szCs w:val="21"/>
                <w:highlight w:val="none"/>
                <w:lang w:val="en-US" w:bidi="ar"/>
              </w:rPr>
              <w:t>0m</w:t>
            </w:r>
          </w:p>
        </w:tc>
      </w:tr>
    </w:tbl>
    <w:p w14:paraId="7E3E1743">
      <w:pPr>
        <w:autoSpaceDE/>
        <w:autoSpaceDN/>
        <w:spacing w:before="360" w:beforeLines="150"/>
        <w:jc w:val="center"/>
        <w:rPr>
          <w:rFonts w:ascii="Times New Roman" w:hAnsi="Times New Roman" w:cs="Times New Roman"/>
          <w:b/>
          <w:color w:val="auto"/>
          <w:kern w:val="21"/>
          <w:sz w:val="21"/>
          <w:szCs w:val="21"/>
          <w:highlight w:val="none"/>
          <w:lang w:val="en-US"/>
        </w:rPr>
      </w:pPr>
    </w:p>
    <w:p w14:paraId="34D7B61F">
      <w:pPr>
        <w:autoSpaceDE/>
        <w:autoSpaceDN/>
        <w:spacing w:before="360" w:beforeLines="150"/>
        <w:jc w:val="center"/>
        <w:rPr>
          <w:rFonts w:ascii="Times New Roman" w:hAnsi="Times New Roman" w:cs="Times New Roman"/>
          <w:b/>
          <w:color w:val="auto"/>
          <w:kern w:val="21"/>
          <w:sz w:val="21"/>
          <w:szCs w:val="21"/>
          <w:highlight w:val="none"/>
          <w:lang w:val="en-US"/>
        </w:rPr>
      </w:pPr>
    </w:p>
    <w:p w14:paraId="102462F0">
      <w:pPr>
        <w:autoSpaceDE/>
        <w:autoSpaceDN/>
        <w:spacing w:before="360" w:beforeLines="150"/>
        <w:jc w:val="center"/>
        <w:rPr>
          <w:rFonts w:ascii="Times New Roman" w:hAnsi="Times New Roman" w:cs="Times New Roman"/>
          <w:b/>
          <w:color w:val="auto"/>
          <w:kern w:val="21"/>
          <w:sz w:val="21"/>
          <w:szCs w:val="21"/>
          <w:highlight w:val="none"/>
          <w:lang w:val="en-US"/>
        </w:rPr>
      </w:pPr>
    </w:p>
    <w:p w14:paraId="12CDC297">
      <w:pPr>
        <w:autoSpaceDE/>
        <w:autoSpaceDN/>
        <w:spacing w:before="360" w:beforeLines="150"/>
        <w:jc w:val="center"/>
        <w:rPr>
          <w:rFonts w:ascii="Times New Roman" w:hAnsi="Times New Roman" w:cs="Times New Roman"/>
          <w:b/>
          <w:color w:val="auto"/>
          <w:kern w:val="21"/>
          <w:sz w:val="21"/>
          <w:szCs w:val="21"/>
          <w:highlight w:val="none"/>
          <w:lang w:val="en-US"/>
        </w:rPr>
      </w:pPr>
    </w:p>
    <w:p w14:paraId="7CFFCF7F">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1#动物样线调查表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57" w:type="dxa"/>
          <w:left w:w="108" w:type="dxa"/>
          <w:bottom w:w="57" w:type="dxa"/>
          <w:right w:w="108" w:type="dxa"/>
        </w:tblCellMar>
      </w:tblPr>
      <w:tblGrid>
        <w:gridCol w:w="1465"/>
        <w:gridCol w:w="1218"/>
        <w:gridCol w:w="1600"/>
        <w:gridCol w:w="1231"/>
        <w:gridCol w:w="1450"/>
        <w:gridCol w:w="1334"/>
      </w:tblGrid>
      <w:tr w14:paraId="3C128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82" w:type="pct"/>
            <w:vAlign w:val="center"/>
          </w:tcPr>
          <w:p w14:paraId="1C9D16EA">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样线长度：</w:t>
            </w:r>
          </w:p>
        </w:tc>
        <w:tc>
          <w:tcPr>
            <w:tcW w:w="1697" w:type="pct"/>
            <w:gridSpan w:val="2"/>
            <w:vAlign w:val="center"/>
          </w:tcPr>
          <w:p w14:paraId="22D4232C">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szCs w:val="21"/>
                <w:highlight w:val="none"/>
                <w:lang w:val="en-US"/>
              </w:rPr>
              <w:t>1</w:t>
            </w:r>
            <w:r>
              <w:rPr>
                <w:rFonts w:hint="eastAsia" w:ascii="Times New Roman" w:hAnsi="Times New Roman" w:cs="Times New Roman"/>
                <w:color w:val="auto"/>
                <w:kern w:val="21"/>
                <w:sz w:val="18"/>
                <w:szCs w:val="21"/>
                <w:highlight w:val="none"/>
                <w:lang w:val="en-US" w:eastAsia="zh-CN"/>
              </w:rPr>
              <w:t>30</w:t>
            </w:r>
            <w:r>
              <w:rPr>
                <w:rFonts w:ascii="Times New Roman" w:hAnsi="Times New Roman" w:cs="Times New Roman"/>
                <w:color w:val="auto"/>
                <w:kern w:val="21"/>
                <w:sz w:val="18"/>
                <w:szCs w:val="21"/>
                <w:highlight w:val="none"/>
                <w:lang w:val="en-US"/>
              </w:rPr>
              <w:t xml:space="preserve"> m</w:t>
            </w:r>
          </w:p>
        </w:tc>
        <w:tc>
          <w:tcPr>
            <w:tcW w:w="741" w:type="pct"/>
            <w:vAlign w:val="center"/>
          </w:tcPr>
          <w:p w14:paraId="3D43D304">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szCs w:val="18"/>
                <w:highlight w:val="none"/>
              </w:rPr>
              <w:t>海拔：</w:t>
            </w:r>
          </w:p>
        </w:tc>
        <w:tc>
          <w:tcPr>
            <w:tcW w:w="1677" w:type="pct"/>
            <w:gridSpan w:val="2"/>
            <w:vAlign w:val="center"/>
          </w:tcPr>
          <w:p w14:paraId="3F022CDA">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szCs w:val="21"/>
                <w:highlight w:val="none"/>
                <w:lang w:val="en-US"/>
              </w:rPr>
              <w:t>2</w:t>
            </w:r>
            <w:r>
              <w:rPr>
                <w:rFonts w:hint="eastAsia" w:ascii="Times New Roman" w:hAnsi="Times New Roman" w:cs="Times New Roman"/>
                <w:color w:val="auto"/>
                <w:kern w:val="21"/>
                <w:sz w:val="18"/>
                <w:szCs w:val="21"/>
                <w:highlight w:val="none"/>
                <w:lang w:val="en-US" w:eastAsia="zh-CN"/>
              </w:rPr>
              <w:t>88~294</w:t>
            </w:r>
            <w:r>
              <w:rPr>
                <w:rFonts w:ascii="Times New Roman" w:hAnsi="Times New Roman" w:cs="Times New Roman"/>
                <w:color w:val="auto"/>
                <w:kern w:val="21"/>
                <w:sz w:val="18"/>
                <w:szCs w:val="21"/>
                <w:highlight w:val="none"/>
                <w:lang w:val="en-US"/>
              </w:rPr>
              <w:t xml:space="preserve"> m</w:t>
            </w:r>
          </w:p>
        </w:tc>
      </w:tr>
      <w:tr w14:paraId="5FE3EB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80" w:hRule="exact"/>
          <w:jc w:val="center"/>
        </w:trPr>
        <w:tc>
          <w:tcPr>
            <w:tcW w:w="882" w:type="pct"/>
            <w:vAlign w:val="center"/>
          </w:tcPr>
          <w:p w14:paraId="0525EC7E">
            <w:pPr>
              <w:widowControl/>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起点坐标：</w:t>
            </w:r>
          </w:p>
        </w:tc>
        <w:tc>
          <w:tcPr>
            <w:tcW w:w="1697" w:type="pct"/>
            <w:gridSpan w:val="2"/>
            <w:vAlign w:val="center"/>
          </w:tcPr>
          <w:p w14:paraId="717F63BC">
            <w:pPr>
              <w:widowControl/>
              <w:autoSpaceDE/>
              <w:autoSpaceDN/>
              <w:adjustRightInd w:val="0"/>
              <w:snapToGrid w:val="0"/>
              <w:ind w:left="0" w:leftChars="0" w:firstLine="0" w:firstLineChars="0"/>
              <w:textAlignment w:val="center"/>
              <w:rPr>
                <w:rFonts w:hint="eastAsia" w:ascii="Times New Roman" w:hAnsi="Times New Roman" w:cs="Times New Roman"/>
                <w:color w:val="auto"/>
                <w:kern w:val="21"/>
                <w:sz w:val="18"/>
                <w:szCs w:val="18"/>
                <w:highlight w:val="none"/>
                <w:lang w:val="en-US" w:bidi="ar-SA"/>
              </w:rPr>
            </w:pPr>
            <w:r>
              <w:rPr>
                <w:rFonts w:hint="eastAsia" w:ascii="Times New Roman" w:hAnsi="Times New Roman" w:cs="Times New Roman"/>
                <w:color w:val="auto"/>
                <w:kern w:val="21"/>
                <w:sz w:val="18"/>
                <w:szCs w:val="18"/>
                <w:highlight w:val="none"/>
                <w:lang w:val="en-US" w:bidi="ar-SA"/>
              </w:rPr>
              <w:t>E 127°21'28.3743"</w:t>
            </w:r>
          </w:p>
          <w:p w14:paraId="1F874DC3">
            <w:pPr>
              <w:widowControl/>
              <w:autoSpaceDE/>
              <w:autoSpaceDN/>
              <w:adjustRightInd w:val="0"/>
              <w:snapToGrid w:val="0"/>
              <w:ind w:left="0" w:leftChars="0" w:firstLine="0" w:firstLineChars="0"/>
              <w:textAlignment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bidi="ar-SA"/>
              </w:rPr>
              <w:t>N 49°32'05.4862"</w:t>
            </w:r>
          </w:p>
        </w:tc>
        <w:tc>
          <w:tcPr>
            <w:tcW w:w="741" w:type="pct"/>
            <w:vAlign w:val="center"/>
          </w:tcPr>
          <w:p w14:paraId="302FAFDE">
            <w:pPr>
              <w:widowControl/>
              <w:ind w:left="0" w:leftChars="0" w:firstLine="0" w:firstLineChars="0"/>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终点坐标：</w:t>
            </w:r>
          </w:p>
        </w:tc>
        <w:tc>
          <w:tcPr>
            <w:tcW w:w="1677" w:type="pct"/>
            <w:gridSpan w:val="2"/>
            <w:vAlign w:val="center"/>
          </w:tcPr>
          <w:p w14:paraId="3D980D14">
            <w:pPr>
              <w:widowControl/>
              <w:autoSpaceDE/>
              <w:autoSpaceDN/>
              <w:adjustRightInd w:val="0"/>
              <w:snapToGrid w:val="0"/>
              <w:ind w:left="0" w:leftChars="0" w:firstLine="0" w:firstLineChars="0"/>
              <w:textAlignment w:val="center"/>
              <w:rPr>
                <w:rFonts w:hint="eastAsia" w:ascii="Times New Roman" w:hAnsi="Times New Roman" w:cs="Times New Roman"/>
                <w:color w:val="auto"/>
                <w:kern w:val="21"/>
                <w:sz w:val="18"/>
                <w:szCs w:val="18"/>
                <w:highlight w:val="none"/>
                <w:lang w:val="en-US" w:bidi="ar-SA"/>
              </w:rPr>
            </w:pPr>
            <w:r>
              <w:rPr>
                <w:rFonts w:hint="eastAsia" w:ascii="Times New Roman" w:hAnsi="Times New Roman" w:cs="Times New Roman"/>
                <w:color w:val="auto"/>
                <w:kern w:val="21"/>
                <w:sz w:val="18"/>
                <w:szCs w:val="18"/>
                <w:highlight w:val="none"/>
                <w:lang w:val="en-US" w:bidi="ar-SA"/>
              </w:rPr>
              <w:t>E 127°21'29.1482"</w:t>
            </w:r>
          </w:p>
          <w:p w14:paraId="342EB20B">
            <w:pPr>
              <w:widowControl/>
              <w:autoSpaceDE/>
              <w:autoSpaceDN/>
              <w:adjustRightInd w:val="0"/>
              <w:snapToGrid w:val="0"/>
              <w:ind w:left="0" w:leftChars="0" w:firstLine="0" w:firstLineChars="0"/>
              <w:textAlignment w:val="center"/>
              <w:rPr>
                <w:rFonts w:ascii="Times New Roman" w:hAnsi="Times New Roman" w:cs="Times New Roman"/>
                <w:color w:val="auto"/>
                <w:kern w:val="21"/>
                <w:sz w:val="18"/>
                <w:szCs w:val="18"/>
                <w:highlight w:val="none"/>
                <w:lang w:val="en-US"/>
              </w:rPr>
            </w:pPr>
            <w:r>
              <w:rPr>
                <w:rFonts w:hint="eastAsia" w:ascii="Times New Roman" w:hAnsi="Times New Roman" w:cs="Times New Roman"/>
                <w:color w:val="auto"/>
                <w:kern w:val="21"/>
                <w:sz w:val="18"/>
                <w:szCs w:val="18"/>
                <w:highlight w:val="none"/>
                <w:lang w:val="en-US" w:bidi="ar-SA"/>
              </w:rPr>
              <w:t>N 49°32'01.0771"</w:t>
            </w:r>
          </w:p>
        </w:tc>
      </w:tr>
      <w:tr w14:paraId="7F91C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82" w:type="pct"/>
            <w:vAlign w:val="center"/>
          </w:tcPr>
          <w:p w14:paraId="00FB1821">
            <w:pPr>
              <w:widowControl/>
              <w:ind w:left="0" w:leftChars="0" w:firstLine="0" w:firstLineChars="0"/>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人为干扰因素：</w:t>
            </w:r>
          </w:p>
        </w:tc>
        <w:tc>
          <w:tcPr>
            <w:tcW w:w="4117" w:type="pct"/>
            <w:gridSpan w:val="5"/>
            <w:vAlign w:val="center"/>
          </w:tcPr>
          <w:p w14:paraId="2EA5EB28">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无人为干扰因素</w:t>
            </w:r>
          </w:p>
        </w:tc>
      </w:tr>
      <w:tr w14:paraId="051A42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82" w:type="pct"/>
            <w:vMerge w:val="restart"/>
            <w:vAlign w:val="center"/>
          </w:tcPr>
          <w:p w14:paraId="177D6ABC">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序号</w:t>
            </w:r>
          </w:p>
        </w:tc>
        <w:tc>
          <w:tcPr>
            <w:tcW w:w="1697" w:type="pct"/>
            <w:gridSpan w:val="2"/>
            <w:vAlign w:val="center"/>
          </w:tcPr>
          <w:p w14:paraId="4557A416">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物种名称</w:t>
            </w:r>
          </w:p>
        </w:tc>
        <w:tc>
          <w:tcPr>
            <w:tcW w:w="741" w:type="pct"/>
            <w:vMerge w:val="restart"/>
            <w:vAlign w:val="center"/>
          </w:tcPr>
          <w:p w14:paraId="3C217C6F">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实体数量</w:t>
            </w:r>
          </w:p>
        </w:tc>
        <w:tc>
          <w:tcPr>
            <w:tcW w:w="873" w:type="pct"/>
            <w:vMerge w:val="restart"/>
            <w:vAlign w:val="center"/>
          </w:tcPr>
          <w:p w14:paraId="2635E2AD">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痕迹类型</w:t>
            </w:r>
          </w:p>
        </w:tc>
        <w:tc>
          <w:tcPr>
            <w:tcW w:w="804" w:type="pct"/>
            <w:vMerge w:val="restart"/>
            <w:vAlign w:val="center"/>
          </w:tcPr>
          <w:p w14:paraId="270F09F4">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备注</w:t>
            </w:r>
          </w:p>
        </w:tc>
      </w:tr>
      <w:tr w14:paraId="20137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82" w:type="pct"/>
            <w:vMerge w:val="continue"/>
            <w:vAlign w:val="center"/>
          </w:tcPr>
          <w:p w14:paraId="70BB7C3E">
            <w:pPr>
              <w:widowControl/>
              <w:ind w:left="0" w:leftChars="0" w:firstLine="0" w:firstLineChars="0"/>
              <w:jc w:val="center"/>
              <w:rPr>
                <w:rFonts w:ascii="Times New Roman" w:hAnsi="Times New Roman" w:cs="Times New Roman"/>
                <w:color w:val="auto"/>
                <w:kern w:val="21"/>
                <w:sz w:val="18"/>
                <w:szCs w:val="18"/>
                <w:highlight w:val="none"/>
                <w:lang w:val="en-US" w:bidi="ar"/>
              </w:rPr>
            </w:pPr>
          </w:p>
        </w:tc>
        <w:tc>
          <w:tcPr>
            <w:tcW w:w="733" w:type="pct"/>
            <w:vAlign w:val="center"/>
          </w:tcPr>
          <w:p w14:paraId="2879BA3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中文名</w:t>
            </w:r>
          </w:p>
        </w:tc>
        <w:tc>
          <w:tcPr>
            <w:tcW w:w="964" w:type="pct"/>
            <w:vAlign w:val="center"/>
          </w:tcPr>
          <w:p w14:paraId="2BDCFB18">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拉丁名</w:t>
            </w:r>
          </w:p>
        </w:tc>
        <w:tc>
          <w:tcPr>
            <w:tcW w:w="741" w:type="pct"/>
            <w:vMerge w:val="continue"/>
            <w:vAlign w:val="center"/>
          </w:tcPr>
          <w:p w14:paraId="5911F97F">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73" w:type="pct"/>
            <w:vMerge w:val="continue"/>
            <w:vAlign w:val="center"/>
          </w:tcPr>
          <w:p w14:paraId="58D3E41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04" w:type="pct"/>
            <w:vMerge w:val="continue"/>
            <w:vAlign w:val="center"/>
          </w:tcPr>
          <w:p w14:paraId="13042BE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41A9D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82" w:type="pct"/>
            <w:vAlign w:val="center"/>
          </w:tcPr>
          <w:p w14:paraId="116AB7CD">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1</w:t>
            </w:r>
          </w:p>
        </w:tc>
        <w:tc>
          <w:tcPr>
            <w:tcW w:w="733" w:type="pct"/>
            <w:vAlign w:val="center"/>
          </w:tcPr>
          <w:p w14:paraId="4063C15A">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rPr>
              <w:t>麻雀</w:t>
            </w:r>
          </w:p>
        </w:tc>
        <w:tc>
          <w:tcPr>
            <w:tcW w:w="964" w:type="pct"/>
            <w:vAlign w:val="center"/>
          </w:tcPr>
          <w:p w14:paraId="6DAC117C">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i/>
                <w:iCs/>
                <w:color w:val="auto"/>
                <w:kern w:val="21"/>
                <w:sz w:val="18"/>
                <w:szCs w:val="18"/>
                <w:highlight w:val="none"/>
              </w:rPr>
              <w:t>Rana amurensis</w:t>
            </w:r>
          </w:p>
        </w:tc>
        <w:tc>
          <w:tcPr>
            <w:tcW w:w="741" w:type="pct"/>
            <w:vAlign w:val="center"/>
          </w:tcPr>
          <w:p w14:paraId="5E37CCC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4</w:t>
            </w:r>
          </w:p>
        </w:tc>
        <w:tc>
          <w:tcPr>
            <w:tcW w:w="873" w:type="pct"/>
            <w:vAlign w:val="center"/>
          </w:tcPr>
          <w:p w14:paraId="3653A98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rPr>
              <w:t>跳跃/觅食</w:t>
            </w:r>
          </w:p>
        </w:tc>
        <w:tc>
          <w:tcPr>
            <w:tcW w:w="804" w:type="pct"/>
            <w:vAlign w:val="center"/>
          </w:tcPr>
          <w:p w14:paraId="6C0F3B9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32529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1505" w:type="dxa"/>
            <w:vAlign w:val="center"/>
          </w:tcPr>
          <w:p w14:paraId="7AA9CFCB">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p>
        </w:tc>
        <w:tc>
          <w:tcPr>
            <w:tcW w:w="1251" w:type="dxa"/>
            <w:vAlign w:val="center"/>
          </w:tcPr>
          <w:p w14:paraId="4BB7861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644" w:type="dxa"/>
            <w:vAlign w:val="center"/>
          </w:tcPr>
          <w:p w14:paraId="599FEA2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265" w:type="dxa"/>
            <w:vAlign w:val="center"/>
          </w:tcPr>
          <w:p w14:paraId="3FC04A6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1490" w:type="dxa"/>
            <w:vAlign w:val="center"/>
          </w:tcPr>
          <w:p w14:paraId="17B924B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1371" w:type="dxa"/>
            <w:vAlign w:val="center"/>
          </w:tcPr>
          <w:p w14:paraId="55F73E4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92F9F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1505" w:type="dxa"/>
            <w:vAlign w:val="center"/>
          </w:tcPr>
          <w:p w14:paraId="5F44166A">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p>
        </w:tc>
        <w:tc>
          <w:tcPr>
            <w:tcW w:w="1251" w:type="dxa"/>
            <w:vAlign w:val="center"/>
          </w:tcPr>
          <w:p w14:paraId="51E74A9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644" w:type="dxa"/>
            <w:vAlign w:val="center"/>
          </w:tcPr>
          <w:p w14:paraId="54D9AFC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265" w:type="dxa"/>
            <w:vAlign w:val="center"/>
          </w:tcPr>
          <w:p w14:paraId="5A8C00B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1490" w:type="dxa"/>
            <w:vAlign w:val="center"/>
          </w:tcPr>
          <w:p w14:paraId="0502C7E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1371" w:type="dxa"/>
            <w:vAlign w:val="center"/>
          </w:tcPr>
          <w:p w14:paraId="0082141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bl>
    <w:p w14:paraId="52EEFED5">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2#动物样线调查表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404"/>
        <w:gridCol w:w="1443"/>
        <w:gridCol w:w="1695"/>
        <w:gridCol w:w="1076"/>
        <w:gridCol w:w="1413"/>
        <w:gridCol w:w="1268"/>
      </w:tblGrid>
      <w:tr w14:paraId="28B725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7BD2F2DA">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样线长度：</w:t>
            </w:r>
          </w:p>
        </w:tc>
        <w:tc>
          <w:tcPr>
            <w:tcW w:w="1890" w:type="pct"/>
            <w:gridSpan w:val="2"/>
            <w:vAlign w:val="center"/>
          </w:tcPr>
          <w:p w14:paraId="344608FD">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hint="eastAsia" w:ascii="Times New Roman" w:hAnsi="Times New Roman" w:cs="Times New Roman"/>
                <w:color w:val="auto"/>
                <w:kern w:val="21"/>
                <w:sz w:val="18"/>
                <w:szCs w:val="21"/>
                <w:highlight w:val="none"/>
                <w:lang w:val="en-US" w:eastAsia="zh-CN"/>
              </w:rPr>
              <w:t>120</w:t>
            </w:r>
            <w:r>
              <w:rPr>
                <w:rFonts w:ascii="Times New Roman" w:hAnsi="Times New Roman" w:cs="Times New Roman"/>
                <w:color w:val="auto"/>
                <w:kern w:val="21"/>
                <w:sz w:val="18"/>
                <w:szCs w:val="21"/>
                <w:highlight w:val="none"/>
                <w:lang w:val="en-US"/>
              </w:rPr>
              <w:t xml:space="preserve"> m</w:t>
            </w:r>
          </w:p>
        </w:tc>
        <w:tc>
          <w:tcPr>
            <w:tcW w:w="648" w:type="pct"/>
            <w:vAlign w:val="center"/>
          </w:tcPr>
          <w:p w14:paraId="726F6700">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szCs w:val="18"/>
                <w:highlight w:val="none"/>
              </w:rPr>
              <w:t>海拔：</w:t>
            </w:r>
          </w:p>
        </w:tc>
        <w:tc>
          <w:tcPr>
            <w:tcW w:w="1615" w:type="pct"/>
            <w:gridSpan w:val="2"/>
            <w:vAlign w:val="center"/>
          </w:tcPr>
          <w:p w14:paraId="20C0B333">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hint="eastAsia" w:ascii="Times New Roman" w:hAnsi="Times New Roman" w:cs="Times New Roman"/>
                <w:color w:val="auto"/>
                <w:kern w:val="21"/>
                <w:sz w:val="18"/>
                <w:szCs w:val="21"/>
                <w:highlight w:val="none"/>
                <w:lang w:val="en-US" w:eastAsia="zh-CN"/>
              </w:rPr>
              <w:t>331~334</w:t>
            </w:r>
            <w:r>
              <w:rPr>
                <w:rFonts w:ascii="Times New Roman" w:hAnsi="Times New Roman" w:cs="Times New Roman"/>
                <w:color w:val="auto"/>
                <w:kern w:val="21"/>
                <w:sz w:val="18"/>
                <w:szCs w:val="21"/>
                <w:highlight w:val="none"/>
                <w:lang w:val="en-US"/>
              </w:rPr>
              <w:t xml:space="preserve"> m</w:t>
            </w:r>
          </w:p>
        </w:tc>
      </w:tr>
      <w:tr w14:paraId="1B7870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5E55DDC7">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起点坐标：</w:t>
            </w:r>
          </w:p>
        </w:tc>
        <w:tc>
          <w:tcPr>
            <w:tcW w:w="1890" w:type="pct"/>
            <w:gridSpan w:val="2"/>
            <w:vAlign w:val="center"/>
          </w:tcPr>
          <w:p w14:paraId="376D4A91">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 xml:space="preserve">E </w:t>
            </w:r>
            <w:r>
              <w:rPr>
                <w:rFonts w:hint="eastAsia" w:ascii="Times New Roman" w:hAnsi="Times New Roman" w:cs="Times New Roman"/>
                <w:color w:val="auto"/>
                <w:kern w:val="21"/>
                <w:sz w:val="18"/>
                <w:highlight w:val="none"/>
                <w:lang w:val="en-US"/>
              </w:rPr>
              <w:t>127°20'59.0805"</w:t>
            </w:r>
          </w:p>
          <w:p w14:paraId="7A809ED2">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N</w:t>
            </w:r>
            <w:r>
              <w:rPr>
                <w:rFonts w:hint="eastAsia" w:ascii="Times New Roman" w:hAnsi="Times New Roman" w:cs="Times New Roman"/>
                <w:color w:val="auto"/>
                <w:kern w:val="21"/>
                <w:sz w:val="18"/>
                <w:highlight w:val="none"/>
                <w:lang w:val="en-US" w:eastAsia="zh-CN"/>
              </w:rPr>
              <w:t xml:space="preserve"> </w:t>
            </w:r>
            <w:r>
              <w:rPr>
                <w:rFonts w:hint="eastAsia" w:ascii="Times New Roman" w:hAnsi="Times New Roman" w:cs="Times New Roman"/>
                <w:color w:val="auto"/>
                <w:kern w:val="21"/>
                <w:sz w:val="18"/>
                <w:highlight w:val="none"/>
                <w:lang w:val="en-US"/>
              </w:rPr>
              <w:t>49°31'53.0043"</w:t>
            </w:r>
          </w:p>
        </w:tc>
        <w:tc>
          <w:tcPr>
            <w:tcW w:w="648" w:type="pct"/>
            <w:vAlign w:val="center"/>
          </w:tcPr>
          <w:p w14:paraId="122B6D64">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终点坐标：</w:t>
            </w:r>
          </w:p>
        </w:tc>
        <w:tc>
          <w:tcPr>
            <w:tcW w:w="1615" w:type="pct"/>
            <w:gridSpan w:val="2"/>
            <w:vAlign w:val="center"/>
          </w:tcPr>
          <w:p w14:paraId="68FF4259">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 xml:space="preserve">E </w:t>
            </w:r>
            <w:r>
              <w:rPr>
                <w:rFonts w:hint="eastAsia" w:ascii="Times New Roman" w:hAnsi="Times New Roman" w:cs="Times New Roman"/>
                <w:color w:val="auto"/>
                <w:kern w:val="21"/>
                <w:sz w:val="18"/>
                <w:highlight w:val="none"/>
                <w:lang w:val="en-US"/>
              </w:rPr>
              <w:t>127°20'57.8402"</w:t>
            </w:r>
          </w:p>
          <w:p w14:paraId="3DA27368">
            <w:pPr>
              <w:autoSpaceDE/>
              <w:autoSpaceDN/>
              <w:adjustRightInd w:val="0"/>
              <w:snapToGrid w:val="0"/>
              <w:ind w:left="0" w:leftChars="0" w:firstLine="0" w:firstLineChars="0"/>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highlight w:val="none"/>
                <w:lang w:val="en-US"/>
              </w:rPr>
              <w:t xml:space="preserve">N </w:t>
            </w:r>
            <w:r>
              <w:rPr>
                <w:rFonts w:hint="eastAsia" w:ascii="Times New Roman" w:hAnsi="Times New Roman" w:cs="Times New Roman"/>
                <w:color w:val="auto"/>
                <w:kern w:val="21"/>
                <w:sz w:val="18"/>
                <w:highlight w:val="none"/>
                <w:lang w:val="en-US"/>
              </w:rPr>
              <w:t>49°31'51.0974"</w:t>
            </w:r>
          </w:p>
        </w:tc>
      </w:tr>
      <w:tr w14:paraId="0B9900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3703448A">
            <w:pPr>
              <w:widowControl/>
              <w:ind w:left="0" w:leftChars="0" w:firstLine="0" w:firstLineChars="0"/>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人为干扰因素：</w:t>
            </w:r>
          </w:p>
        </w:tc>
        <w:tc>
          <w:tcPr>
            <w:tcW w:w="4153" w:type="pct"/>
            <w:gridSpan w:val="5"/>
            <w:vAlign w:val="center"/>
          </w:tcPr>
          <w:p w14:paraId="5B94EE44">
            <w:pPr>
              <w:autoSpaceDE/>
              <w:autoSpaceDN/>
              <w:adjustRightInd w:val="0"/>
              <w:snapToGrid w:val="0"/>
              <w:ind w:left="0" w:leftChars="0" w:firstLine="0" w:firstLineChars="0"/>
              <w:rPr>
                <w:rFonts w:hint="eastAsia" w:ascii="Times New Roman" w:hAnsi="Times New Roman" w:eastAsia="宋体" w:cs="Times New Roman"/>
                <w:color w:val="auto"/>
                <w:kern w:val="21"/>
                <w:sz w:val="18"/>
                <w:szCs w:val="21"/>
                <w:highlight w:val="none"/>
                <w:lang w:val="en-US" w:eastAsia="zh-CN"/>
              </w:rPr>
            </w:pPr>
            <w:r>
              <w:rPr>
                <w:rFonts w:ascii="Times New Roman" w:hAnsi="Times New Roman" w:cs="Times New Roman"/>
                <w:color w:val="auto"/>
                <w:kern w:val="21"/>
                <w:sz w:val="18"/>
                <w:highlight w:val="none"/>
                <w:lang w:val="en-US"/>
              </w:rPr>
              <w:t>无人为干扰因素</w:t>
            </w:r>
          </w:p>
        </w:tc>
      </w:tr>
      <w:tr w14:paraId="192CC9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Merge w:val="restart"/>
            <w:vAlign w:val="center"/>
          </w:tcPr>
          <w:p w14:paraId="2D03FA62">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序号</w:t>
            </w:r>
          </w:p>
        </w:tc>
        <w:tc>
          <w:tcPr>
            <w:tcW w:w="1890" w:type="pct"/>
            <w:gridSpan w:val="2"/>
            <w:vAlign w:val="center"/>
          </w:tcPr>
          <w:p w14:paraId="1E595254">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物种名称</w:t>
            </w:r>
          </w:p>
        </w:tc>
        <w:tc>
          <w:tcPr>
            <w:tcW w:w="648" w:type="pct"/>
            <w:vMerge w:val="restart"/>
            <w:vAlign w:val="center"/>
          </w:tcPr>
          <w:p w14:paraId="785C3D04">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实体数量</w:t>
            </w:r>
          </w:p>
        </w:tc>
        <w:tc>
          <w:tcPr>
            <w:tcW w:w="851" w:type="pct"/>
            <w:vMerge w:val="restart"/>
            <w:vAlign w:val="center"/>
          </w:tcPr>
          <w:p w14:paraId="61133608">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痕迹类型</w:t>
            </w:r>
          </w:p>
        </w:tc>
        <w:tc>
          <w:tcPr>
            <w:tcW w:w="764" w:type="pct"/>
            <w:vMerge w:val="restart"/>
            <w:vAlign w:val="center"/>
          </w:tcPr>
          <w:p w14:paraId="747B7D15">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备注</w:t>
            </w:r>
          </w:p>
        </w:tc>
      </w:tr>
      <w:tr w14:paraId="0A7B4F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Merge w:val="continue"/>
            <w:vAlign w:val="center"/>
          </w:tcPr>
          <w:p w14:paraId="78B020B2">
            <w:pPr>
              <w:widowControl/>
              <w:ind w:left="0" w:leftChars="0" w:firstLine="0" w:firstLineChars="0"/>
              <w:jc w:val="center"/>
              <w:rPr>
                <w:rFonts w:ascii="Times New Roman" w:hAnsi="Times New Roman" w:cs="Times New Roman"/>
                <w:color w:val="auto"/>
                <w:kern w:val="21"/>
                <w:sz w:val="18"/>
                <w:szCs w:val="18"/>
                <w:highlight w:val="none"/>
                <w:lang w:val="en-US" w:bidi="ar"/>
              </w:rPr>
            </w:pPr>
          </w:p>
        </w:tc>
        <w:tc>
          <w:tcPr>
            <w:tcW w:w="869" w:type="pct"/>
            <w:vAlign w:val="center"/>
          </w:tcPr>
          <w:p w14:paraId="1961116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中文名</w:t>
            </w:r>
          </w:p>
        </w:tc>
        <w:tc>
          <w:tcPr>
            <w:tcW w:w="1021" w:type="pct"/>
            <w:vAlign w:val="center"/>
          </w:tcPr>
          <w:p w14:paraId="35AED60E">
            <w:pPr>
              <w:widowControl/>
              <w:ind w:left="0" w:leftChars="0" w:firstLine="0" w:firstLineChars="0"/>
              <w:jc w:val="center"/>
              <w:rPr>
                <w:rFonts w:ascii="Times New Roman" w:hAnsi="Times New Roman" w:cs="Times New Roman"/>
                <w:color w:val="auto"/>
                <w:kern w:val="21"/>
                <w:sz w:val="18"/>
                <w:szCs w:val="18"/>
                <w:highlight w:val="none"/>
                <w:lang w:val="en-US"/>
              </w:rPr>
            </w:pPr>
            <w:r>
              <w:rPr>
                <w:rFonts w:ascii="Times New Roman" w:hAnsi="Times New Roman" w:cs="Times New Roman"/>
                <w:color w:val="auto"/>
                <w:kern w:val="21"/>
                <w:sz w:val="18"/>
                <w:szCs w:val="18"/>
                <w:highlight w:val="none"/>
                <w:lang w:val="en-US" w:bidi="ar"/>
              </w:rPr>
              <w:t>拉丁名</w:t>
            </w:r>
          </w:p>
        </w:tc>
        <w:tc>
          <w:tcPr>
            <w:tcW w:w="648" w:type="pct"/>
            <w:vMerge w:val="continue"/>
            <w:vAlign w:val="center"/>
          </w:tcPr>
          <w:p w14:paraId="6B15D0B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51" w:type="pct"/>
            <w:vMerge w:val="continue"/>
            <w:vAlign w:val="center"/>
          </w:tcPr>
          <w:p w14:paraId="0C8A3FE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764" w:type="pct"/>
            <w:vMerge w:val="continue"/>
            <w:vAlign w:val="center"/>
          </w:tcPr>
          <w:p w14:paraId="37319DF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r>
      <w:tr w14:paraId="03F9E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4163EBC4">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bidi="ar"/>
              </w:rPr>
              <w:t>1</w:t>
            </w:r>
          </w:p>
        </w:tc>
        <w:tc>
          <w:tcPr>
            <w:tcW w:w="869" w:type="pct"/>
            <w:vAlign w:val="center"/>
          </w:tcPr>
          <w:p w14:paraId="733D5E98">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bidi="ar"/>
              </w:rPr>
              <w:t>/</w:t>
            </w:r>
          </w:p>
        </w:tc>
        <w:tc>
          <w:tcPr>
            <w:tcW w:w="1021" w:type="pct"/>
            <w:vAlign w:val="center"/>
          </w:tcPr>
          <w:p w14:paraId="2094E06E">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bidi="ar"/>
              </w:rPr>
              <w:t>/</w:t>
            </w:r>
          </w:p>
        </w:tc>
        <w:tc>
          <w:tcPr>
            <w:tcW w:w="648" w:type="pct"/>
            <w:vAlign w:val="center"/>
          </w:tcPr>
          <w:p w14:paraId="1D7E485E">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bidi="ar-SA"/>
              </w:rPr>
              <w:t>/</w:t>
            </w:r>
          </w:p>
        </w:tc>
        <w:tc>
          <w:tcPr>
            <w:tcW w:w="851" w:type="pct"/>
            <w:vAlign w:val="center"/>
          </w:tcPr>
          <w:p w14:paraId="2C2922CE">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bidi="ar-SA"/>
              </w:rPr>
              <w:t>/</w:t>
            </w:r>
          </w:p>
        </w:tc>
        <w:tc>
          <w:tcPr>
            <w:tcW w:w="764" w:type="pct"/>
            <w:vAlign w:val="center"/>
          </w:tcPr>
          <w:p w14:paraId="51578E57">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bidi="ar-SA"/>
              </w:rPr>
              <w:t>未遇到动物</w:t>
            </w:r>
          </w:p>
        </w:tc>
      </w:tr>
      <w:tr w14:paraId="604322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645E5CCF">
            <w:pPr>
              <w:autoSpaceDE/>
              <w:autoSpaceDN/>
              <w:adjustRightInd w:val="0"/>
              <w:snapToGrid w:val="0"/>
              <w:ind w:left="0" w:leftChars="0" w:firstLine="0" w:firstLineChars="0"/>
              <w:jc w:val="center"/>
              <w:rPr>
                <w:rFonts w:hint="default" w:ascii="Times New Roman" w:hAnsi="Times New Roman" w:eastAsia="宋体" w:cs="Times New Roman"/>
                <w:color w:val="auto"/>
                <w:kern w:val="21"/>
                <w:sz w:val="18"/>
                <w:szCs w:val="18"/>
                <w:highlight w:val="none"/>
                <w:lang w:val="en-US" w:eastAsia="zh-CN" w:bidi="ar"/>
              </w:rPr>
            </w:pPr>
          </w:p>
        </w:tc>
        <w:tc>
          <w:tcPr>
            <w:tcW w:w="869" w:type="pct"/>
            <w:vAlign w:val="center"/>
          </w:tcPr>
          <w:p w14:paraId="45BE097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021" w:type="pct"/>
            <w:vAlign w:val="center"/>
          </w:tcPr>
          <w:p w14:paraId="4A7CAC3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648" w:type="pct"/>
            <w:vAlign w:val="center"/>
          </w:tcPr>
          <w:p w14:paraId="313D90F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851" w:type="pct"/>
            <w:vAlign w:val="center"/>
          </w:tcPr>
          <w:p w14:paraId="522668B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764" w:type="pct"/>
            <w:vAlign w:val="center"/>
          </w:tcPr>
          <w:p w14:paraId="4E1CE73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1ACD8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6" w:type="pct"/>
            <w:vAlign w:val="center"/>
          </w:tcPr>
          <w:p w14:paraId="4FBD396D">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p>
        </w:tc>
        <w:tc>
          <w:tcPr>
            <w:tcW w:w="869" w:type="pct"/>
            <w:vAlign w:val="center"/>
          </w:tcPr>
          <w:p w14:paraId="6557EC1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1021" w:type="pct"/>
            <w:vAlign w:val="center"/>
          </w:tcPr>
          <w:p w14:paraId="376A91E2">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p>
        </w:tc>
        <w:tc>
          <w:tcPr>
            <w:tcW w:w="648" w:type="pct"/>
            <w:vAlign w:val="center"/>
          </w:tcPr>
          <w:p w14:paraId="03769ED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851" w:type="pct"/>
            <w:vAlign w:val="center"/>
          </w:tcPr>
          <w:p w14:paraId="7588BE5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764" w:type="pct"/>
            <w:vAlign w:val="center"/>
          </w:tcPr>
          <w:p w14:paraId="36BC51C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bl>
    <w:p w14:paraId="78DE5CC3">
      <w:pPr>
        <w:autoSpaceDE/>
        <w:autoSpaceDN/>
        <w:spacing w:before="360" w:beforeLines="150"/>
        <w:jc w:val="both"/>
        <w:rPr>
          <w:rFonts w:ascii="Times New Roman" w:hAnsi="Times New Roman" w:cs="Times New Roman"/>
          <w:b/>
          <w:color w:val="auto"/>
          <w:kern w:val="21"/>
          <w:sz w:val="21"/>
          <w:szCs w:val="21"/>
          <w:highlight w:val="none"/>
          <w:lang w:val="en-US"/>
        </w:rPr>
      </w:pPr>
    </w:p>
    <w:p w14:paraId="6DD6DC3D">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3#动物样线调查表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396"/>
        <w:gridCol w:w="1283"/>
        <w:gridCol w:w="1544"/>
        <w:gridCol w:w="1190"/>
        <w:gridCol w:w="1307"/>
        <w:gridCol w:w="1579"/>
      </w:tblGrid>
      <w:tr w14:paraId="344A7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6FD753DB">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样线长度：</w:t>
            </w:r>
          </w:p>
        </w:tc>
        <w:tc>
          <w:tcPr>
            <w:tcW w:w="1703" w:type="pct"/>
            <w:gridSpan w:val="2"/>
            <w:vAlign w:val="center"/>
          </w:tcPr>
          <w:p w14:paraId="1B310227">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hint="eastAsia" w:ascii="Times New Roman" w:hAnsi="Times New Roman" w:cs="Times New Roman"/>
                <w:color w:val="auto"/>
                <w:kern w:val="21"/>
                <w:sz w:val="18"/>
                <w:szCs w:val="21"/>
                <w:highlight w:val="none"/>
                <w:lang w:val="en-US" w:eastAsia="zh-CN"/>
              </w:rPr>
              <w:t>160</w:t>
            </w:r>
            <w:r>
              <w:rPr>
                <w:rFonts w:ascii="Times New Roman" w:hAnsi="Times New Roman" w:cs="Times New Roman"/>
                <w:color w:val="auto"/>
                <w:kern w:val="21"/>
                <w:sz w:val="18"/>
                <w:szCs w:val="21"/>
                <w:highlight w:val="none"/>
                <w:lang w:val="en-US"/>
              </w:rPr>
              <w:t xml:space="preserve"> m</w:t>
            </w:r>
          </w:p>
        </w:tc>
        <w:tc>
          <w:tcPr>
            <w:tcW w:w="717" w:type="pct"/>
            <w:vAlign w:val="center"/>
          </w:tcPr>
          <w:p w14:paraId="43BAE787">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szCs w:val="18"/>
                <w:highlight w:val="none"/>
              </w:rPr>
              <w:t>海拔：</w:t>
            </w:r>
          </w:p>
        </w:tc>
        <w:tc>
          <w:tcPr>
            <w:tcW w:w="1738" w:type="pct"/>
            <w:gridSpan w:val="2"/>
            <w:vAlign w:val="center"/>
          </w:tcPr>
          <w:p w14:paraId="71F8D009">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hint="eastAsia" w:ascii="Times New Roman" w:hAnsi="Times New Roman" w:cs="Times New Roman"/>
                <w:color w:val="auto"/>
                <w:kern w:val="21"/>
                <w:sz w:val="18"/>
                <w:szCs w:val="21"/>
                <w:highlight w:val="none"/>
                <w:lang w:val="en-US" w:eastAsia="zh-CN"/>
              </w:rPr>
              <w:t>340~343</w:t>
            </w:r>
            <w:r>
              <w:rPr>
                <w:rFonts w:ascii="Times New Roman" w:hAnsi="Times New Roman" w:cs="Times New Roman"/>
                <w:color w:val="auto"/>
                <w:kern w:val="21"/>
                <w:sz w:val="18"/>
                <w:szCs w:val="21"/>
                <w:highlight w:val="none"/>
                <w:lang w:val="en-US"/>
              </w:rPr>
              <w:t xml:space="preserve"> m</w:t>
            </w:r>
          </w:p>
        </w:tc>
      </w:tr>
      <w:tr w14:paraId="12B2C0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713B0E40">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起点坐标：</w:t>
            </w:r>
          </w:p>
        </w:tc>
        <w:tc>
          <w:tcPr>
            <w:tcW w:w="1703" w:type="pct"/>
            <w:gridSpan w:val="2"/>
            <w:vAlign w:val="center"/>
          </w:tcPr>
          <w:p w14:paraId="7D4D9D59">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E 127°20'39.2364"</w:t>
            </w:r>
          </w:p>
          <w:p w14:paraId="53E28DDF">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N 49°31'32.8174"</w:t>
            </w:r>
          </w:p>
        </w:tc>
        <w:tc>
          <w:tcPr>
            <w:tcW w:w="717" w:type="pct"/>
            <w:vAlign w:val="center"/>
          </w:tcPr>
          <w:p w14:paraId="5F091F40">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终点坐标：</w:t>
            </w:r>
          </w:p>
        </w:tc>
        <w:tc>
          <w:tcPr>
            <w:tcW w:w="1738" w:type="pct"/>
            <w:gridSpan w:val="2"/>
            <w:vAlign w:val="center"/>
          </w:tcPr>
          <w:p w14:paraId="4E03781F">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E 127°20'33.8106"</w:t>
            </w:r>
          </w:p>
          <w:p w14:paraId="2A25FF35">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N 49°31'30.3007"</w:t>
            </w:r>
          </w:p>
        </w:tc>
      </w:tr>
      <w:tr w14:paraId="01717D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6A2CCE15">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人为干扰因素：</w:t>
            </w:r>
          </w:p>
        </w:tc>
        <w:tc>
          <w:tcPr>
            <w:tcW w:w="4158" w:type="pct"/>
            <w:gridSpan w:val="5"/>
            <w:vAlign w:val="center"/>
          </w:tcPr>
          <w:p w14:paraId="346E2DFC">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无人为干扰因素</w:t>
            </w:r>
          </w:p>
        </w:tc>
      </w:tr>
      <w:tr w14:paraId="3768E3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Merge w:val="restart"/>
            <w:vAlign w:val="center"/>
          </w:tcPr>
          <w:p w14:paraId="4602B6C8">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序号</w:t>
            </w:r>
          </w:p>
        </w:tc>
        <w:tc>
          <w:tcPr>
            <w:tcW w:w="1703" w:type="pct"/>
            <w:gridSpan w:val="2"/>
            <w:vAlign w:val="center"/>
          </w:tcPr>
          <w:p w14:paraId="0B178ACB">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物种名称</w:t>
            </w:r>
          </w:p>
        </w:tc>
        <w:tc>
          <w:tcPr>
            <w:tcW w:w="717" w:type="pct"/>
            <w:vMerge w:val="restart"/>
            <w:vAlign w:val="center"/>
          </w:tcPr>
          <w:p w14:paraId="0DE0C999">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实体数量</w:t>
            </w:r>
          </w:p>
        </w:tc>
        <w:tc>
          <w:tcPr>
            <w:tcW w:w="787" w:type="pct"/>
            <w:vMerge w:val="restart"/>
            <w:vAlign w:val="center"/>
          </w:tcPr>
          <w:p w14:paraId="1AADD29B">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痕迹类型</w:t>
            </w:r>
          </w:p>
        </w:tc>
        <w:tc>
          <w:tcPr>
            <w:tcW w:w="951" w:type="pct"/>
            <w:vMerge w:val="restart"/>
            <w:vAlign w:val="center"/>
          </w:tcPr>
          <w:p w14:paraId="666F7298">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备注</w:t>
            </w:r>
          </w:p>
        </w:tc>
      </w:tr>
      <w:tr w14:paraId="3DC7C7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Merge w:val="continue"/>
            <w:vAlign w:val="center"/>
          </w:tcPr>
          <w:p w14:paraId="15C920A0">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773" w:type="pct"/>
            <w:vAlign w:val="center"/>
          </w:tcPr>
          <w:p w14:paraId="1452414B">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中文名</w:t>
            </w:r>
          </w:p>
        </w:tc>
        <w:tc>
          <w:tcPr>
            <w:tcW w:w="930" w:type="pct"/>
            <w:vAlign w:val="center"/>
          </w:tcPr>
          <w:p w14:paraId="208E9D42">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拉丁名</w:t>
            </w:r>
          </w:p>
        </w:tc>
        <w:tc>
          <w:tcPr>
            <w:tcW w:w="717" w:type="pct"/>
            <w:vMerge w:val="continue"/>
            <w:vAlign w:val="center"/>
          </w:tcPr>
          <w:p w14:paraId="4E80D1F9">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787" w:type="pct"/>
            <w:vMerge w:val="continue"/>
            <w:vAlign w:val="center"/>
          </w:tcPr>
          <w:p w14:paraId="30B8B6C1">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951" w:type="pct"/>
            <w:vMerge w:val="continue"/>
            <w:vAlign w:val="center"/>
          </w:tcPr>
          <w:p w14:paraId="37D71395">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r>
      <w:tr w14:paraId="299661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5DA6AA07">
            <w:pPr>
              <w:widowControl/>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bidi="ar"/>
              </w:rPr>
              <w:t>1</w:t>
            </w:r>
          </w:p>
        </w:tc>
        <w:tc>
          <w:tcPr>
            <w:tcW w:w="773" w:type="pct"/>
            <w:vAlign w:val="center"/>
          </w:tcPr>
          <w:p w14:paraId="79EFE46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r>
              <w:rPr>
                <w:rFonts w:ascii="Times New Roman" w:hAnsi="Times New Roman" w:cs="Times New Roman"/>
                <w:color w:val="auto"/>
                <w:kern w:val="21"/>
                <w:sz w:val="18"/>
                <w:szCs w:val="18"/>
                <w:highlight w:val="none"/>
              </w:rPr>
              <w:t>黄鼬</w:t>
            </w:r>
          </w:p>
        </w:tc>
        <w:tc>
          <w:tcPr>
            <w:tcW w:w="930" w:type="pct"/>
            <w:vAlign w:val="center"/>
          </w:tcPr>
          <w:p w14:paraId="73FAEED6">
            <w:pPr>
              <w:widowControl/>
              <w:ind w:left="0" w:leftChars="0" w:firstLine="0" w:firstLineChars="0"/>
              <w:jc w:val="center"/>
              <w:rPr>
                <w:rFonts w:ascii="Times New Roman" w:hAnsi="Times New Roman" w:cs="Times New Roman"/>
                <w:i/>
                <w:iCs/>
                <w:color w:val="auto"/>
                <w:kern w:val="21"/>
                <w:sz w:val="18"/>
                <w:szCs w:val="18"/>
                <w:highlight w:val="none"/>
                <w:lang w:val="en-US" w:bidi="ar-SA"/>
              </w:rPr>
            </w:pPr>
            <w:r>
              <w:rPr>
                <w:rFonts w:ascii="Times New Roman" w:hAnsi="Times New Roman" w:cs="Times New Roman"/>
                <w:i/>
                <w:iCs/>
                <w:color w:val="auto"/>
                <w:kern w:val="21"/>
                <w:sz w:val="18"/>
                <w:szCs w:val="18"/>
                <w:highlight w:val="none"/>
              </w:rPr>
              <w:t>Mustela sibirica</w:t>
            </w:r>
          </w:p>
        </w:tc>
        <w:tc>
          <w:tcPr>
            <w:tcW w:w="717" w:type="pct"/>
            <w:vAlign w:val="center"/>
          </w:tcPr>
          <w:p w14:paraId="7BA2A04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r>
              <w:rPr>
                <w:rFonts w:ascii="Times New Roman" w:hAnsi="Times New Roman" w:cs="Times New Roman"/>
                <w:color w:val="auto"/>
                <w:kern w:val="21"/>
                <w:sz w:val="18"/>
                <w:szCs w:val="18"/>
                <w:highlight w:val="none"/>
                <w:lang w:val="en-US"/>
              </w:rPr>
              <w:t>1</w:t>
            </w:r>
          </w:p>
        </w:tc>
        <w:tc>
          <w:tcPr>
            <w:tcW w:w="787" w:type="pct"/>
            <w:vAlign w:val="center"/>
          </w:tcPr>
          <w:p w14:paraId="7F1C14FD">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rPr>
              <w:t>奔跑</w:t>
            </w:r>
          </w:p>
        </w:tc>
        <w:tc>
          <w:tcPr>
            <w:tcW w:w="951" w:type="pct"/>
            <w:vAlign w:val="center"/>
          </w:tcPr>
          <w:p w14:paraId="29F9B997">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45B2B1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65477143">
            <w:pPr>
              <w:widowControl/>
              <w:ind w:left="0" w:leftChars="0" w:firstLine="0" w:firstLineChars="0"/>
              <w:jc w:val="center"/>
              <w:rPr>
                <w:rFonts w:hint="eastAsia" w:ascii="Times New Roman" w:hAnsi="Times New Roman" w:cs="Times New Roman"/>
                <w:color w:val="auto"/>
                <w:kern w:val="21"/>
                <w:sz w:val="18"/>
                <w:szCs w:val="18"/>
                <w:highlight w:val="none"/>
                <w:lang w:val="en-US" w:eastAsia="zh-CN" w:bidi="ar"/>
              </w:rPr>
            </w:pPr>
          </w:p>
        </w:tc>
        <w:tc>
          <w:tcPr>
            <w:tcW w:w="773" w:type="pct"/>
            <w:vAlign w:val="center"/>
          </w:tcPr>
          <w:p w14:paraId="41FC9EB4">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rPr>
            </w:pPr>
          </w:p>
        </w:tc>
        <w:tc>
          <w:tcPr>
            <w:tcW w:w="930" w:type="pct"/>
            <w:vAlign w:val="center"/>
          </w:tcPr>
          <w:p w14:paraId="119A20D4">
            <w:pPr>
              <w:widowControl/>
              <w:ind w:left="0" w:leftChars="0" w:firstLine="0" w:firstLineChars="0"/>
              <w:jc w:val="center"/>
              <w:rPr>
                <w:rFonts w:ascii="Times New Roman" w:hAnsi="Times New Roman" w:cs="Times New Roman"/>
                <w:i/>
                <w:iCs/>
                <w:color w:val="auto"/>
                <w:kern w:val="21"/>
                <w:sz w:val="18"/>
                <w:szCs w:val="18"/>
                <w:highlight w:val="none"/>
              </w:rPr>
            </w:pPr>
          </w:p>
        </w:tc>
        <w:tc>
          <w:tcPr>
            <w:tcW w:w="717" w:type="pct"/>
            <w:vAlign w:val="center"/>
          </w:tcPr>
          <w:p w14:paraId="58F5153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787" w:type="pct"/>
            <w:vAlign w:val="center"/>
          </w:tcPr>
          <w:p w14:paraId="4022369F">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p>
        </w:tc>
        <w:tc>
          <w:tcPr>
            <w:tcW w:w="951" w:type="pct"/>
            <w:vAlign w:val="center"/>
          </w:tcPr>
          <w:p w14:paraId="05FB7BED">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2DB71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38F9115C">
            <w:pPr>
              <w:widowControl/>
              <w:ind w:left="0" w:leftChars="0" w:firstLine="0" w:firstLineChars="0"/>
              <w:jc w:val="center"/>
              <w:rPr>
                <w:rFonts w:hint="eastAsia" w:ascii="Times New Roman" w:hAnsi="Times New Roman" w:cs="Times New Roman"/>
                <w:color w:val="auto"/>
                <w:kern w:val="21"/>
                <w:sz w:val="18"/>
                <w:szCs w:val="18"/>
                <w:highlight w:val="none"/>
                <w:lang w:val="en-US" w:eastAsia="zh-CN" w:bidi="ar"/>
              </w:rPr>
            </w:pPr>
          </w:p>
        </w:tc>
        <w:tc>
          <w:tcPr>
            <w:tcW w:w="773" w:type="pct"/>
            <w:vAlign w:val="center"/>
          </w:tcPr>
          <w:p w14:paraId="02345358">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rPr>
            </w:pPr>
          </w:p>
        </w:tc>
        <w:tc>
          <w:tcPr>
            <w:tcW w:w="930" w:type="pct"/>
            <w:vAlign w:val="center"/>
          </w:tcPr>
          <w:p w14:paraId="7EE2B2AF">
            <w:pPr>
              <w:widowControl/>
              <w:ind w:left="0" w:leftChars="0" w:firstLine="0" w:firstLineChars="0"/>
              <w:jc w:val="center"/>
              <w:rPr>
                <w:rFonts w:ascii="Times New Roman" w:hAnsi="Times New Roman" w:cs="Times New Roman"/>
                <w:i/>
                <w:iCs/>
                <w:color w:val="auto"/>
                <w:kern w:val="21"/>
                <w:sz w:val="18"/>
                <w:szCs w:val="18"/>
                <w:highlight w:val="none"/>
              </w:rPr>
            </w:pPr>
          </w:p>
        </w:tc>
        <w:tc>
          <w:tcPr>
            <w:tcW w:w="717" w:type="pct"/>
            <w:vAlign w:val="center"/>
          </w:tcPr>
          <w:p w14:paraId="7CFB65C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787" w:type="pct"/>
            <w:vAlign w:val="center"/>
          </w:tcPr>
          <w:p w14:paraId="2AB3B80A">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p>
        </w:tc>
        <w:tc>
          <w:tcPr>
            <w:tcW w:w="951" w:type="pct"/>
            <w:vAlign w:val="center"/>
          </w:tcPr>
          <w:p w14:paraId="2DCB5703">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bl>
    <w:p w14:paraId="7246D123">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4#动物样线调查表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395"/>
        <w:gridCol w:w="1416"/>
        <w:gridCol w:w="1395"/>
        <w:gridCol w:w="1230"/>
        <w:gridCol w:w="1302"/>
        <w:gridCol w:w="1561"/>
      </w:tblGrid>
      <w:tr w14:paraId="4B4FD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15987124">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样线长度：</w:t>
            </w:r>
          </w:p>
        </w:tc>
        <w:tc>
          <w:tcPr>
            <w:tcW w:w="1693" w:type="pct"/>
            <w:gridSpan w:val="2"/>
            <w:vAlign w:val="center"/>
          </w:tcPr>
          <w:p w14:paraId="46FCDB35">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200 m</w:t>
            </w:r>
          </w:p>
        </w:tc>
        <w:tc>
          <w:tcPr>
            <w:tcW w:w="741" w:type="pct"/>
            <w:vAlign w:val="center"/>
          </w:tcPr>
          <w:p w14:paraId="60AC448F">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海拔：</w:t>
            </w:r>
          </w:p>
        </w:tc>
        <w:tc>
          <w:tcPr>
            <w:tcW w:w="1723" w:type="pct"/>
            <w:gridSpan w:val="2"/>
            <w:vAlign w:val="center"/>
          </w:tcPr>
          <w:p w14:paraId="772928E2">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320~324 m</w:t>
            </w:r>
          </w:p>
        </w:tc>
      </w:tr>
      <w:tr w14:paraId="66C6AB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0967084B">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起点坐标：</w:t>
            </w:r>
          </w:p>
        </w:tc>
        <w:tc>
          <w:tcPr>
            <w:tcW w:w="1693" w:type="pct"/>
            <w:gridSpan w:val="2"/>
            <w:vAlign w:val="center"/>
          </w:tcPr>
          <w:p w14:paraId="6B52643F">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E 127°21'04.5062"</w:t>
            </w:r>
          </w:p>
          <w:p w14:paraId="74F7694D">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N 49°31'57.7255"</w:t>
            </w:r>
          </w:p>
        </w:tc>
        <w:tc>
          <w:tcPr>
            <w:tcW w:w="741" w:type="pct"/>
            <w:vAlign w:val="center"/>
          </w:tcPr>
          <w:p w14:paraId="7116EF37">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终点坐标：</w:t>
            </w:r>
          </w:p>
        </w:tc>
        <w:tc>
          <w:tcPr>
            <w:tcW w:w="1723" w:type="pct"/>
            <w:gridSpan w:val="2"/>
            <w:vAlign w:val="center"/>
          </w:tcPr>
          <w:p w14:paraId="552A1E61">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E 127°20'58.7712"</w:t>
            </w:r>
          </w:p>
          <w:p w14:paraId="78EB0448">
            <w:pPr>
              <w:autoSpaceDE/>
              <w:autoSpaceDN/>
              <w:adjustRightInd w:val="0"/>
              <w:snapToGrid w:val="0"/>
              <w:ind w:left="0" w:leftChars="0" w:firstLine="0" w:firstLineChars="0"/>
              <w:rPr>
                <w:rFonts w:hint="eastAsia" w:ascii="Times New Roman" w:hAnsi="Times New Roman" w:cs="Times New Roman"/>
                <w:color w:val="auto"/>
                <w:kern w:val="21"/>
                <w:sz w:val="18"/>
                <w:szCs w:val="21"/>
                <w:highlight w:val="none"/>
                <w:lang w:val="en-US" w:eastAsia="zh-CN"/>
              </w:rPr>
            </w:pPr>
            <w:r>
              <w:rPr>
                <w:rFonts w:hint="eastAsia" w:ascii="Times New Roman" w:hAnsi="Times New Roman" w:cs="Times New Roman"/>
                <w:color w:val="auto"/>
                <w:kern w:val="21"/>
                <w:sz w:val="18"/>
                <w:szCs w:val="21"/>
                <w:highlight w:val="none"/>
                <w:lang w:val="en-US" w:eastAsia="zh-CN"/>
              </w:rPr>
              <w:t>N 49°31'56.4119"</w:t>
            </w:r>
          </w:p>
        </w:tc>
      </w:tr>
      <w:tr w14:paraId="13DC6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5EF52AD3">
            <w:pPr>
              <w:widowControl/>
              <w:ind w:left="0" w:leftChars="0" w:firstLine="0" w:firstLineChars="0"/>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人为干扰因素：</w:t>
            </w:r>
          </w:p>
        </w:tc>
        <w:tc>
          <w:tcPr>
            <w:tcW w:w="4158" w:type="pct"/>
            <w:gridSpan w:val="5"/>
            <w:vAlign w:val="center"/>
          </w:tcPr>
          <w:p w14:paraId="26EA7F71">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无人为干扰因素</w:t>
            </w:r>
          </w:p>
        </w:tc>
      </w:tr>
      <w:tr w14:paraId="402E0F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Merge w:val="restart"/>
            <w:vAlign w:val="center"/>
          </w:tcPr>
          <w:p w14:paraId="58C3C9B7">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序号</w:t>
            </w:r>
          </w:p>
        </w:tc>
        <w:tc>
          <w:tcPr>
            <w:tcW w:w="1693" w:type="pct"/>
            <w:gridSpan w:val="2"/>
            <w:vAlign w:val="center"/>
          </w:tcPr>
          <w:p w14:paraId="799DE4FE">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物种名称</w:t>
            </w:r>
          </w:p>
        </w:tc>
        <w:tc>
          <w:tcPr>
            <w:tcW w:w="741" w:type="pct"/>
            <w:vMerge w:val="restart"/>
            <w:vAlign w:val="center"/>
          </w:tcPr>
          <w:p w14:paraId="6F51F30B">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实体数量</w:t>
            </w:r>
          </w:p>
        </w:tc>
        <w:tc>
          <w:tcPr>
            <w:tcW w:w="784" w:type="pct"/>
            <w:vMerge w:val="restart"/>
            <w:vAlign w:val="center"/>
          </w:tcPr>
          <w:p w14:paraId="397669EF">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痕迹类型</w:t>
            </w:r>
          </w:p>
        </w:tc>
        <w:tc>
          <w:tcPr>
            <w:tcW w:w="939" w:type="pct"/>
            <w:vMerge w:val="restart"/>
            <w:vAlign w:val="center"/>
          </w:tcPr>
          <w:p w14:paraId="02A1D5AA">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备注</w:t>
            </w:r>
          </w:p>
        </w:tc>
      </w:tr>
      <w:tr w14:paraId="105A6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Merge w:val="continue"/>
            <w:vAlign w:val="center"/>
          </w:tcPr>
          <w:p w14:paraId="64000CFC">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53" w:type="pct"/>
            <w:vAlign w:val="center"/>
          </w:tcPr>
          <w:p w14:paraId="3683F33D">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中文名</w:t>
            </w:r>
          </w:p>
        </w:tc>
        <w:tc>
          <w:tcPr>
            <w:tcW w:w="840" w:type="pct"/>
            <w:vAlign w:val="center"/>
          </w:tcPr>
          <w:p w14:paraId="5E2DC1AB">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拉丁名</w:t>
            </w:r>
          </w:p>
        </w:tc>
        <w:tc>
          <w:tcPr>
            <w:tcW w:w="741" w:type="pct"/>
            <w:vMerge w:val="continue"/>
            <w:vAlign w:val="center"/>
          </w:tcPr>
          <w:p w14:paraId="1C2EA368">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784" w:type="pct"/>
            <w:vMerge w:val="continue"/>
            <w:vAlign w:val="center"/>
          </w:tcPr>
          <w:p w14:paraId="4B0CE27D">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939" w:type="pct"/>
            <w:vMerge w:val="continue"/>
            <w:vAlign w:val="center"/>
          </w:tcPr>
          <w:p w14:paraId="64954A35">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r>
      <w:tr w14:paraId="34A90F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044CD6E1">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1</w:t>
            </w:r>
          </w:p>
        </w:tc>
        <w:tc>
          <w:tcPr>
            <w:tcW w:w="853" w:type="pct"/>
            <w:vAlign w:val="center"/>
          </w:tcPr>
          <w:p w14:paraId="1FA4177F">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喜鹊</w:t>
            </w:r>
          </w:p>
        </w:tc>
        <w:tc>
          <w:tcPr>
            <w:tcW w:w="840" w:type="pct"/>
            <w:vAlign w:val="center"/>
          </w:tcPr>
          <w:p w14:paraId="2D862F5A">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Pica pica sericea</w:t>
            </w:r>
          </w:p>
        </w:tc>
        <w:tc>
          <w:tcPr>
            <w:tcW w:w="741" w:type="pct"/>
            <w:vAlign w:val="center"/>
          </w:tcPr>
          <w:p w14:paraId="1F91FF18">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2</w:t>
            </w:r>
          </w:p>
        </w:tc>
        <w:tc>
          <w:tcPr>
            <w:tcW w:w="784" w:type="pct"/>
            <w:vAlign w:val="center"/>
          </w:tcPr>
          <w:p w14:paraId="26A8352E">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18"/>
                <w:highlight w:val="none"/>
                <w:lang w:val="en-US"/>
              </w:rPr>
              <w:t>飞翔</w:t>
            </w:r>
          </w:p>
        </w:tc>
        <w:tc>
          <w:tcPr>
            <w:tcW w:w="939" w:type="pct"/>
            <w:vAlign w:val="center"/>
          </w:tcPr>
          <w:p w14:paraId="6D89BE94">
            <w:pPr>
              <w:widowControl/>
              <w:ind w:left="0" w:leftChars="0" w:firstLine="0" w:firstLineChars="0"/>
              <w:jc w:val="center"/>
              <w:rPr>
                <w:rFonts w:ascii="Times New Roman" w:hAnsi="Times New Roman" w:cs="Times New Roman"/>
                <w:color w:val="auto"/>
                <w:kern w:val="21"/>
                <w:sz w:val="18"/>
                <w:szCs w:val="20"/>
                <w:highlight w:val="none"/>
                <w:lang w:val="en-US" w:bidi="ar"/>
              </w:rPr>
            </w:pPr>
          </w:p>
        </w:tc>
      </w:tr>
      <w:tr w14:paraId="03584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31CF201D">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53" w:type="pct"/>
            <w:vAlign w:val="center"/>
          </w:tcPr>
          <w:p w14:paraId="6157A58D">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40" w:type="pct"/>
            <w:vAlign w:val="center"/>
          </w:tcPr>
          <w:p w14:paraId="40BD0FF9">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741" w:type="pct"/>
            <w:vAlign w:val="center"/>
          </w:tcPr>
          <w:p w14:paraId="797D9E8F">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784" w:type="pct"/>
            <w:vAlign w:val="center"/>
          </w:tcPr>
          <w:p w14:paraId="07913029">
            <w:pPr>
              <w:widowControl/>
              <w:ind w:left="0" w:leftChars="0" w:firstLine="0" w:firstLineChars="0"/>
              <w:jc w:val="center"/>
              <w:rPr>
                <w:rFonts w:ascii="Times New Roman" w:hAnsi="Times New Roman" w:cs="Times New Roman"/>
                <w:color w:val="auto"/>
                <w:kern w:val="21"/>
                <w:sz w:val="18"/>
                <w:szCs w:val="18"/>
                <w:highlight w:val="none"/>
                <w:lang w:val="en-US"/>
              </w:rPr>
            </w:pPr>
          </w:p>
        </w:tc>
        <w:tc>
          <w:tcPr>
            <w:tcW w:w="939" w:type="pct"/>
            <w:vAlign w:val="center"/>
          </w:tcPr>
          <w:p w14:paraId="1262E78D">
            <w:pPr>
              <w:widowControl/>
              <w:ind w:left="0" w:leftChars="0" w:firstLine="0" w:firstLineChars="0"/>
              <w:jc w:val="center"/>
              <w:rPr>
                <w:rFonts w:ascii="Times New Roman" w:hAnsi="Times New Roman" w:cs="Times New Roman"/>
                <w:color w:val="auto"/>
                <w:kern w:val="21"/>
                <w:sz w:val="18"/>
                <w:szCs w:val="20"/>
                <w:highlight w:val="none"/>
                <w:lang w:val="en-US" w:bidi="ar"/>
              </w:rPr>
            </w:pPr>
          </w:p>
        </w:tc>
      </w:tr>
      <w:tr w14:paraId="584EE1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1" w:type="pct"/>
            <w:vAlign w:val="center"/>
          </w:tcPr>
          <w:p w14:paraId="02C2C8D3">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53" w:type="pct"/>
            <w:vAlign w:val="center"/>
          </w:tcPr>
          <w:p w14:paraId="351399B7">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40" w:type="pct"/>
            <w:vAlign w:val="center"/>
          </w:tcPr>
          <w:p w14:paraId="198A3656">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741" w:type="pct"/>
            <w:vAlign w:val="center"/>
          </w:tcPr>
          <w:p w14:paraId="437FCEAD">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784" w:type="pct"/>
            <w:vAlign w:val="center"/>
          </w:tcPr>
          <w:p w14:paraId="22C749FC">
            <w:pPr>
              <w:widowControl/>
              <w:ind w:left="0" w:leftChars="0" w:firstLine="0" w:firstLineChars="0"/>
              <w:jc w:val="center"/>
              <w:rPr>
                <w:rFonts w:ascii="Times New Roman" w:hAnsi="Times New Roman" w:cs="Times New Roman"/>
                <w:color w:val="auto"/>
                <w:kern w:val="21"/>
                <w:sz w:val="18"/>
                <w:szCs w:val="18"/>
                <w:highlight w:val="none"/>
                <w:lang w:val="en-US"/>
              </w:rPr>
            </w:pPr>
          </w:p>
        </w:tc>
        <w:tc>
          <w:tcPr>
            <w:tcW w:w="939" w:type="pct"/>
            <w:vAlign w:val="center"/>
          </w:tcPr>
          <w:p w14:paraId="3578CA90">
            <w:pPr>
              <w:widowControl/>
              <w:ind w:left="0" w:leftChars="0" w:firstLine="0" w:firstLineChars="0"/>
              <w:jc w:val="center"/>
              <w:rPr>
                <w:rFonts w:ascii="Times New Roman" w:hAnsi="Times New Roman" w:cs="Times New Roman"/>
                <w:color w:val="auto"/>
                <w:kern w:val="21"/>
                <w:sz w:val="18"/>
                <w:szCs w:val="20"/>
                <w:highlight w:val="none"/>
                <w:lang w:val="en-US" w:bidi="ar"/>
              </w:rPr>
            </w:pPr>
          </w:p>
        </w:tc>
      </w:tr>
    </w:tbl>
    <w:p w14:paraId="68BDE6D9">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color w:val="auto"/>
          <w:kern w:val="21"/>
          <w:highlight w:val="none"/>
          <w:lang w:val="en-US"/>
        </w:rPr>
        <w:br w:type="page"/>
      </w:r>
      <w:r>
        <w:rPr>
          <w:rFonts w:ascii="Times New Roman" w:hAnsi="Times New Roman" w:cs="Times New Roman"/>
          <w:b/>
          <w:color w:val="auto"/>
          <w:kern w:val="21"/>
          <w:sz w:val="21"/>
          <w:szCs w:val="21"/>
          <w:highlight w:val="none"/>
          <w:lang w:val="en-US"/>
        </w:rPr>
        <w:t>5#动物样线调查表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392"/>
        <w:gridCol w:w="1414"/>
        <w:gridCol w:w="1383"/>
        <w:gridCol w:w="1160"/>
        <w:gridCol w:w="1617"/>
        <w:gridCol w:w="1333"/>
      </w:tblGrid>
      <w:tr w14:paraId="458DD0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4AA1D9A0">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样线长度：</w:t>
            </w:r>
          </w:p>
        </w:tc>
        <w:tc>
          <w:tcPr>
            <w:tcW w:w="1680" w:type="pct"/>
            <w:gridSpan w:val="2"/>
            <w:vAlign w:val="center"/>
          </w:tcPr>
          <w:p w14:paraId="070D5C37">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hint="eastAsia" w:ascii="Times New Roman" w:hAnsi="Times New Roman" w:cs="Times New Roman"/>
                <w:color w:val="auto"/>
                <w:kern w:val="21"/>
                <w:sz w:val="18"/>
                <w:szCs w:val="18"/>
                <w:highlight w:val="none"/>
                <w:lang w:val="en-US" w:eastAsia="zh-CN" w:bidi="ar"/>
              </w:rPr>
              <w:t>10</w:t>
            </w:r>
            <w:r>
              <w:rPr>
                <w:rFonts w:ascii="Times New Roman" w:hAnsi="Times New Roman" w:cs="Times New Roman"/>
                <w:color w:val="auto"/>
                <w:kern w:val="21"/>
                <w:sz w:val="18"/>
                <w:szCs w:val="18"/>
                <w:highlight w:val="none"/>
                <w:lang w:val="en-US" w:bidi="ar"/>
              </w:rPr>
              <w:t>0 m</w:t>
            </w:r>
          </w:p>
        </w:tc>
        <w:tc>
          <w:tcPr>
            <w:tcW w:w="700" w:type="pct"/>
            <w:vAlign w:val="center"/>
          </w:tcPr>
          <w:p w14:paraId="7521DAEB">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海拔：</w:t>
            </w:r>
          </w:p>
        </w:tc>
        <w:tc>
          <w:tcPr>
            <w:tcW w:w="1778" w:type="pct"/>
            <w:gridSpan w:val="2"/>
            <w:vAlign w:val="center"/>
          </w:tcPr>
          <w:p w14:paraId="4F042264">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hint="eastAsia" w:ascii="Times New Roman" w:hAnsi="Times New Roman" w:cs="Times New Roman"/>
                <w:color w:val="auto"/>
                <w:kern w:val="21"/>
                <w:sz w:val="18"/>
                <w:szCs w:val="18"/>
                <w:highlight w:val="none"/>
                <w:lang w:val="en-US" w:eastAsia="zh-CN" w:bidi="ar"/>
              </w:rPr>
              <w:t>336</w:t>
            </w:r>
            <w:r>
              <w:rPr>
                <w:rFonts w:ascii="Times New Roman" w:hAnsi="Times New Roman" w:cs="Times New Roman"/>
                <w:color w:val="auto"/>
                <w:kern w:val="21"/>
                <w:sz w:val="18"/>
                <w:szCs w:val="18"/>
                <w:highlight w:val="none"/>
                <w:lang w:val="en-US" w:bidi="ar"/>
              </w:rPr>
              <w:t>~</w:t>
            </w:r>
            <w:r>
              <w:rPr>
                <w:rFonts w:hint="eastAsia" w:ascii="Times New Roman" w:hAnsi="Times New Roman" w:cs="Times New Roman"/>
                <w:color w:val="auto"/>
                <w:kern w:val="21"/>
                <w:sz w:val="18"/>
                <w:szCs w:val="18"/>
                <w:highlight w:val="none"/>
                <w:lang w:val="en-US" w:eastAsia="zh-CN" w:bidi="ar"/>
              </w:rPr>
              <w:t>33</w:t>
            </w:r>
            <w:r>
              <w:rPr>
                <w:rFonts w:ascii="Times New Roman" w:hAnsi="Times New Roman" w:cs="Times New Roman"/>
                <w:color w:val="auto"/>
                <w:kern w:val="21"/>
                <w:sz w:val="18"/>
                <w:szCs w:val="18"/>
                <w:highlight w:val="none"/>
                <w:lang w:val="en-US" w:bidi="ar"/>
              </w:rPr>
              <w:t>8 m</w:t>
            </w:r>
          </w:p>
        </w:tc>
      </w:tr>
      <w:tr w14:paraId="206A5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5DDBC5DE">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起点坐标：</w:t>
            </w:r>
          </w:p>
        </w:tc>
        <w:tc>
          <w:tcPr>
            <w:tcW w:w="1680" w:type="pct"/>
            <w:gridSpan w:val="2"/>
            <w:vAlign w:val="center"/>
          </w:tcPr>
          <w:p w14:paraId="6546E829">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E </w:t>
            </w:r>
            <w:r>
              <w:rPr>
                <w:rFonts w:hint="eastAsia" w:ascii="Times New Roman" w:hAnsi="Times New Roman" w:cs="Times New Roman"/>
                <w:color w:val="auto"/>
                <w:kern w:val="21"/>
                <w:sz w:val="18"/>
                <w:szCs w:val="18"/>
                <w:highlight w:val="none"/>
                <w:lang w:val="en-US" w:bidi="ar"/>
              </w:rPr>
              <w:t>127°20'54.8949"</w:t>
            </w:r>
          </w:p>
          <w:p w14:paraId="0EBC4E71">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18"/>
                <w:szCs w:val="18"/>
                <w:highlight w:val="none"/>
                <w:lang w:val="en-US" w:bidi="ar"/>
              </w:rPr>
              <w:t>49°31'49.2876"</w:t>
            </w:r>
          </w:p>
        </w:tc>
        <w:tc>
          <w:tcPr>
            <w:tcW w:w="700" w:type="pct"/>
            <w:vAlign w:val="center"/>
          </w:tcPr>
          <w:p w14:paraId="193F9E25">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终点坐标：</w:t>
            </w:r>
          </w:p>
        </w:tc>
        <w:tc>
          <w:tcPr>
            <w:tcW w:w="1778" w:type="pct"/>
            <w:gridSpan w:val="2"/>
            <w:vAlign w:val="center"/>
          </w:tcPr>
          <w:p w14:paraId="491E4061">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E </w:t>
            </w:r>
            <w:r>
              <w:rPr>
                <w:rFonts w:hint="eastAsia" w:ascii="Times New Roman" w:hAnsi="Times New Roman" w:cs="Times New Roman"/>
                <w:color w:val="auto"/>
                <w:kern w:val="21"/>
                <w:sz w:val="18"/>
                <w:szCs w:val="18"/>
                <w:highlight w:val="none"/>
                <w:lang w:val="en-US" w:bidi="ar"/>
              </w:rPr>
              <w:t>127°20'50.5550"</w:t>
            </w:r>
          </w:p>
          <w:p w14:paraId="2590B40B">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18"/>
                <w:szCs w:val="18"/>
                <w:highlight w:val="none"/>
                <w:lang w:val="en-US" w:bidi="ar"/>
              </w:rPr>
              <w:t>49°31'49.2795"</w:t>
            </w:r>
          </w:p>
        </w:tc>
      </w:tr>
      <w:tr w14:paraId="17837D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16E8C6E1">
            <w:pPr>
              <w:widowControl/>
              <w:ind w:left="0" w:leftChars="0" w:firstLine="0" w:firstLineChars="0"/>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人为干扰因素：</w:t>
            </w:r>
          </w:p>
        </w:tc>
        <w:tc>
          <w:tcPr>
            <w:tcW w:w="4159" w:type="pct"/>
            <w:gridSpan w:val="5"/>
            <w:vAlign w:val="center"/>
          </w:tcPr>
          <w:p w14:paraId="2E5910FE">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无人为干扰因素</w:t>
            </w:r>
          </w:p>
        </w:tc>
      </w:tr>
      <w:tr w14:paraId="1FC50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Merge w:val="restart"/>
            <w:vAlign w:val="center"/>
          </w:tcPr>
          <w:p w14:paraId="766108FC">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序号</w:t>
            </w:r>
          </w:p>
        </w:tc>
        <w:tc>
          <w:tcPr>
            <w:tcW w:w="1680" w:type="pct"/>
            <w:gridSpan w:val="2"/>
            <w:vAlign w:val="center"/>
          </w:tcPr>
          <w:p w14:paraId="0393EED9">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物种名称</w:t>
            </w:r>
          </w:p>
        </w:tc>
        <w:tc>
          <w:tcPr>
            <w:tcW w:w="700" w:type="pct"/>
            <w:vMerge w:val="restart"/>
            <w:vAlign w:val="center"/>
          </w:tcPr>
          <w:p w14:paraId="2053AE7B">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实体数量</w:t>
            </w:r>
          </w:p>
        </w:tc>
        <w:tc>
          <w:tcPr>
            <w:tcW w:w="975" w:type="pct"/>
            <w:vMerge w:val="restart"/>
            <w:vAlign w:val="center"/>
          </w:tcPr>
          <w:p w14:paraId="19D0E476">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痕迹类型</w:t>
            </w:r>
          </w:p>
        </w:tc>
        <w:tc>
          <w:tcPr>
            <w:tcW w:w="802" w:type="pct"/>
            <w:vMerge w:val="restart"/>
            <w:vAlign w:val="center"/>
          </w:tcPr>
          <w:p w14:paraId="3EFA89E5">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备注</w:t>
            </w:r>
          </w:p>
        </w:tc>
      </w:tr>
      <w:tr w14:paraId="77EC6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Merge w:val="continue"/>
            <w:vAlign w:val="center"/>
          </w:tcPr>
          <w:p w14:paraId="0D1D6A1D">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53" w:type="pct"/>
            <w:vAlign w:val="center"/>
          </w:tcPr>
          <w:p w14:paraId="04486B32">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中文名</w:t>
            </w:r>
          </w:p>
        </w:tc>
        <w:tc>
          <w:tcPr>
            <w:tcW w:w="826" w:type="pct"/>
            <w:vAlign w:val="center"/>
          </w:tcPr>
          <w:p w14:paraId="421D936E">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拉丁名</w:t>
            </w:r>
          </w:p>
        </w:tc>
        <w:tc>
          <w:tcPr>
            <w:tcW w:w="700" w:type="pct"/>
            <w:vMerge w:val="continue"/>
            <w:vAlign w:val="center"/>
          </w:tcPr>
          <w:p w14:paraId="6C47CCCD">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975" w:type="pct"/>
            <w:vMerge w:val="continue"/>
            <w:vAlign w:val="center"/>
          </w:tcPr>
          <w:p w14:paraId="585CC84C">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802" w:type="pct"/>
            <w:vMerge w:val="continue"/>
            <w:vAlign w:val="center"/>
          </w:tcPr>
          <w:p w14:paraId="0CE662D7">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r>
      <w:tr w14:paraId="7878A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31DC6892">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1</w:t>
            </w:r>
          </w:p>
        </w:tc>
        <w:tc>
          <w:tcPr>
            <w:tcW w:w="853" w:type="pct"/>
            <w:vAlign w:val="center"/>
          </w:tcPr>
          <w:p w14:paraId="00F3923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21"/>
                <w:szCs w:val="21"/>
                <w:highlight w:val="none"/>
              </w:rPr>
              <w:t>燕雀</w:t>
            </w:r>
          </w:p>
        </w:tc>
        <w:tc>
          <w:tcPr>
            <w:tcW w:w="826" w:type="pct"/>
            <w:vAlign w:val="center"/>
          </w:tcPr>
          <w:p w14:paraId="24FB62A2">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i/>
                <w:iCs/>
                <w:color w:val="auto"/>
                <w:kern w:val="21"/>
                <w:sz w:val="21"/>
                <w:szCs w:val="21"/>
                <w:highlight w:val="none"/>
              </w:rPr>
              <w:t>Fringilla</w:t>
            </w:r>
            <w:r>
              <w:rPr>
                <w:rFonts w:ascii="Times New Roman" w:hAnsi="Times New Roman" w:cs="Times New Roman"/>
                <w:color w:val="auto"/>
                <w:kern w:val="21"/>
                <w:sz w:val="21"/>
                <w:szCs w:val="21"/>
                <w:highlight w:val="none"/>
                <w:shd w:val="clear" w:color="auto" w:fill="FFFFFF"/>
              </w:rPr>
              <w:t xml:space="preserve"> </w:t>
            </w:r>
            <w:r>
              <w:rPr>
                <w:rFonts w:ascii="Times New Roman" w:hAnsi="Times New Roman" w:cs="Times New Roman"/>
                <w:i/>
                <w:iCs/>
                <w:color w:val="auto"/>
                <w:kern w:val="21"/>
                <w:sz w:val="21"/>
                <w:szCs w:val="21"/>
                <w:highlight w:val="none"/>
              </w:rPr>
              <w:t>montifringilla</w:t>
            </w:r>
          </w:p>
        </w:tc>
        <w:tc>
          <w:tcPr>
            <w:tcW w:w="700" w:type="pct"/>
            <w:vAlign w:val="center"/>
          </w:tcPr>
          <w:p w14:paraId="25AC7BE2">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rPr>
              <w:t>2</w:t>
            </w:r>
          </w:p>
        </w:tc>
        <w:tc>
          <w:tcPr>
            <w:tcW w:w="975" w:type="pct"/>
            <w:vAlign w:val="center"/>
          </w:tcPr>
          <w:p w14:paraId="5B04FEA8">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SA"/>
              </w:rPr>
            </w:pPr>
            <w:r>
              <w:rPr>
                <w:rFonts w:hint="eastAsia" w:ascii="Times New Roman" w:hAnsi="Times New Roman" w:cs="Times New Roman"/>
                <w:color w:val="auto"/>
                <w:kern w:val="21"/>
                <w:sz w:val="18"/>
                <w:szCs w:val="18"/>
                <w:highlight w:val="none"/>
                <w:lang w:val="en-US" w:eastAsia="zh-CN" w:bidi="ar-SA"/>
              </w:rPr>
              <w:t>飞翔</w:t>
            </w:r>
          </w:p>
        </w:tc>
        <w:tc>
          <w:tcPr>
            <w:tcW w:w="802" w:type="pct"/>
            <w:vAlign w:val="center"/>
          </w:tcPr>
          <w:p w14:paraId="2A630E0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4E9E9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69651A83">
            <w:pPr>
              <w:widowControl/>
              <w:ind w:left="0" w:leftChars="0" w:firstLine="0" w:firstLineChars="0"/>
              <w:jc w:val="center"/>
              <w:rPr>
                <w:rFonts w:ascii="Times New Roman" w:hAnsi="Times New Roman" w:cs="Times New Roman"/>
                <w:color w:val="auto"/>
                <w:kern w:val="21"/>
                <w:sz w:val="18"/>
                <w:szCs w:val="18"/>
                <w:highlight w:val="none"/>
                <w:lang w:val="en-US" w:bidi="ar"/>
              </w:rPr>
            </w:pPr>
          </w:p>
        </w:tc>
        <w:tc>
          <w:tcPr>
            <w:tcW w:w="853" w:type="pct"/>
            <w:vAlign w:val="center"/>
          </w:tcPr>
          <w:p w14:paraId="55DBD3A3">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p>
        </w:tc>
        <w:tc>
          <w:tcPr>
            <w:tcW w:w="826" w:type="pct"/>
            <w:vAlign w:val="center"/>
          </w:tcPr>
          <w:p w14:paraId="35F64AE2">
            <w:pPr>
              <w:widowControl/>
              <w:ind w:left="0" w:leftChars="0" w:firstLine="0" w:firstLineChars="0"/>
              <w:jc w:val="center"/>
              <w:rPr>
                <w:rFonts w:ascii="Times New Roman" w:hAnsi="Times New Roman" w:cs="Times New Roman"/>
                <w:i/>
                <w:iCs/>
                <w:color w:val="auto"/>
                <w:kern w:val="21"/>
                <w:sz w:val="21"/>
                <w:szCs w:val="21"/>
                <w:highlight w:val="none"/>
              </w:rPr>
            </w:pPr>
          </w:p>
        </w:tc>
        <w:tc>
          <w:tcPr>
            <w:tcW w:w="700" w:type="pct"/>
            <w:vAlign w:val="center"/>
          </w:tcPr>
          <w:p w14:paraId="4E0B0CFB">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p>
        </w:tc>
        <w:tc>
          <w:tcPr>
            <w:tcW w:w="975" w:type="pct"/>
            <w:vAlign w:val="center"/>
          </w:tcPr>
          <w:p w14:paraId="205F101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02" w:type="pct"/>
            <w:vAlign w:val="center"/>
          </w:tcPr>
          <w:p w14:paraId="426A353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581AF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40" w:type="pct"/>
            <w:vAlign w:val="center"/>
          </w:tcPr>
          <w:p w14:paraId="37C49E6C">
            <w:pPr>
              <w:widowControl/>
              <w:ind w:left="0" w:leftChars="0" w:firstLine="0" w:firstLineChars="0"/>
              <w:jc w:val="center"/>
              <w:rPr>
                <w:rFonts w:ascii="Times New Roman" w:hAnsi="Times New Roman" w:cs="Times New Roman"/>
                <w:color w:val="auto"/>
                <w:kern w:val="21"/>
                <w:sz w:val="18"/>
                <w:szCs w:val="18"/>
                <w:highlight w:val="none"/>
                <w:lang w:val="en-US" w:bidi="ar"/>
              </w:rPr>
            </w:pPr>
          </w:p>
        </w:tc>
        <w:tc>
          <w:tcPr>
            <w:tcW w:w="853" w:type="pct"/>
            <w:vAlign w:val="center"/>
          </w:tcPr>
          <w:p w14:paraId="563A66FF">
            <w:pPr>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p>
        </w:tc>
        <w:tc>
          <w:tcPr>
            <w:tcW w:w="826" w:type="pct"/>
            <w:vAlign w:val="center"/>
          </w:tcPr>
          <w:p w14:paraId="4A0596F5">
            <w:pPr>
              <w:widowControl/>
              <w:ind w:left="0" w:leftChars="0" w:firstLine="0" w:firstLineChars="0"/>
              <w:jc w:val="center"/>
              <w:rPr>
                <w:rFonts w:ascii="Times New Roman" w:hAnsi="Times New Roman" w:cs="Times New Roman"/>
                <w:i/>
                <w:iCs/>
                <w:color w:val="auto"/>
                <w:kern w:val="21"/>
                <w:sz w:val="21"/>
                <w:szCs w:val="21"/>
                <w:highlight w:val="none"/>
              </w:rPr>
            </w:pPr>
          </w:p>
        </w:tc>
        <w:tc>
          <w:tcPr>
            <w:tcW w:w="700" w:type="pct"/>
            <w:vAlign w:val="center"/>
          </w:tcPr>
          <w:p w14:paraId="38ED6B5D">
            <w:pPr>
              <w:autoSpaceDE/>
              <w:autoSpaceDN/>
              <w:adjustRightInd w:val="0"/>
              <w:snapToGrid w:val="0"/>
              <w:ind w:left="0" w:leftChars="0" w:firstLine="0" w:firstLineChars="0"/>
              <w:jc w:val="center"/>
              <w:rPr>
                <w:rFonts w:hint="eastAsia" w:ascii="Times New Roman" w:hAnsi="Times New Roman" w:cs="Times New Roman"/>
                <w:color w:val="auto"/>
                <w:kern w:val="21"/>
                <w:sz w:val="18"/>
                <w:szCs w:val="18"/>
                <w:highlight w:val="none"/>
                <w:lang w:val="en-US" w:eastAsia="zh-CN"/>
              </w:rPr>
            </w:pPr>
          </w:p>
        </w:tc>
        <w:tc>
          <w:tcPr>
            <w:tcW w:w="975" w:type="pct"/>
            <w:vAlign w:val="center"/>
          </w:tcPr>
          <w:p w14:paraId="0BE99E41">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rPr>
            </w:pPr>
          </w:p>
        </w:tc>
        <w:tc>
          <w:tcPr>
            <w:tcW w:w="802" w:type="pct"/>
            <w:vAlign w:val="center"/>
          </w:tcPr>
          <w:p w14:paraId="67415DF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bl>
    <w:p w14:paraId="3DE450E3">
      <w:pPr>
        <w:autoSpaceDE/>
        <w:autoSpaceDN/>
        <w:spacing w:before="360" w:beforeLines="150"/>
        <w:jc w:val="center"/>
        <w:rPr>
          <w:rFonts w:ascii="Times New Roman" w:hAnsi="Times New Roman" w:cs="Times New Roman"/>
          <w:b/>
          <w:color w:val="auto"/>
          <w:kern w:val="21"/>
          <w:sz w:val="21"/>
          <w:szCs w:val="21"/>
          <w:highlight w:val="none"/>
          <w:lang w:val="en-US"/>
        </w:rPr>
      </w:pPr>
      <w:r>
        <w:rPr>
          <w:rFonts w:ascii="Times New Roman" w:hAnsi="Times New Roman" w:cs="Times New Roman"/>
          <w:b/>
          <w:color w:val="auto"/>
          <w:kern w:val="21"/>
          <w:sz w:val="21"/>
          <w:szCs w:val="21"/>
          <w:highlight w:val="none"/>
          <w:lang w:val="en-US"/>
        </w:rPr>
        <w:t>6#动物样线调查表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57" w:type="dxa"/>
          <w:left w:w="108" w:type="dxa"/>
          <w:bottom w:w="57" w:type="dxa"/>
          <w:right w:w="108" w:type="dxa"/>
        </w:tblCellMar>
      </w:tblPr>
      <w:tblGrid>
        <w:gridCol w:w="1447"/>
        <w:gridCol w:w="1353"/>
        <w:gridCol w:w="1408"/>
        <w:gridCol w:w="1258"/>
        <w:gridCol w:w="1516"/>
        <w:gridCol w:w="1317"/>
      </w:tblGrid>
      <w:tr w14:paraId="2D534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Align w:val="center"/>
          </w:tcPr>
          <w:p w14:paraId="2641DBA0">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样线长度：</w:t>
            </w:r>
          </w:p>
        </w:tc>
        <w:tc>
          <w:tcPr>
            <w:tcW w:w="1663" w:type="pct"/>
            <w:gridSpan w:val="2"/>
            <w:vAlign w:val="center"/>
          </w:tcPr>
          <w:p w14:paraId="5FEE0F56">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1</w:t>
            </w:r>
            <w:r>
              <w:rPr>
                <w:rFonts w:hint="eastAsia" w:ascii="Times New Roman" w:hAnsi="Times New Roman" w:cs="Times New Roman"/>
                <w:color w:val="auto"/>
                <w:kern w:val="21"/>
                <w:sz w:val="18"/>
                <w:szCs w:val="18"/>
                <w:highlight w:val="none"/>
                <w:lang w:val="en-US" w:eastAsia="zh-CN" w:bidi="ar"/>
              </w:rPr>
              <w:t>7</w:t>
            </w:r>
            <w:r>
              <w:rPr>
                <w:rFonts w:ascii="Times New Roman" w:hAnsi="Times New Roman" w:cs="Times New Roman"/>
                <w:color w:val="auto"/>
                <w:kern w:val="21"/>
                <w:sz w:val="18"/>
                <w:szCs w:val="18"/>
                <w:highlight w:val="none"/>
                <w:lang w:val="en-US" w:bidi="ar"/>
              </w:rPr>
              <w:t>0 m</w:t>
            </w:r>
          </w:p>
        </w:tc>
        <w:tc>
          <w:tcPr>
            <w:tcW w:w="758" w:type="pct"/>
            <w:vAlign w:val="center"/>
          </w:tcPr>
          <w:p w14:paraId="5F775117">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海拔：</w:t>
            </w:r>
          </w:p>
        </w:tc>
        <w:tc>
          <w:tcPr>
            <w:tcW w:w="1705" w:type="pct"/>
            <w:gridSpan w:val="2"/>
            <w:vAlign w:val="center"/>
          </w:tcPr>
          <w:p w14:paraId="4BE87E9F">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hint="eastAsia" w:ascii="Times New Roman" w:hAnsi="Times New Roman" w:cs="Times New Roman"/>
                <w:color w:val="auto"/>
                <w:kern w:val="21"/>
                <w:sz w:val="18"/>
                <w:szCs w:val="18"/>
                <w:highlight w:val="none"/>
                <w:lang w:val="en-US" w:eastAsia="zh-CN" w:bidi="ar"/>
              </w:rPr>
              <w:t>34</w:t>
            </w:r>
            <w:r>
              <w:rPr>
                <w:rFonts w:ascii="Times New Roman" w:hAnsi="Times New Roman" w:cs="Times New Roman"/>
                <w:color w:val="auto"/>
                <w:kern w:val="21"/>
                <w:sz w:val="18"/>
                <w:szCs w:val="18"/>
                <w:highlight w:val="none"/>
                <w:lang w:val="en-US" w:bidi="ar"/>
              </w:rPr>
              <w:t>~</w:t>
            </w:r>
            <w:r>
              <w:rPr>
                <w:rFonts w:hint="eastAsia" w:ascii="Times New Roman" w:hAnsi="Times New Roman" w:cs="Times New Roman"/>
                <w:color w:val="auto"/>
                <w:kern w:val="21"/>
                <w:sz w:val="18"/>
                <w:szCs w:val="18"/>
                <w:highlight w:val="none"/>
                <w:lang w:val="en-US" w:eastAsia="zh-CN" w:bidi="ar"/>
              </w:rPr>
              <w:t>346</w:t>
            </w:r>
            <w:r>
              <w:rPr>
                <w:rFonts w:ascii="Times New Roman" w:hAnsi="Times New Roman" w:cs="Times New Roman"/>
                <w:color w:val="auto"/>
                <w:kern w:val="21"/>
                <w:sz w:val="18"/>
                <w:szCs w:val="18"/>
                <w:highlight w:val="none"/>
                <w:lang w:val="en-US" w:bidi="ar"/>
              </w:rPr>
              <w:t xml:space="preserve"> m</w:t>
            </w:r>
          </w:p>
        </w:tc>
      </w:tr>
      <w:tr w14:paraId="6D0B0A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Align w:val="center"/>
          </w:tcPr>
          <w:p w14:paraId="4DD96761">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起点坐标：</w:t>
            </w:r>
          </w:p>
        </w:tc>
        <w:tc>
          <w:tcPr>
            <w:tcW w:w="1663" w:type="pct"/>
            <w:gridSpan w:val="2"/>
            <w:vAlign w:val="center"/>
          </w:tcPr>
          <w:p w14:paraId="5FD3C2AB">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E </w:t>
            </w:r>
            <w:r>
              <w:rPr>
                <w:rFonts w:hint="eastAsia" w:ascii="Times New Roman" w:hAnsi="Times New Roman" w:cs="Times New Roman"/>
                <w:color w:val="auto"/>
                <w:kern w:val="21"/>
                <w:sz w:val="18"/>
                <w:szCs w:val="18"/>
                <w:highlight w:val="none"/>
                <w:lang w:val="en-US" w:bidi="ar"/>
              </w:rPr>
              <w:t>127°20'24.3546"</w:t>
            </w:r>
          </w:p>
          <w:p w14:paraId="05B596CD">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18"/>
                <w:szCs w:val="18"/>
                <w:highlight w:val="none"/>
                <w:lang w:val="en-US" w:bidi="ar"/>
              </w:rPr>
              <w:t>49°31'28.6786"</w:t>
            </w:r>
          </w:p>
        </w:tc>
        <w:tc>
          <w:tcPr>
            <w:tcW w:w="758" w:type="pct"/>
            <w:vAlign w:val="center"/>
          </w:tcPr>
          <w:p w14:paraId="09D26672">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终点坐标：</w:t>
            </w:r>
          </w:p>
        </w:tc>
        <w:tc>
          <w:tcPr>
            <w:tcW w:w="1705" w:type="pct"/>
            <w:gridSpan w:val="2"/>
            <w:vAlign w:val="center"/>
          </w:tcPr>
          <w:p w14:paraId="127AE852">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E </w:t>
            </w:r>
            <w:r>
              <w:rPr>
                <w:rFonts w:hint="eastAsia" w:ascii="Times New Roman" w:hAnsi="Times New Roman" w:cs="Times New Roman"/>
                <w:color w:val="auto"/>
                <w:kern w:val="21"/>
                <w:sz w:val="18"/>
                <w:szCs w:val="18"/>
                <w:highlight w:val="none"/>
                <w:lang w:val="en-US" w:bidi="ar"/>
              </w:rPr>
              <w:t>127°20'18.4634"</w:t>
            </w:r>
          </w:p>
          <w:p w14:paraId="10AEB1C6">
            <w:pPr>
              <w:widowControl/>
              <w:ind w:left="0" w:leftChars="0" w:firstLine="0" w:firstLineChars="0"/>
              <w:jc w:val="center"/>
              <w:rPr>
                <w:rFonts w:ascii="Times New Roman" w:hAnsi="Times New Roman" w:cs="Times New Roman"/>
                <w:color w:val="auto"/>
                <w:kern w:val="21"/>
                <w:sz w:val="18"/>
                <w:szCs w:val="18"/>
                <w:highlight w:val="none"/>
                <w:lang w:val="en-US" w:bidi="ar"/>
              </w:rPr>
            </w:pPr>
            <w:r>
              <w:rPr>
                <w:rFonts w:ascii="Times New Roman" w:hAnsi="Times New Roman" w:cs="Times New Roman"/>
                <w:color w:val="auto"/>
                <w:kern w:val="21"/>
                <w:sz w:val="18"/>
                <w:szCs w:val="18"/>
                <w:highlight w:val="none"/>
                <w:lang w:val="en-US" w:bidi="ar"/>
              </w:rPr>
              <w:t xml:space="preserve">N </w:t>
            </w:r>
            <w:r>
              <w:rPr>
                <w:rFonts w:hint="eastAsia" w:ascii="Times New Roman" w:hAnsi="Times New Roman" w:cs="Times New Roman"/>
                <w:color w:val="auto"/>
                <w:kern w:val="21"/>
                <w:sz w:val="18"/>
                <w:szCs w:val="18"/>
                <w:highlight w:val="none"/>
                <w:lang w:val="en-US" w:bidi="ar"/>
              </w:rPr>
              <w:t>49°31'25.0580"</w:t>
            </w:r>
          </w:p>
        </w:tc>
      </w:tr>
      <w:tr w14:paraId="7D7D9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Align w:val="center"/>
          </w:tcPr>
          <w:p w14:paraId="034DDC7B">
            <w:pPr>
              <w:widowControl/>
              <w:ind w:left="0" w:leftChars="0" w:firstLine="0" w:firstLineChars="0"/>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人为干扰因素：</w:t>
            </w:r>
          </w:p>
        </w:tc>
        <w:tc>
          <w:tcPr>
            <w:tcW w:w="4127" w:type="pct"/>
            <w:gridSpan w:val="5"/>
            <w:vAlign w:val="center"/>
          </w:tcPr>
          <w:p w14:paraId="7D539232">
            <w:pPr>
              <w:autoSpaceDE/>
              <w:autoSpaceDN/>
              <w:adjustRightInd w:val="0"/>
              <w:snapToGrid w:val="0"/>
              <w:ind w:left="0" w:leftChars="0" w:firstLine="0" w:firstLineChars="0"/>
              <w:rPr>
                <w:rFonts w:ascii="Times New Roman" w:hAnsi="Times New Roman" w:cs="Times New Roman"/>
                <w:color w:val="auto"/>
                <w:kern w:val="21"/>
                <w:sz w:val="18"/>
                <w:szCs w:val="21"/>
                <w:highlight w:val="none"/>
                <w:lang w:val="en-US"/>
              </w:rPr>
            </w:pPr>
            <w:r>
              <w:rPr>
                <w:rFonts w:ascii="Times New Roman" w:hAnsi="Times New Roman" w:cs="Times New Roman"/>
                <w:color w:val="auto"/>
                <w:kern w:val="21"/>
                <w:sz w:val="18"/>
                <w:highlight w:val="none"/>
                <w:lang w:val="en-US"/>
              </w:rPr>
              <w:t>无人为干扰因素</w:t>
            </w:r>
          </w:p>
        </w:tc>
      </w:tr>
      <w:tr w14:paraId="51348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Merge w:val="restart"/>
            <w:vAlign w:val="center"/>
          </w:tcPr>
          <w:p w14:paraId="06442FEA">
            <w:pPr>
              <w:widowControl/>
              <w:ind w:left="0" w:leftChars="0" w:firstLine="0" w:firstLineChars="0"/>
              <w:jc w:val="center"/>
              <w:rPr>
                <w:rFonts w:ascii="Times New Roman" w:hAnsi="Times New Roman" w:cs="Times New Roman"/>
                <w:color w:val="auto"/>
                <w:kern w:val="21"/>
                <w:sz w:val="18"/>
                <w:szCs w:val="20"/>
                <w:highlight w:val="none"/>
                <w:lang w:val="en-US" w:bidi="ar"/>
              </w:rPr>
            </w:pPr>
            <w:r>
              <w:rPr>
                <w:rFonts w:ascii="Times New Roman" w:hAnsi="Times New Roman" w:cs="Times New Roman"/>
                <w:color w:val="auto"/>
                <w:kern w:val="21"/>
                <w:sz w:val="18"/>
                <w:szCs w:val="20"/>
                <w:highlight w:val="none"/>
                <w:lang w:val="en-US" w:bidi="ar"/>
              </w:rPr>
              <w:t>序号</w:t>
            </w:r>
          </w:p>
        </w:tc>
        <w:tc>
          <w:tcPr>
            <w:tcW w:w="1663" w:type="pct"/>
            <w:gridSpan w:val="2"/>
            <w:vAlign w:val="center"/>
          </w:tcPr>
          <w:p w14:paraId="6D1766A8">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物种名称</w:t>
            </w:r>
          </w:p>
        </w:tc>
        <w:tc>
          <w:tcPr>
            <w:tcW w:w="758" w:type="pct"/>
            <w:vMerge w:val="restart"/>
            <w:vAlign w:val="center"/>
          </w:tcPr>
          <w:p w14:paraId="78267B65">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实体数量</w:t>
            </w:r>
          </w:p>
        </w:tc>
        <w:tc>
          <w:tcPr>
            <w:tcW w:w="913" w:type="pct"/>
            <w:vMerge w:val="restart"/>
            <w:vAlign w:val="center"/>
          </w:tcPr>
          <w:p w14:paraId="04263563">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痕迹类型</w:t>
            </w:r>
          </w:p>
        </w:tc>
        <w:tc>
          <w:tcPr>
            <w:tcW w:w="792" w:type="pct"/>
            <w:vMerge w:val="restart"/>
            <w:vAlign w:val="center"/>
          </w:tcPr>
          <w:p w14:paraId="799AD386">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备注</w:t>
            </w:r>
          </w:p>
        </w:tc>
      </w:tr>
      <w:tr w14:paraId="372B9D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Merge w:val="continue"/>
            <w:vAlign w:val="center"/>
          </w:tcPr>
          <w:p w14:paraId="283F83E0">
            <w:pPr>
              <w:widowControl/>
              <w:ind w:left="0" w:leftChars="0" w:firstLine="0" w:firstLineChars="0"/>
              <w:jc w:val="center"/>
              <w:rPr>
                <w:rFonts w:ascii="Times New Roman" w:hAnsi="Times New Roman" w:cs="Times New Roman"/>
                <w:color w:val="auto"/>
                <w:kern w:val="21"/>
                <w:sz w:val="18"/>
                <w:szCs w:val="20"/>
                <w:highlight w:val="none"/>
                <w:lang w:val="en-US" w:bidi="ar"/>
              </w:rPr>
            </w:pPr>
          </w:p>
        </w:tc>
        <w:tc>
          <w:tcPr>
            <w:tcW w:w="815" w:type="pct"/>
            <w:vAlign w:val="center"/>
          </w:tcPr>
          <w:p w14:paraId="69E17E83">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中文名</w:t>
            </w:r>
          </w:p>
        </w:tc>
        <w:tc>
          <w:tcPr>
            <w:tcW w:w="848" w:type="pct"/>
            <w:vAlign w:val="center"/>
          </w:tcPr>
          <w:p w14:paraId="430C19D2">
            <w:pPr>
              <w:widowControl/>
              <w:ind w:left="0" w:leftChars="0" w:firstLine="0" w:firstLineChars="0"/>
              <w:jc w:val="center"/>
              <w:rPr>
                <w:rFonts w:ascii="Times New Roman" w:hAnsi="Times New Roman" w:cs="Times New Roman"/>
                <w:color w:val="auto"/>
                <w:kern w:val="21"/>
                <w:sz w:val="18"/>
                <w:highlight w:val="none"/>
                <w:lang w:val="en-US"/>
              </w:rPr>
            </w:pPr>
            <w:r>
              <w:rPr>
                <w:rFonts w:ascii="Times New Roman" w:hAnsi="Times New Roman" w:cs="Times New Roman"/>
                <w:color w:val="auto"/>
                <w:kern w:val="21"/>
                <w:sz w:val="18"/>
                <w:szCs w:val="20"/>
                <w:highlight w:val="none"/>
                <w:lang w:val="en-US" w:bidi="ar"/>
              </w:rPr>
              <w:t>拉丁名</w:t>
            </w:r>
          </w:p>
        </w:tc>
        <w:tc>
          <w:tcPr>
            <w:tcW w:w="758" w:type="pct"/>
            <w:vMerge w:val="continue"/>
            <w:vAlign w:val="center"/>
          </w:tcPr>
          <w:p w14:paraId="08606641">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913" w:type="pct"/>
            <w:vMerge w:val="continue"/>
            <w:vAlign w:val="center"/>
          </w:tcPr>
          <w:p w14:paraId="45239CFF">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c>
          <w:tcPr>
            <w:tcW w:w="792" w:type="pct"/>
            <w:vMerge w:val="continue"/>
            <w:vAlign w:val="center"/>
          </w:tcPr>
          <w:p w14:paraId="0126BAAD">
            <w:pPr>
              <w:autoSpaceDE/>
              <w:autoSpaceDN/>
              <w:adjustRightInd w:val="0"/>
              <w:snapToGrid w:val="0"/>
              <w:ind w:left="0" w:leftChars="0" w:firstLine="0" w:firstLineChars="0"/>
              <w:jc w:val="center"/>
              <w:rPr>
                <w:rFonts w:ascii="Times New Roman" w:hAnsi="Times New Roman" w:cs="Times New Roman"/>
                <w:color w:val="auto"/>
                <w:kern w:val="21"/>
                <w:sz w:val="18"/>
                <w:highlight w:val="none"/>
                <w:lang w:val="en-US"/>
              </w:rPr>
            </w:pPr>
          </w:p>
        </w:tc>
      </w:tr>
      <w:tr w14:paraId="3843FF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872" w:type="pct"/>
            <w:vAlign w:val="center"/>
          </w:tcPr>
          <w:p w14:paraId="3ED419D0">
            <w:pPr>
              <w:widowControl/>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r>
              <w:rPr>
                <w:rFonts w:hint="eastAsia" w:ascii="Times New Roman" w:hAnsi="Times New Roman" w:cs="Times New Roman"/>
                <w:color w:val="auto"/>
                <w:kern w:val="21"/>
                <w:sz w:val="18"/>
                <w:szCs w:val="18"/>
                <w:highlight w:val="none"/>
                <w:lang w:val="en-US" w:eastAsia="zh-CN" w:bidi="ar"/>
              </w:rPr>
              <w:t>1</w:t>
            </w:r>
          </w:p>
        </w:tc>
        <w:tc>
          <w:tcPr>
            <w:tcW w:w="815" w:type="pct"/>
            <w:vAlign w:val="center"/>
          </w:tcPr>
          <w:p w14:paraId="4EB1DCA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r>
              <w:rPr>
                <w:rFonts w:ascii="Times New Roman" w:hAnsi="Times New Roman" w:cs="Times New Roman"/>
                <w:color w:val="auto"/>
                <w:kern w:val="21"/>
                <w:sz w:val="18"/>
                <w:szCs w:val="18"/>
                <w:highlight w:val="none"/>
              </w:rPr>
              <w:t>喜鹊</w:t>
            </w:r>
          </w:p>
        </w:tc>
        <w:tc>
          <w:tcPr>
            <w:tcW w:w="848" w:type="pct"/>
            <w:vAlign w:val="center"/>
          </w:tcPr>
          <w:p w14:paraId="04D09660">
            <w:pPr>
              <w:widowControl/>
              <w:ind w:left="0" w:leftChars="0" w:firstLine="0" w:firstLineChars="0"/>
              <w:jc w:val="center"/>
              <w:rPr>
                <w:rFonts w:ascii="Times New Roman" w:hAnsi="Times New Roman" w:cs="Times New Roman"/>
                <w:i/>
                <w:iCs/>
                <w:color w:val="auto"/>
                <w:kern w:val="21"/>
                <w:sz w:val="18"/>
                <w:szCs w:val="18"/>
                <w:highlight w:val="none"/>
                <w:lang w:val="en-US" w:bidi="ar-SA"/>
              </w:rPr>
            </w:pPr>
            <w:r>
              <w:rPr>
                <w:rFonts w:ascii="Times New Roman" w:hAnsi="Times New Roman" w:cs="Times New Roman"/>
                <w:i/>
                <w:color w:val="auto"/>
                <w:kern w:val="21"/>
                <w:sz w:val="18"/>
                <w:szCs w:val="18"/>
                <w:highlight w:val="none"/>
              </w:rPr>
              <w:t>Pica pica</w:t>
            </w:r>
          </w:p>
        </w:tc>
        <w:tc>
          <w:tcPr>
            <w:tcW w:w="758" w:type="pct"/>
            <w:vAlign w:val="center"/>
          </w:tcPr>
          <w:p w14:paraId="16AD992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r>
              <w:rPr>
                <w:rFonts w:ascii="Times New Roman" w:hAnsi="Times New Roman" w:cs="Times New Roman"/>
                <w:color w:val="auto"/>
                <w:kern w:val="21"/>
                <w:sz w:val="18"/>
                <w:szCs w:val="18"/>
                <w:highlight w:val="none"/>
                <w:lang w:val="en-US"/>
              </w:rPr>
              <w:t>1</w:t>
            </w:r>
          </w:p>
        </w:tc>
        <w:tc>
          <w:tcPr>
            <w:tcW w:w="913" w:type="pct"/>
            <w:vAlign w:val="center"/>
          </w:tcPr>
          <w:p w14:paraId="2EBB267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r>
              <w:rPr>
                <w:rFonts w:ascii="Times New Roman" w:hAnsi="Times New Roman" w:cs="Times New Roman"/>
                <w:color w:val="auto"/>
                <w:kern w:val="21"/>
                <w:sz w:val="18"/>
                <w:szCs w:val="18"/>
                <w:highlight w:val="none"/>
                <w:lang w:val="en-US"/>
              </w:rPr>
              <w:t>鸣叫/飞翔</w:t>
            </w:r>
          </w:p>
        </w:tc>
        <w:tc>
          <w:tcPr>
            <w:tcW w:w="792" w:type="pct"/>
            <w:vAlign w:val="center"/>
          </w:tcPr>
          <w:p w14:paraId="0A0743A6">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5B8D85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1488" w:type="dxa"/>
            <w:vAlign w:val="center"/>
          </w:tcPr>
          <w:p w14:paraId="4FB14EC9">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p>
        </w:tc>
        <w:tc>
          <w:tcPr>
            <w:tcW w:w="1390" w:type="dxa"/>
            <w:vAlign w:val="center"/>
          </w:tcPr>
          <w:p w14:paraId="263B76AA">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446" w:type="dxa"/>
            <w:vAlign w:val="center"/>
          </w:tcPr>
          <w:p w14:paraId="52033ACF">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bidi="ar-SA"/>
              </w:rPr>
            </w:pPr>
          </w:p>
        </w:tc>
        <w:tc>
          <w:tcPr>
            <w:tcW w:w="1293" w:type="dxa"/>
            <w:vAlign w:val="center"/>
          </w:tcPr>
          <w:p w14:paraId="209ACD4C">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557" w:type="dxa"/>
            <w:vAlign w:val="center"/>
          </w:tcPr>
          <w:p w14:paraId="13D1ADDE">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351" w:type="dxa"/>
            <w:vAlign w:val="center"/>
          </w:tcPr>
          <w:p w14:paraId="48C6F019">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r w14:paraId="0315B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57" w:type="dxa"/>
            <w:left w:w="108" w:type="dxa"/>
            <w:bottom w:w="57" w:type="dxa"/>
            <w:right w:w="108" w:type="dxa"/>
          </w:tblCellMar>
        </w:tblPrEx>
        <w:trPr>
          <w:trHeight w:val="680" w:hRule="exact"/>
          <w:jc w:val="center"/>
        </w:trPr>
        <w:tc>
          <w:tcPr>
            <w:tcW w:w="1488" w:type="dxa"/>
            <w:vAlign w:val="center"/>
          </w:tcPr>
          <w:p w14:paraId="4C0D5F72">
            <w:pPr>
              <w:autoSpaceDE/>
              <w:autoSpaceDN/>
              <w:adjustRightInd w:val="0"/>
              <w:snapToGrid w:val="0"/>
              <w:ind w:left="0" w:leftChars="0" w:firstLine="0" w:firstLineChars="0"/>
              <w:jc w:val="center"/>
              <w:rPr>
                <w:rFonts w:hint="eastAsia" w:ascii="Times New Roman" w:hAnsi="Times New Roman" w:eastAsia="宋体" w:cs="Times New Roman"/>
                <w:color w:val="auto"/>
                <w:kern w:val="21"/>
                <w:sz w:val="18"/>
                <w:szCs w:val="18"/>
                <w:highlight w:val="none"/>
                <w:lang w:val="en-US" w:eastAsia="zh-CN" w:bidi="ar"/>
              </w:rPr>
            </w:pPr>
          </w:p>
        </w:tc>
        <w:tc>
          <w:tcPr>
            <w:tcW w:w="1390" w:type="dxa"/>
            <w:vAlign w:val="center"/>
          </w:tcPr>
          <w:p w14:paraId="4418266B">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446" w:type="dxa"/>
            <w:vAlign w:val="center"/>
          </w:tcPr>
          <w:p w14:paraId="1504E36A">
            <w:pPr>
              <w:autoSpaceDE/>
              <w:autoSpaceDN/>
              <w:adjustRightInd w:val="0"/>
              <w:snapToGrid w:val="0"/>
              <w:ind w:left="0" w:leftChars="0" w:firstLine="0" w:firstLineChars="0"/>
              <w:jc w:val="center"/>
              <w:rPr>
                <w:rFonts w:ascii="Times New Roman" w:hAnsi="Times New Roman" w:cs="Times New Roman"/>
                <w:i/>
                <w:iCs/>
                <w:color w:val="auto"/>
                <w:kern w:val="21"/>
                <w:sz w:val="18"/>
                <w:szCs w:val="18"/>
                <w:highlight w:val="none"/>
                <w:lang w:val="en-US" w:bidi="ar-SA"/>
              </w:rPr>
            </w:pPr>
          </w:p>
        </w:tc>
        <w:tc>
          <w:tcPr>
            <w:tcW w:w="1293" w:type="dxa"/>
            <w:vAlign w:val="center"/>
          </w:tcPr>
          <w:p w14:paraId="6CDA0D0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557" w:type="dxa"/>
            <w:vAlign w:val="center"/>
          </w:tcPr>
          <w:p w14:paraId="291ECE10">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c>
          <w:tcPr>
            <w:tcW w:w="1351" w:type="dxa"/>
            <w:vAlign w:val="center"/>
          </w:tcPr>
          <w:p w14:paraId="06CD0FF5">
            <w:pPr>
              <w:autoSpaceDE/>
              <w:autoSpaceDN/>
              <w:adjustRightInd w:val="0"/>
              <w:snapToGrid w:val="0"/>
              <w:ind w:left="0" w:leftChars="0" w:firstLine="0" w:firstLineChars="0"/>
              <w:jc w:val="center"/>
              <w:rPr>
                <w:rFonts w:ascii="Times New Roman" w:hAnsi="Times New Roman" w:cs="Times New Roman"/>
                <w:color w:val="auto"/>
                <w:kern w:val="21"/>
                <w:sz w:val="18"/>
                <w:szCs w:val="18"/>
                <w:highlight w:val="none"/>
                <w:lang w:val="en-US" w:bidi="ar-SA"/>
              </w:rPr>
            </w:pPr>
          </w:p>
        </w:tc>
      </w:tr>
    </w:tbl>
    <w:p w14:paraId="7785F5A9">
      <w:pPr>
        <w:autoSpaceDE/>
        <w:autoSpaceDN/>
        <w:spacing w:line="360" w:lineRule="auto"/>
        <w:ind w:firstLine="480" w:firstLineChars="200"/>
        <w:jc w:val="both"/>
        <w:rPr>
          <w:rFonts w:hint="eastAsia"/>
          <w:color w:val="auto"/>
          <w:highlight w:val="none"/>
          <w:lang w:val="en-US" w:eastAsia="zh-CN"/>
        </w:rPr>
      </w:pPr>
    </w:p>
    <w:p w14:paraId="740377CF">
      <w:pPr>
        <w:autoSpaceDE/>
        <w:autoSpaceDN/>
        <w:spacing w:line="360" w:lineRule="auto"/>
        <w:ind w:firstLine="480" w:firstLineChars="200"/>
        <w:jc w:val="both"/>
        <w:rPr>
          <w:color w:val="auto"/>
          <w:highlight w:val="none"/>
        </w:rPr>
      </w:pPr>
      <w:r>
        <w:rPr>
          <w:rFonts w:hint="eastAsia"/>
          <w:color w:val="auto"/>
          <w:highlight w:val="none"/>
          <w:lang w:val="en-US" w:eastAsia="zh-CN"/>
        </w:rPr>
        <w:t>3.</w:t>
      </w:r>
      <w:r>
        <w:rPr>
          <w:color w:val="auto"/>
          <w:highlight w:val="none"/>
          <w:lang w:val="en-US"/>
        </w:rPr>
        <w:t>动物物种及其分布</w:t>
      </w:r>
    </w:p>
    <w:p w14:paraId="221961F7">
      <w:pPr>
        <w:bidi w:val="0"/>
        <w:rPr>
          <w:color w:val="auto"/>
          <w:highlight w:val="none"/>
          <w:lang w:val="en-US"/>
        </w:rPr>
      </w:pPr>
      <w:r>
        <w:rPr>
          <w:color w:val="auto"/>
          <w:highlight w:val="none"/>
          <w:lang w:val="en-US"/>
        </w:rPr>
        <w:t>（1）按生境类型</w:t>
      </w:r>
    </w:p>
    <w:p w14:paraId="0E04BA89">
      <w:pPr>
        <w:bidi w:val="0"/>
        <w:rPr>
          <w:color w:val="auto"/>
          <w:highlight w:val="none"/>
          <w:lang w:val="en-US"/>
        </w:rPr>
      </w:pPr>
      <w:r>
        <w:rPr>
          <w:color w:val="auto"/>
          <w:highlight w:val="none"/>
          <w:lang w:val="en-US"/>
        </w:rPr>
        <w:t>1）森林生态系统</w:t>
      </w:r>
    </w:p>
    <w:p w14:paraId="75C60FB9">
      <w:pPr>
        <w:bidi w:val="0"/>
        <w:rPr>
          <w:rFonts w:ascii="Times New Roman" w:hAnsi="Times New Roman" w:cs="Times New Roman"/>
          <w:color w:val="auto"/>
          <w:kern w:val="21"/>
          <w:szCs w:val="24"/>
          <w:highlight w:val="none"/>
          <w:lang w:val="en-US"/>
        </w:rPr>
      </w:pPr>
      <w:r>
        <w:rPr>
          <w:color w:val="auto"/>
          <w:highlight w:val="none"/>
        </w:rPr>
        <w:t>森林生态系统是各种动物的良好避难</w:t>
      </w:r>
      <w:r>
        <w:rPr>
          <w:rFonts w:ascii="Times New Roman" w:hAnsi="Times New Roman" w:cs="Times New Roman"/>
          <w:color w:val="auto"/>
          <w:kern w:val="21"/>
          <w:highlight w:val="none"/>
        </w:rPr>
        <w:t>所</w:t>
      </w:r>
      <w:r>
        <w:rPr>
          <w:rFonts w:ascii="Times New Roman" w:hAnsi="Times New Roman" w:cs="Times New Roman"/>
          <w:color w:val="auto"/>
          <w:kern w:val="21"/>
          <w:highlight w:val="none"/>
          <w:lang w:val="sv-SE"/>
        </w:rPr>
        <w:t>，</w:t>
      </w:r>
      <w:r>
        <w:rPr>
          <w:rFonts w:ascii="Times New Roman" w:hAnsi="Times New Roman" w:cs="Times New Roman"/>
          <w:color w:val="auto"/>
          <w:kern w:val="21"/>
          <w:highlight w:val="none"/>
        </w:rPr>
        <w:t>也是评价区内野生动物的主要活动场所</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评价区森林生态系统中分布的</w:t>
      </w:r>
      <w:r>
        <w:rPr>
          <w:rFonts w:ascii="Times New Roman" w:hAnsi="Times New Roman" w:cs="Times New Roman"/>
          <w:color w:val="auto"/>
          <w:kern w:val="21"/>
          <w:highlight w:val="none"/>
          <w:lang w:val="en-US"/>
        </w:rPr>
        <w:t>两栖</w:t>
      </w:r>
      <w:r>
        <w:rPr>
          <w:rFonts w:ascii="Times New Roman" w:hAnsi="Times New Roman" w:cs="Times New Roman"/>
          <w:color w:val="auto"/>
          <w:kern w:val="21"/>
          <w:highlight w:val="none"/>
        </w:rPr>
        <w:t>类有东北林蛙</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Rana dybowskii</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、黑龙江林蛙</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Rana amurensis</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、黑龙江草蜥</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Takydromus amurensis</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等</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鸟类有大杜鹃</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Cuculus canorus</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、小嘴乌鸦</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C.coroneorientalis</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等</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兽类有黄鼬</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Mustela sibirica</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、松鼠</w:t>
      </w:r>
      <w:r>
        <w:rPr>
          <w:rFonts w:ascii="Times New Roman" w:hAnsi="Times New Roman" w:cs="Times New Roman"/>
          <w:color w:val="auto"/>
          <w:kern w:val="21"/>
          <w:highlight w:val="none"/>
          <w:lang w:val="en-US"/>
        </w:rPr>
        <w:t>（</w:t>
      </w:r>
      <w:r>
        <w:rPr>
          <w:rFonts w:ascii="Times New Roman" w:hAnsi="Times New Roman" w:cs="Times New Roman"/>
          <w:i/>
          <w:iCs/>
          <w:color w:val="auto"/>
          <w:kern w:val="21"/>
          <w:highlight w:val="none"/>
          <w:lang w:val="en-US"/>
        </w:rPr>
        <w:t>Sciurus vulgaris</w:t>
      </w:r>
      <w:r>
        <w:rPr>
          <w:rFonts w:ascii="Times New Roman" w:hAnsi="Times New Roman" w:cs="Times New Roman"/>
          <w:color w:val="auto"/>
          <w:kern w:val="21"/>
          <w:highlight w:val="none"/>
          <w:lang w:val="en-US"/>
        </w:rPr>
        <w:t>）</w:t>
      </w:r>
      <w:r>
        <w:rPr>
          <w:rFonts w:ascii="Times New Roman" w:hAnsi="Times New Roman" w:cs="Times New Roman"/>
          <w:color w:val="auto"/>
          <w:kern w:val="21"/>
          <w:highlight w:val="none"/>
        </w:rPr>
        <w:t>等。</w:t>
      </w:r>
    </w:p>
    <w:p w14:paraId="62D2A3B9">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hint="eastAsia" w:cs="Times New Roman"/>
          <w:color w:val="auto"/>
          <w:kern w:val="21"/>
          <w:highlight w:val="none"/>
          <w:lang w:val="en-US" w:eastAsia="zh-CN"/>
        </w:rPr>
        <w:t>2</w:t>
      </w:r>
      <w:r>
        <w:rPr>
          <w:rFonts w:ascii="Times New Roman" w:hAnsi="Times New Roman" w:cs="Times New Roman"/>
          <w:color w:val="auto"/>
          <w:kern w:val="21"/>
          <w:highlight w:val="none"/>
          <w:lang w:val="en-US"/>
        </w:rPr>
        <w:t>）农田生态系统</w:t>
      </w:r>
    </w:p>
    <w:p w14:paraId="7F40F806">
      <w:pPr>
        <w:autoSpaceDE/>
        <w:autoSpaceDN/>
        <w:spacing w:line="360" w:lineRule="auto"/>
        <w:ind w:firstLine="480" w:firstLineChars="200"/>
        <w:jc w:val="both"/>
        <w:rPr>
          <w:rFonts w:ascii="Times New Roman" w:hAnsi="Times New Roman" w:cs="Times New Roman"/>
          <w:color w:val="auto"/>
          <w:kern w:val="21"/>
          <w:szCs w:val="24"/>
          <w:highlight w:val="none"/>
          <w:lang w:val="en-US"/>
        </w:rPr>
      </w:pPr>
      <w:r>
        <w:rPr>
          <w:rFonts w:ascii="Times New Roman" w:hAnsi="Times New Roman" w:cs="Times New Roman"/>
          <w:color w:val="auto"/>
          <w:kern w:val="21"/>
          <w:highlight w:val="none"/>
          <w:lang w:val="en-US"/>
        </w:rPr>
        <w:t>由于农田生态系统中植被类型较为单一，人为干扰频繁，因此农田生态系统中动物种类不甚丰富。农田生态系统中分布的两栖类</w:t>
      </w:r>
      <w:r>
        <w:rPr>
          <w:rFonts w:ascii="Times New Roman" w:hAnsi="Times New Roman" w:cs="Times New Roman"/>
          <w:color w:val="auto"/>
          <w:kern w:val="21"/>
          <w:highlight w:val="none"/>
        </w:rPr>
        <w:t>中华蟾蜍（</w:t>
      </w:r>
      <w:r>
        <w:rPr>
          <w:rFonts w:ascii="Times New Roman" w:hAnsi="Times New Roman" w:cs="Times New Roman"/>
          <w:i/>
          <w:color w:val="auto"/>
          <w:kern w:val="21"/>
          <w:highlight w:val="none"/>
        </w:rPr>
        <w:t>Bufo gargarizans</w:t>
      </w:r>
      <w:r>
        <w:rPr>
          <w:rFonts w:ascii="Times New Roman" w:hAnsi="Times New Roman" w:cs="Times New Roman"/>
          <w:color w:val="auto"/>
          <w:kern w:val="21"/>
          <w:highlight w:val="none"/>
        </w:rPr>
        <w:t>）、花背蟾蜍（</w:t>
      </w:r>
      <w:r>
        <w:rPr>
          <w:rFonts w:ascii="Times New Roman" w:hAnsi="Times New Roman" w:cs="Times New Roman"/>
          <w:i/>
          <w:color w:val="auto"/>
          <w:kern w:val="21"/>
          <w:highlight w:val="none"/>
        </w:rPr>
        <w:t>Bufo raddei</w:t>
      </w:r>
      <w:r>
        <w:rPr>
          <w:rFonts w:ascii="Times New Roman" w:hAnsi="Times New Roman" w:cs="Times New Roman"/>
          <w:color w:val="auto"/>
          <w:kern w:val="21"/>
          <w:highlight w:val="none"/>
        </w:rPr>
        <w:t>）、黑龙江草蜥（</w:t>
      </w:r>
      <w:r>
        <w:rPr>
          <w:rFonts w:ascii="Times New Roman" w:hAnsi="Times New Roman" w:cs="Times New Roman"/>
          <w:i/>
          <w:color w:val="auto"/>
          <w:kern w:val="21"/>
          <w:highlight w:val="none"/>
        </w:rPr>
        <w:t>Takydromus amurensis</w:t>
      </w:r>
      <w:r>
        <w:rPr>
          <w:rFonts w:ascii="Times New Roman" w:hAnsi="Times New Roman" w:cs="Times New Roman"/>
          <w:color w:val="auto"/>
          <w:kern w:val="21"/>
          <w:highlight w:val="none"/>
        </w:rPr>
        <w:t>）等；鸟类有家燕（</w:t>
      </w:r>
      <w:r>
        <w:rPr>
          <w:rFonts w:ascii="Times New Roman" w:hAnsi="Times New Roman" w:cs="Times New Roman"/>
          <w:i/>
          <w:iCs/>
          <w:color w:val="auto"/>
          <w:kern w:val="21"/>
          <w:highlight w:val="none"/>
        </w:rPr>
        <w:t>Hirundo rustica</w:t>
      </w:r>
      <w:r>
        <w:rPr>
          <w:rFonts w:ascii="Times New Roman" w:hAnsi="Times New Roman" w:cs="Times New Roman"/>
          <w:color w:val="auto"/>
          <w:kern w:val="21"/>
          <w:highlight w:val="none"/>
        </w:rPr>
        <w:t>）、喜鹊（</w:t>
      </w:r>
      <w:r>
        <w:rPr>
          <w:rFonts w:ascii="Times New Roman" w:hAnsi="Times New Roman" w:cs="Times New Roman"/>
          <w:i/>
          <w:color w:val="auto"/>
          <w:kern w:val="21"/>
          <w:highlight w:val="none"/>
        </w:rPr>
        <w:t>Pica pica</w:t>
      </w:r>
      <w:r>
        <w:rPr>
          <w:rFonts w:ascii="Times New Roman" w:hAnsi="Times New Roman" w:cs="Times New Roman"/>
          <w:color w:val="auto"/>
          <w:kern w:val="21"/>
          <w:highlight w:val="none"/>
        </w:rPr>
        <w:t>）等；兽类有</w:t>
      </w:r>
      <w:r>
        <w:rPr>
          <w:rFonts w:ascii="Times New Roman" w:hAnsi="Times New Roman" w:cs="Times New Roman"/>
          <w:bCs/>
          <w:color w:val="auto"/>
          <w:kern w:val="21"/>
          <w:highlight w:val="none"/>
        </w:rPr>
        <w:t>东北兔（</w:t>
      </w:r>
      <w:r>
        <w:rPr>
          <w:rFonts w:ascii="Times New Roman" w:hAnsi="Times New Roman" w:cs="Times New Roman"/>
          <w:i/>
          <w:color w:val="auto"/>
          <w:kern w:val="21"/>
          <w:highlight w:val="none"/>
        </w:rPr>
        <w:t>Lepus mandshuricus</w:t>
      </w:r>
      <w:r>
        <w:rPr>
          <w:rFonts w:ascii="Times New Roman" w:hAnsi="Times New Roman" w:cs="Times New Roman"/>
          <w:bCs/>
          <w:color w:val="auto"/>
          <w:kern w:val="21"/>
          <w:highlight w:val="none"/>
        </w:rPr>
        <w:t>）、</w:t>
      </w:r>
      <w:r>
        <w:rPr>
          <w:rFonts w:ascii="Times New Roman" w:hAnsi="Times New Roman" w:cs="Times New Roman"/>
          <w:color w:val="auto"/>
          <w:kern w:val="21"/>
          <w:highlight w:val="none"/>
        </w:rPr>
        <w:t>松鼠（</w:t>
      </w:r>
      <w:r>
        <w:rPr>
          <w:rFonts w:ascii="Times New Roman" w:hAnsi="Times New Roman" w:cs="Times New Roman"/>
          <w:i/>
          <w:iCs/>
          <w:color w:val="auto"/>
          <w:kern w:val="21"/>
          <w:highlight w:val="none"/>
        </w:rPr>
        <w:t>Sciurus vulgaris</w:t>
      </w:r>
      <w:r>
        <w:rPr>
          <w:rFonts w:ascii="Times New Roman" w:hAnsi="Times New Roman" w:cs="Times New Roman"/>
          <w:color w:val="auto"/>
          <w:kern w:val="21"/>
          <w:highlight w:val="none"/>
        </w:rPr>
        <w:t>）等。</w:t>
      </w:r>
    </w:p>
    <w:p w14:paraId="53D1D2B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（2）按种类组成</w:t>
      </w:r>
    </w:p>
    <w:p w14:paraId="4BFC9C1C">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1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①</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两栖类</w:t>
      </w:r>
    </w:p>
    <w:p w14:paraId="4344894E">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评价区内共有两栖类动物2目2科3种，评价区内未发现国家重点保护两栖类，按区系类型分，将评价区两栖类分为2种区系类型：古北2种，占66.7%；广布种1种，占33.3%。评价范围内未发现国家重点保护两栖类。</w:t>
      </w:r>
    </w:p>
    <w:p w14:paraId="256CE975">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表4-2-3</w:t>
      </w:r>
      <w:r>
        <w:rPr>
          <w:rFonts w:hint="eastAsia" w:eastAsia="黑体" w:cs="Times New Roman"/>
          <w:snapToGrid w:val="0"/>
          <w:color w:val="auto"/>
          <w:kern w:val="0"/>
          <w:highlight w:val="none"/>
          <w:lang w:val="en-US" w:eastAsia="zh-CN"/>
        </w:rPr>
        <w:t>4</w:t>
      </w:r>
      <w:r>
        <w:rPr>
          <w:rFonts w:hint="eastAsia" w:ascii="Times New Roman" w:hAnsi="Times New Roman" w:eastAsia="黑体" w:cs="Times New Roman"/>
          <w:snapToGrid w:val="0"/>
          <w:color w:val="auto"/>
          <w:kern w:val="0"/>
          <w:highlight w:val="none"/>
          <w:lang w:val="en-US" w:eastAsia="zh-CN"/>
        </w:rPr>
        <w:t>评价区两栖类调查情况统计表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1"/>
        <w:gridCol w:w="3322"/>
        <w:gridCol w:w="870"/>
        <w:gridCol w:w="627"/>
        <w:gridCol w:w="1039"/>
      </w:tblGrid>
      <w:tr w14:paraId="6FA77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1" w:type="pct"/>
            <w:tcBorders>
              <w:top w:val="single" w:color="auto" w:sz="12" w:space="0"/>
              <w:left w:val="nil"/>
            </w:tcBorders>
            <w:vAlign w:val="center"/>
          </w:tcPr>
          <w:p w14:paraId="1AD331D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中文名、学名</w:t>
            </w:r>
          </w:p>
        </w:tc>
        <w:tc>
          <w:tcPr>
            <w:tcW w:w="2001" w:type="pct"/>
            <w:tcBorders>
              <w:top w:val="single" w:color="auto" w:sz="12" w:space="0"/>
            </w:tcBorders>
            <w:vAlign w:val="center"/>
          </w:tcPr>
          <w:p w14:paraId="1201D8A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生境</w:t>
            </w:r>
          </w:p>
        </w:tc>
        <w:tc>
          <w:tcPr>
            <w:tcW w:w="524" w:type="pct"/>
            <w:tcBorders>
              <w:top w:val="single" w:color="auto" w:sz="12" w:space="0"/>
            </w:tcBorders>
            <w:vAlign w:val="center"/>
          </w:tcPr>
          <w:p w14:paraId="344F3DE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区系</w:t>
            </w:r>
          </w:p>
        </w:tc>
        <w:tc>
          <w:tcPr>
            <w:tcW w:w="378" w:type="pct"/>
            <w:tcBorders>
              <w:top w:val="single" w:color="auto" w:sz="12" w:space="0"/>
            </w:tcBorders>
            <w:vAlign w:val="center"/>
          </w:tcPr>
          <w:p w14:paraId="25CFD942">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数量</w:t>
            </w:r>
          </w:p>
        </w:tc>
        <w:tc>
          <w:tcPr>
            <w:tcW w:w="623" w:type="pct"/>
            <w:tcBorders>
              <w:top w:val="single" w:color="auto" w:sz="12" w:space="0"/>
              <w:right w:val="nil"/>
            </w:tcBorders>
            <w:vAlign w:val="center"/>
          </w:tcPr>
          <w:p w14:paraId="2D925D17">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来源</w:t>
            </w:r>
          </w:p>
        </w:tc>
      </w:tr>
      <w:tr w14:paraId="4E7AD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6AB15789">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一、无尾目 ANURA</w:t>
            </w:r>
          </w:p>
        </w:tc>
      </w:tr>
      <w:tr w14:paraId="4F05F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74CB5BB1">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（一）、蛙科 Ranidae</w:t>
            </w:r>
          </w:p>
        </w:tc>
      </w:tr>
      <w:tr w14:paraId="099AD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1" w:type="pct"/>
            <w:tcBorders>
              <w:left w:val="nil"/>
            </w:tcBorders>
            <w:vAlign w:val="center"/>
          </w:tcPr>
          <w:p w14:paraId="258825C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1、黑龙江林蛙</w:t>
            </w:r>
          </w:p>
          <w:p w14:paraId="7D48CBC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Rana amurensisBoulenger</w:t>
            </w:r>
          </w:p>
        </w:tc>
        <w:tc>
          <w:tcPr>
            <w:tcW w:w="2001" w:type="pct"/>
            <w:vAlign w:val="center"/>
          </w:tcPr>
          <w:p w14:paraId="2988CAC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栖息在海拔50m~650m的平原和山区林地。</w:t>
            </w:r>
          </w:p>
        </w:tc>
        <w:tc>
          <w:tcPr>
            <w:tcW w:w="524" w:type="pct"/>
            <w:vAlign w:val="center"/>
          </w:tcPr>
          <w:p w14:paraId="7FD11AC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378" w:type="pct"/>
            <w:vAlign w:val="center"/>
          </w:tcPr>
          <w:p w14:paraId="44095AF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23" w:type="pct"/>
            <w:tcBorders>
              <w:right w:val="nil"/>
            </w:tcBorders>
            <w:vAlign w:val="center"/>
          </w:tcPr>
          <w:p w14:paraId="247C4D1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目击（11）</w:t>
            </w:r>
          </w:p>
        </w:tc>
      </w:tr>
      <w:tr w14:paraId="68A93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1" w:type="pct"/>
            <w:tcBorders>
              <w:left w:val="nil"/>
            </w:tcBorders>
            <w:vAlign w:val="center"/>
          </w:tcPr>
          <w:p w14:paraId="79A731B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2、东北林蛙</w:t>
            </w:r>
          </w:p>
          <w:p w14:paraId="3F03FC7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Rana dybowskii</w:t>
            </w:r>
          </w:p>
        </w:tc>
        <w:tc>
          <w:tcPr>
            <w:tcW w:w="2001" w:type="pct"/>
            <w:vAlign w:val="center"/>
          </w:tcPr>
          <w:p w14:paraId="78F5527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栖息在植被较好的湿润环境。</w:t>
            </w:r>
          </w:p>
        </w:tc>
        <w:tc>
          <w:tcPr>
            <w:tcW w:w="524" w:type="pct"/>
            <w:vAlign w:val="center"/>
          </w:tcPr>
          <w:p w14:paraId="4A72964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378" w:type="pct"/>
            <w:vAlign w:val="center"/>
          </w:tcPr>
          <w:p w14:paraId="028E21C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23" w:type="pct"/>
            <w:tcBorders>
              <w:right w:val="nil"/>
            </w:tcBorders>
            <w:vAlign w:val="center"/>
          </w:tcPr>
          <w:p w14:paraId="54B7B6C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目击（7,11）</w:t>
            </w:r>
          </w:p>
        </w:tc>
      </w:tr>
      <w:tr w14:paraId="760C3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1" w:type="pct"/>
            <w:tcBorders>
              <w:left w:val="nil"/>
              <w:bottom w:val="single" w:color="auto" w:sz="12" w:space="0"/>
            </w:tcBorders>
            <w:vAlign w:val="center"/>
          </w:tcPr>
          <w:p w14:paraId="1EC0EC4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3、黑斑蛙</w:t>
            </w:r>
          </w:p>
          <w:p w14:paraId="068D405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Pelophylaxnigromaculatus</w:t>
            </w:r>
          </w:p>
        </w:tc>
        <w:tc>
          <w:tcPr>
            <w:tcW w:w="2001" w:type="pct"/>
            <w:tcBorders>
              <w:bottom w:val="single" w:color="auto" w:sz="12" w:space="0"/>
            </w:tcBorders>
            <w:vAlign w:val="center"/>
          </w:tcPr>
          <w:p w14:paraId="51B73F0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生活在沿海平原至海拔2000米左右的丘陵、山区，常见于水田、池塘、湖泽、水沟等静水或流水缓慢的河流附近。</w:t>
            </w:r>
          </w:p>
        </w:tc>
        <w:tc>
          <w:tcPr>
            <w:tcW w:w="524" w:type="pct"/>
            <w:tcBorders>
              <w:bottom w:val="single" w:color="auto" w:sz="12" w:space="0"/>
            </w:tcBorders>
            <w:vAlign w:val="center"/>
          </w:tcPr>
          <w:p w14:paraId="6B4B920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广布种</w:t>
            </w:r>
          </w:p>
        </w:tc>
        <w:tc>
          <w:tcPr>
            <w:tcW w:w="378" w:type="pct"/>
            <w:tcBorders>
              <w:bottom w:val="single" w:color="auto" w:sz="12" w:space="0"/>
            </w:tcBorders>
            <w:vAlign w:val="center"/>
          </w:tcPr>
          <w:p w14:paraId="5C530CF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23" w:type="pct"/>
            <w:tcBorders>
              <w:bottom w:val="single" w:color="auto" w:sz="12" w:space="0"/>
              <w:right w:val="nil"/>
            </w:tcBorders>
            <w:vAlign w:val="center"/>
          </w:tcPr>
          <w:p w14:paraId="6B23F37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访问资料</w:t>
            </w:r>
          </w:p>
        </w:tc>
      </w:tr>
    </w:tbl>
    <w:p w14:paraId="6801E824">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根据生活习性的不同，评价区内两栖类可分为以下2种生态类型：</w:t>
      </w:r>
    </w:p>
    <w:p w14:paraId="72DC36AE">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1）静水型（在静水或缓流中觅食）：有黑斑蛙（</w:t>
      </w:r>
      <w:r>
        <w:rPr>
          <w:rFonts w:ascii="Times New Roman" w:hAnsi="Times New Roman" w:cs="Times New Roman"/>
          <w:i/>
          <w:iCs/>
          <w:color w:val="auto"/>
          <w:kern w:val="21"/>
          <w:highlight w:val="none"/>
          <w:lang w:val="en-US"/>
        </w:rPr>
        <w:t>Pelophylaxnigromaculatus</w:t>
      </w:r>
      <w:r>
        <w:rPr>
          <w:rFonts w:ascii="Times New Roman" w:hAnsi="Times New Roman" w:cs="Times New Roman"/>
          <w:color w:val="auto"/>
          <w:kern w:val="21"/>
          <w:highlight w:val="none"/>
          <w:lang w:val="en-US"/>
        </w:rPr>
        <w:t>）1种，主要在评价区内水流较缓的区域生活。</w:t>
      </w:r>
    </w:p>
    <w:p w14:paraId="58BA171D">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2）陆栖型（在离水源不远的陆地上活动觅食）：包括黑龙江林蛙（</w:t>
      </w:r>
      <w:r>
        <w:rPr>
          <w:rFonts w:ascii="Times New Roman" w:hAnsi="Times New Roman" w:cs="Times New Roman"/>
          <w:i/>
          <w:iCs/>
          <w:color w:val="auto"/>
          <w:kern w:val="21"/>
          <w:highlight w:val="none"/>
          <w:lang w:val="en-US"/>
        </w:rPr>
        <w:t>Rana</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amurensisBoulenger</w:t>
      </w:r>
      <w:r>
        <w:rPr>
          <w:rFonts w:ascii="Times New Roman" w:hAnsi="Times New Roman" w:cs="Times New Roman"/>
          <w:color w:val="auto"/>
          <w:kern w:val="21"/>
          <w:highlight w:val="none"/>
          <w:lang w:val="en-US"/>
        </w:rPr>
        <w:t>）、东北林蛙（</w:t>
      </w:r>
      <w:r>
        <w:rPr>
          <w:rFonts w:ascii="Times New Roman" w:hAnsi="Times New Roman" w:cs="Times New Roman"/>
          <w:i/>
          <w:iCs/>
          <w:color w:val="auto"/>
          <w:kern w:val="21"/>
          <w:highlight w:val="none"/>
          <w:lang w:val="en-US"/>
        </w:rPr>
        <w:t>Rana</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dybowskii</w:t>
      </w:r>
      <w:r>
        <w:rPr>
          <w:rFonts w:ascii="Times New Roman" w:hAnsi="Times New Roman" w:cs="Times New Roman"/>
          <w:color w:val="auto"/>
          <w:kern w:val="21"/>
          <w:highlight w:val="none"/>
          <w:lang w:val="en-US"/>
        </w:rPr>
        <w:t>）2种，它们主要是在评价区内较潮湿的陆地上活动。</w:t>
      </w:r>
    </w:p>
    <w:p w14:paraId="7B001B59">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2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②</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爬行类</w:t>
      </w:r>
    </w:p>
    <w:p w14:paraId="1E81EE61">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评价区内爬行类共有1目3科4种，游蛇科的种类最多，有2种，占50%。评价范围内未发现国家重点保护爬行类。</w:t>
      </w:r>
    </w:p>
    <w:p w14:paraId="58EBC353">
      <w:pPr>
        <w:autoSpaceDE/>
        <w:autoSpaceDN/>
        <w:spacing w:line="360" w:lineRule="auto"/>
        <w:ind w:firstLine="456" w:firstLineChars="200"/>
        <w:jc w:val="both"/>
        <w:rPr>
          <w:rFonts w:ascii="Times New Roman" w:hAnsi="Times New Roman" w:cs="Times New Roman"/>
          <w:color w:val="auto"/>
          <w:kern w:val="21"/>
          <w:highlight w:val="none"/>
          <w:lang w:val="en-US"/>
        </w:rPr>
      </w:pPr>
      <w:r>
        <w:rPr>
          <w:rFonts w:ascii="Times New Roman" w:hAnsi="Times New Roman" w:cs="Times New Roman"/>
          <w:color w:val="auto"/>
          <w:spacing w:val="-6"/>
          <w:kern w:val="21"/>
          <w:highlight w:val="none"/>
          <w:lang w:val="en-US"/>
        </w:rPr>
        <w:t>按照爬行动物的区系类型，将评价区爬行类分为2种区系类型：古北种3种，占75%；广布种1种，占25%。与两栖类类似，爬行类的迁移能力也较差，东洋种成分难以跨越地理阻障向古北界渗透，因此评价区内的爬行类仍然以古北种为主。</w:t>
      </w:r>
    </w:p>
    <w:p w14:paraId="0D899D19">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表4-2-3</w:t>
      </w:r>
      <w:r>
        <w:rPr>
          <w:rFonts w:hint="eastAsia" w:eastAsia="黑体" w:cs="Times New Roman"/>
          <w:snapToGrid w:val="0"/>
          <w:color w:val="auto"/>
          <w:kern w:val="0"/>
          <w:highlight w:val="none"/>
          <w:lang w:val="en-US" w:eastAsia="zh-CN"/>
        </w:rPr>
        <w:t>5</w:t>
      </w:r>
      <w:r>
        <w:rPr>
          <w:rFonts w:hint="eastAsia" w:ascii="Times New Roman" w:hAnsi="Times New Roman" w:eastAsia="黑体" w:cs="Times New Roman"/>
          <w:snapToGrid w:val="0"/>
          <w:color w:val="auto"/>
          <w:kern w:val="0"/>
          <w:highlight w:val="none"/>
          <w:lang w:val="en-US" w:eastAsia="zh-CN"/>
        </w:rPr>
        <w:t>评价区爬行类调查情况统计表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3550"/>
        <w:gridCol w:w="790"/>
        <w:gridCol w:w="725"/>
        <w:gridCol w:w="1104"/>
      </w:tblGrid>
      <w:tr w14:paraId="43063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tcBorders>
              <w:top w:val="single" w:color="auto" w:sz="12" w:space="0"/>
              <w:left w:val="nil"/>
            </w:tcBorders>
            <w:vAlign w:val="center"/>
          </w:tcPr>
          <w:p w14:paraId="476998F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中文名、学名</w:t>
            </w:r>
          </w:p>
        </w:tc>
        <w:tc>
          <w:tcPr>
            <w:tcW w:w="2139" w:type="pct"/>
            <w:tcBorders>
              <w:top w:val="single" w:color="auto" w:sz="12" w:space="0"/>
            </w:tcBorders>
            <w:vAlign w:val="center"/>
          </w:tcPr>
          <w:p w14:paraId="793592C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生境</w:t>
            </w:r>
          </w:p>
        </w:tc>
        <w:tc>
          <w:tcPr>
            <w:tcW w:w="476" w:type="pct"/>
            <w:tcBorders>
              <w:top w:val="single" w:color="auto" w:sz="12" w:space="0"/>
            </w:tcBorders>
            <w:vAlign w:val="center"/>
          </w:tcPr>
          <w:p w14:paraId="23F4394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区系</w:t>
            </w:r>
          </w:p>
        </w:tc>
        <w:tc>
          <w:tcPr>
            <w:tcW w:w="437" w:type="pct"/>
            <w:tcBorders>
              <w:top w:val="single" w:color="auto" w:sz="12" w:space="0"/>
            </w:tcBorders>
            <w:vAlign w:val="center"/>
          </w:tcPr>
          <w:p w14:paraId="3ACD4B73">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数量</w:t>
            </w:r>
          </w:p>
        </w:tc>
        <w:tc>
          <w:tcPr>
            <w:tcW w:w="663" w:type="pct"/>
            <w:tcBorders>
              <w:top w:val="single" w:color="auto" w:sz="12" w:space="0"/>
              <w:right w:val="nil"/>
            </w:tcBorders>
            <w:vAlign w:val="center"/>
          </w:tcPr>
          <w:p w14:paraId="0421627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来源</w:t>
            </w:r>
          </w:p>
        </w:tc>
      </w:tr>
      <w:tr w14:paraId="0A85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3E43C72C">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一、有鳞目 SQUAMATA</w:t>
            </w:r>
          </w:p>
        </w:tc>
      </w:tr>
      <w:tr w14:paraId="21B5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52918900">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（一）、蜥蜴科 Lacertidac</w:t>
            </w:r>
          </w:p>
        </w:tc>
      </w:tr>
      <w:tr w14:paraId="357DE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tcBorders>
              <w:left w:val="nil"/>
            </w:tcBorders>
            <w:vAlign w:val="center"/>
          </w:tcPr>
          <w:p w14:paraId="6F63993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1、黑龙江草蜥</w:t>
            </w:r>
          </w:p>
          <w:p w14:paraId="0BA51CE4">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Takydromus amurensis</w:t>
            </w:r>
          </w:p>
        </w:tc>
        <w:tc>
          <w:tcPr>
            <w:tcW w:w="2139" w:type="pct"/>
            <w:vAlign w:val="center"/>
          </w:tcPr>
          <w:p w14:paraId="23D43BB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栖居在山林边缘、荒山坡、草丛间、路边等处，也常见于菜地或黄豆地，偶在树上寻食或静卧。</w:t>
            </w:r>
          </w:p>
        </w:tc>
        <w:tc>
          <w:tcPr>
            <w:tcW w:w="476" w:type="pct"/>
            <w:vAlign w:val="center"/>
          </w:tcPr>
          <w:p w14:paraId="368EF2A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437" w:type="pct"/>
            <w:vAlign w:val="center"/>
          </w:tcPr>
          <w:p w14:paraId="2A131521">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63" w:type="pct"/>
            <w:tcBorders>
              <w:right w:val="nil"/>
            </w:tcBorders>
            <w:vAlign w:val="center"/>
          </w:tcPr>
          <w:p w14:paraId="06C7D16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访问资料</w:t>
            </w:r>
          </w:p>
        </w:tc>
      </w:tr>
      <w:tr w14:paraId="4BA33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0AF3EDEE">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（二）、游蛇科 Colubridae</w:t>
            </w:r>
          </w:p>
        </w:tc>
      </w:tr>
      <w:tr w14:paraId="73C9D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tcBorders>
              <w:left w:val="nil"/>
            </w:tcBorders>
            <w:vAlign w:val="center"/>
          </w:tcPr>
          <w:p w14:paraId="2081410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2、白条锦蛇</w:t>
            </w:r>
          </w:p>
          <w:p w14:paraId="551CCBE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Elaphe dione</w:t>
            </w:r>
          </w:p>
        </w:tc>
        <w:tc>
          <w:tcPr>
            <w:tcW w:w="2139" w:type="pct"/>
            <w:vAlign w:val="center"/>
          </w:tcPr>
          <w:p w14:paraId="683433B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生活于平原、丘陵或山区、草原，栖于田野、坟堆、草坡、林区、河边及近旁。</w:t>
            </w:r>
          </w:p>
        </w:tc>
        <w:tc>
          <w:tcPr>
            <w:tcW w:w="476" w:type="pct"/>
            <w:vAlign w:val="center"/>
          </w:tcPr>
          <w:p w14:paraId="4A1CDBA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437" w:type="pct"/>
            <w:vAlign w:val="center"/>
          </w:tcPr>
          <w:p w14:paraId="1B2CCBFA">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63" w:type="pct"/>
            <w:tcBorders>
              <w:right w:val="nil"/>
            </w:tcBorders>
            <w:vAlign w:val="center"/>
          </w:tcPr>
          <w:p w14:paraId="29B6155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访问资料</w:t>
            </w:r>
          </w:p>
        </w:tc>
      </w:tr>
      <w:tr w14:paraId="5963C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tcBorders>
              <w:left w:val="nil"/>
            </w:tcBorders>
            <w:vAlign w:val="center"/>
          </w:tcPr>
          <w:p w14:paraId="32B5FF66">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3、红点锦蛇</w:t>
            </w:r>
          </w:p>
          <w:p w14:paraId="13565E4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Elaphe rufodorsata</w:t>
            </w:r>
          </w:p>
        </w:tc>
        <w:tc>
          <w:tcPr>
            <w:tcW w:w="2139" w:type="pct"/>
            <w:vAlign w:val="center"/>
          </w:tcPr>
          <w:p w14:paraId="282F1A4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栖居于傍水的草丛内，也常在阴湿的山麓出现。</w:t>
            </w:r>
          </w:p>
        </w:tc>
        <w:tc>
          <w:tcPr>
            <w:tcW w:w="476" w:type="pct"/>
            <w:vAlign w:val="center"/>
          </w:tcPr>
          <w:p w14:paraId="22BD0455">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古北种</w:t>
            </w:r>
          </w:p>
        </w:tc>
        <w:tc>
          <w:tcPr>
            <w:tcW w:w="437" w:type="pct"/>
            <w:vAlign w:val="center"/>
          </w:tcPr>
          <w:p w14:paraId="439EB05C">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63" w:type="pct"/>
            <w:tcBorders>
              <w:right w:val="nil"/>
            </w:tcBorders>
            <w:vAlign w:val="center"/>
          </w:tcPr>
          <w:p w14:paraId="53937FFF">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访问资料</w:t>
            </w:r>
          </w:p>
        </w:tc>
      </w:tr>
      <w:tr w14:paraId="07F29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left w:val="nil"/>
              <w:right w:val="nil"/>
            </w:tcBorders>
            <w:vAlign w:val="center"/>
          </w:tcPr>
          <w:p w14:paraId="5732E5DD">
            <w:pPr>
              <w:pStyle w:val="492"/>
              <w:bidi w:val="0"/>
              <w:ind w:firstLine="0" w:firstLineChars="0"/>
              <w:jc w:val="both"/>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（三）、蝰科 Viperidae</w:t>
            </w:r>
          </w:p>
        </w:tc>
      </w:tr>
      <w:tr w14:paraId="0B74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tcBorders>
              <w:left w:val="nil"/>
              <w:bottom w:val="single" w:color="auto" w:sz="12" w:space="0"/>
            </w:tcBorders>
            <w:vAlign w:val="center"/>
          </w:tcPr>
          <w:p w14:paraId="4646CFC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4、蝮蛇</w:t>
            </w:r>
          </w:p>
          <w:p w14:paraId="69505AAD">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Agkistrodon halys</w:t>
            </w:r>
          </w:p>
        </w:tc>
        <w:tc>
          <w:tcPr>
            <w:tcW w:w="2139" w:type="pct"/>
            <w:tcBorders>
              <w:bottom w:val="single" w:color="auto" w:sz="12" w:space="0"/>
            </w:tcBorders>
            <w:vAlign w:val="center"/>
          </w:tcPr>
          <w:p w14:paraId="24556D29">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常栖于平原、丘陵、低山区或田野溪沟有乱石堆下、草丛、水沟、坟堆、灌木丛及田野中。弯曲成盘状或波状。</w:t>
            </w:r>
          </w:p>
        </w:tc>
        <w:tc>
          <w:tcPr>
            <w:tcW w:w="476" w:type="pct"/>
            <w:tcBorders>
              <w:bottom w:val="single" w:color="auto" w:sz="12" w:space="0"/>
            </w:tcBorders>
            <w:vAlign w:val="center"/>
          </w:tcPr>
          <w:p w14:paraId="043D3848">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广布种</w:t>
            </w:r>
          </w:p>
        </w:tc>
        <w:tc>
          <w:tcPr>
            <w:tcW w:w="437" w:type="pct"/>
            <w:tcBorders>
              <w:bottom w:val="single" w:color="auto" w:sz="12" w:space="0"/>
            </w:tcBorders>
            <w:vAlign w:val="center"/>
          </w:tcPr>
          <w:p w14:paraId="1892D4C0">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663" w:type="pct"/>
            <w:tcBorders>
              <w:bottom w:val="single" w:color="auto" w:sz="12" w:space="0"/>
              <w:right w:val="nil"/>
            </w:tcBorders>
            <w:vAlign w:val="center"/>
          </w:tcPr>
          <w:p w14:paraId="546124AB">
            <w:pPr>
              <w:pStyle w:val="492"/>
              <w:bidi w:val="0"/>
              <w:ind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目击（11）</w:t>
            </w:r>
          </w:p>
        </w:tc>
      </w:tr>
    </w:tbl>
    <w:p w14:paraId="377E543B">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根据爬行动物生活习性不同，可将其分为以下2种生态类型：</w:t>
      </w:r>
    </w:p>
    <w:p w14:paraId="0B1E937B">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1）灌丛石隙型（经常活动在灌丛下面，路边石缝中的爬行类），黑龙江草蜥（</w:t>
      </w:r>
      <w:r>
        <w:rPr>
          <w:rFonts w:ascii="Times New Roman" w:hAnsi="Times New Roman" w:cs="Times New Roman"/>
          <w:i/>
          <w:iCs/>
          <w:color w:val="auto"/>
          <w:kern w:val="21"/>
          <w:highlight w:val="none"/>
          <w:lang w:val="en-US"/>
        </w:rPr>
        <w:t>Takydromus</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amurensis</w:t>
      </w:r>
      <w:r>
        <w:rPr>
          <w:rFonts w:ascii="Times New Roman" w:hAnsi="Times New Roman" w:cs="Times New Roman"/>
          <w:color w:val="auto"/>
          <w:kern w:val="21"/>
          <w:highlight w:val="none"/>
          <w:lang w:val="en-US"/>
        </w:rPr>
        <w:t>）1种，它们主要在评价区内的田间小路、路边灌草丛、石堆中活动。</w:t>
      </w:r>
    </w:p>
    <w:p w14:paraId="09113893">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2）林栖傍水型（在山谷间有溪流的山坡上活动）：包括白条锦蛇（</w:t>
      </w:r>
      <w:r>
        <w:rPr>
          <w:rFonts w:ascii="Times New Roman" w:hAnsi="Times New Roman" w:cs="Times New Roman"/>
          <w:i/>
          <w:iCs/>
          <w:color w:val="auto"/>
          <w:kern w:val="21"/>
          <w:highlight w:val="none"/>
          <w:lang w:val="en-US"/>
        </w:rPr>
        <w:t>Elaphe</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dione</w:t>
      </w:r>
      <w:r>
        <w:rPr>
          <w:rFonts w:ascii="Times New Roman" w:hAnsi="Times New Roman" w:cs="Times New Roman"/>
          <w:color w:val="auto"/>
          <w:kern w:val="21"/>
          <w:highlight w:val="none"/>
          <w:lang w:val="en-US"/>
        </w:rPr>
        <w:t>）、红点锦蛇（</w:t>
      </w:r>
      <w:r>
        <w:rPr>
          <w:rFonts w:ascii="Times New Roman" w:hAnsi="Times New Roman" w:cs="Times New Roman"/>
          <w:i/>
          <w:iCs/>
          <w:color w:val="auto"/>
          <w:kern w:val="21"/>
          <w:highlight w:val="none"/>
          <w:lang w:val="en-US"/>
        </w:rPr>
        <w:t>Elaphe</w:t>
      </w:r>
      <w:r>
        <w:rPr>
          <w:rFonts w:ascii="Times New Roman" w:hAnsi="Times New Roman" w:cs="Times New Roman"/>
          <w:color w:val="auto"/>
          <w:kern w:val="21"/>
          <w:highlight w:val="none"/>
          <w:lang w:val="en-US"/>
        </w:rPr>
        <w:t xml:space="preserve"> </w:t>
      </w:r>
      <w:r>
        <w:rPr>
          <w:rFonts w:ascii="Times New Roman" w:hAnsi="Times New Roman" w:cs="Times New Roman"/>
          <w:i/>
          <w:iCs/>
          <w:color w:val="auto"/>
          <w:kern w:val="21"/>
          <w:highlight w:val="none"/>
          <w:lang w:val="en-US"/>
        </w:rPr>
        <w:t>rufodorsata</w:t>
      </w:r>
      <w:r>
        <w:rPr>
          <w:rFonts w:ascii="Times New Roman" w:hAnsi="Times New Roman" w:cs="Times New Roman"/>
          <w:color w:val="auto"/>
          <w:kern w:val="21"/>
          <w:highlight w:val="none"/>
          <w:lang w:val="en-US"/>
        </w:rPr>
        <w:t>）共2种，它们主要在评价区内评价区内离水域较近的林间地带活动。</w:t>
      </w:r>
    </w:p>
    <w:p w14:paraId="68179362">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3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③</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鸟类</w:t>
      </w:r>
    </w:p>
    <w:p w14:paraId="3CD999FE">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评价区现状调查结果共有鸟类7目12科18种。在评价区内调查到的21种鸟类中，鸟类种类最多的为鴷形目，均共有鸟类8种，为鸟类种数的44%；雁形目次之，有3种，占评价区物种数的17%；鹈形目1种；隼形目1种；鹃形目2种、鸡形目2种及鹤形目1种。通过调查、问询和查阅已发表的期刊及相关文献资料，评价范围内不存在受保护野生动物。评价区鸟类调查情况统计情况见下表。</w:t>
      </w:r>
    </w:p>
    <w:p w14:paraId="5F3E7CCC">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bookmarkStart w:id="391" w:name="_Hlk107484448"/>
      <w:r>
        <w:rPr>
          <w:rFonts w:ascii="Times New Roman" w:hAnsi="Times New Roman" w:cs="Times New Roman"/>
          <w:b/>
          <w:color w:val="auto"/>
          <w:kern w:val="21"/>
          <w:highlight w:val="none"/>
        </w:rPr>
        <w:br w:type="page"/>
      </w:r>
      <w:r>
        <w:rPr>
          <w:rFonts w:hint="eastAsia" w:ascii="Times New Roman" w:hAnsi="Times New Roman" w:eastAsia="黑体" w:cs="Times New Roman"/>
          <w:snapToGrid w:val="0"/>
          <w:color w:val="auto"/>
          <w:kern w:val="0"/>
          <w:highlight w:val="none"/>
          <w:lang w:val="en-US" w:eastAsia="zh-CN"/>
        </w:rPr>
        <w:t>表4-2-3</w:t>
      </w:r>
      <w:r>
        <w:rPr>
          <w:rFonts w:hint="eastAsia" w:eastAsia="黑体" w:cs="Times New Roman"/>
          <w:snapToGrid w:val="0"/>
          <w:color w:val="auto"/>
          <w:kern w:val="0"/>
          <w:highlight w:val="none"/>
          <w:lang w:val="en-US" w:eastAsia="zh-CN"/>
        </w:rPr>
        <w:t>6</w:t>
      </w:r>
      <w:r>
        <w:rPr>
          <w:rFonts w:hint="eastAsia" w:ascii="Times New Roman" w:hAnsi="Times New Roman" w:eastAsia="黑体" w:cs="Times New Roman"/>
          <w:snapToGrid w:val="0"/>
          <w:color w:val="auto"/>
          <w:kern w:val="0"/>
          <w:highlight w:val="none"/>
          <w:lang w:val="en-US" w:eastAsia="zh-CN"/>
        </w:rPr>
        <w:t xml:space="preserve"> 评价区鸟类调查情况统计表</w:t>
      </w:r>
    </w:p>
    <w:bookmarkEnd w:id="391"/>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1012"/>
        <w:gridCol w:w="1343"/>
        <w:gridCol w:w="1386"/>
        <w:gridCol w:w="1369"/>
      </w:tblGrid>
      <w:tr w14:paraId="2598B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2422171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中文名（学名）</w:t>
            </w:r>
          </w:p>
        </w:tc>
        <w:tc>
          <w:tcPr>
            <w:tcW w:w="609" w:type="pct"/>
            <w:vAlign w:val="center"/>
          </w:tcPr>
          <w:p w14:paraId="417A246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生境</w:t>
            </w:r>
          </w:p>
        </w:tc>
        <w:tc>
          <w:tcPr>
            <w:tcW w:w="808" w:type="pct"/>
            <w:vAlign w:val="center"/>
          </w:tcPr>
          <w:p w14:paraId="19CB849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区系</w:t>
            </w:r>
          </w:p>
        </w:tc>
        <w:tc>
          <w:tcPr>
            <w:tcW w:w="834" w:type="pct"/>
            <w:vAlign w:val="center"/>
          </w:tcPr>
          <w:p w14:paraId="225094B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数量</w:t>
            </w:r>
          </w:p>
        </w:tc>
        <w:tc>
          <w:tcPr>
            <w:tcW w:w="824" w:type="pct"/>
            <w:vAlign w:val="center"/>
          </w:tcPr>
          <w:p w14:paraId="6DD6221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来源</w:t>
            </w:r>
          </w:p>
        </w:tc>
      </w:tr>
      <w:tr w14:paraId="25D95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000" w:type="pct"/>
            <w:gridSpan w:val="5"/>
            <w:vAlign w:val="center"/>
          </w:tcPr>
          <w:p w14:paraId="75D9E42A">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 xml:space="preserve">一、鹈形目 </w:t>
            </w:r>
            <w:r>
              <w:rPr>
                <w:rFonts w:ascii="Times New Roman" w:hAnsi="Times New Roman" w:cs="Times New Roman"/>
                <w:color w:val="auto"/>
                <w:kern w:val="21"/>
                <w:sz w:val="21"/>
                <w:szCs w:val="21"/>
                <w:highlight w:val="none"/>
                <w:lang w:val="en-US"/>
              </w:rPr>
              <w:t>PELECANIFOR</w:t>
            </w:r>
          </w:p>
        </w:tc>
      </w:tr>
      <w:tr w14:paraId="08B5A7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5BF6F633">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（一）、鸬鹚科 </w:t>
            </w:r>
            <w:r>
              <w:rPr>
                <w:rFonts w:ascii="Times New Roman" w:hAnsi="Times New Roman" w:cs="Times New Roman"/>
                <w:i/>
                <w:iCs/>
                <w:color w:val="auto"/>
                <w:kern w:val="21"/>
                <w:sz w:val="21"/>
                <w:szCs w:val="21"/>
                <w:highlight w:val="none"/>
              </w:rPr>
              <w:t>Phalacrocoraci</w:t>
            </w:r>
          </w:p>
        </w:tc>
      </w:tr>
      <w:tr w14:paraId="5718F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7D5AF850">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1、普通鸬鹚 </w:t>
            </w:r>
            <w:r>
              <w:rPr>
                <w:rFonts w:ascii="Times New Roman" w:hAnsi="Times New Roman" w:cs="Times New Roman"/>
                <w:i/>
                <w:iCs/>
                <w:color w:val="auto"/>
                <w:kern w:val="21"/>
                <w:sz w:val="21"/>
                <w:szCs w:val="21"/>
                <w:highlight w:val="none"/>
              </w:rPr>
              <w:t>Phalacrocorax carbo</w:t>
            </w:r>
          </w:p>
        </w:tc>
        <w:tc>
          <w:tcPr>
            <w:tcW w:w="609" w:type="pct"/>
            <w:vAlign w:val="center"/>
          </w:tcPr>
          <w:p w14:paraId="2900ACB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W.M</w:t>
            </w:r>
          </w:p>
        </w:tc>
        <w:tc>
          <w:tcPr>
            <w:tcW w:w="808" w:type="pct"/>
            <w:vAlign w:val="center"/>
          </w:tcPr>
          <w:p w14:paraId="13865112">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7DFBE820">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27BDFB7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553EA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5E3DBE1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二、雁形目</w:t>
            </w:r>
            <w:r>
              <w:rPr>
                <w:rFonts w:ascii="Times New Roman" w:hAnsi="Times New Roman" w:cs="Times New Roman"/>
                <w:color w:val="auto"/>
                <w:kern w:val="21"/>
                <w:sz w:val="21"/>
                <w:szCs w:val="21"/>
                <w:highlight w:val="none"/>
                <w:lang w:val="en-US"/>
              </w:rPr>
              <w:t xml:space="preserve"> ANSERIF</w:t>
            </w:r>
          </w:p>
        </w:tc>
      </w:tr>
      <w:tr w14:paraId="77A88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625232B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（二）鸭科 </w:t>
            </w:r>
            <w:r>
              <w:rPr>
                <w:rFonts w:ascii="Times New Roman" w:hAnsi="Times New Roman" w:cs="Times New Roman"/>
                <w:i/>
                <w:iCs/>
                <w:color w:val="auto"/>
                <w:kern w:val="21"/>
                <w:sz w:val="21"/>
                <w:szCs w:val="21"/>
                <w:highlight w:val="none"/>
              </w:rPr>
              <w:t>Anat</w:t>
            </w:r>
          </w:p>
        </w:tc>
      </w:tr>
      <w:tr w14:paraId="6F0E5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6AEAC2D7">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2</w:t>
            </w:r>
            <w:r>
              <w:rPr>
                <w:rFonts w:ascii="Times New Roman" w:hAnsi="Times New Roman" w:cs="Times New Roman"/>
                <w:color w:val="auto"/>
                <w:kern w:val="21"/>
                <w:sz w:val="21"/>
                <w:szCs w:val="21"/>
                <w:highlight w:val="none"/>
              </w:rPr>
              <w:t xml:space="preserve">、绿头鸭 </w:t>
            </w:r>
            <w:r>
              <w:rPr>
                <w:rFonts w:ascii="Times New Roman" w:hAnsi="Times New Roman" w:cs="Times New Roman"/>
                <w:i/>
                <w:iCs/>
                <w:color w:val="auto"/>
                <w:kern w:val="21"/>
                <w:sz w:val="21"/>
                <w:szCs w:val="21"/>
                <w:highlight w:val="none"/>
              </w:rPr>
              <w:t>A</w:t>
            </w:r>
            <w:r>
              <w:rPr>
                <w:rFonts w:ascii="Times New Roman" w:hAnsi="Times New Roman" w:cs="Times New Roman"/>
                <w:i/>
                <w:iCs/>
                <w:color w:val="auto"/>
                <w:kern w:val="21"/>
                <w:sz w:val="21"/>
                <w:szCs w:val="21"/>
                <w:highlight w:val="none"/>
                <w:lang w:val="en-US"/>
              </w:rPr>
              <w:t>.</w:t>
            </w:r>
            <w:r>
              <w:rPr>
                <w:rFonts w:ascii="Times New Roman" w:hAnsi="Times New Roman" w:cs="Times New Roman"/>
                <w:i/>
                <w:iCs/>
                <w:color w:val="auto"/>
                <w:kern w:val="21"/>
                <w:sz w:val="21"/>
                <w:szCs w:val="21"/>
                <w:highlight w:val="none"/>
              </w:rPr>
              <w:t>Platyrhy</w:t>
            </w:r>
          </w:p>
        </w:tc>
        <w:tc>
          <w:tcPr>
            <w:tcW w:w="609" w:type="pct"/>
            <w:vAlign w:val="center"/>
          </w:tcPr>
          <w:p w14:paraId="698D0C4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W.M</w:t>
            </w:r>
          </w:p>
        </w:tc>
        <w:tc>
          <w:tcPr>
            <w:tcW w:w="808" w:type="pct"/>
            <w:vAlign w:val="center"/>
          </w:tcPr>
          <w:p w14:paraId="0073628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52A468AA">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7662BA1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38CAA6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23198EF4">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3</w:t>
            </w:r>
            <w:r>
              <w:rPr>
                <w:rFonts w:ascii="Times New Roman" w:hAnsi="Times New Roman" w:cs="Times New Roman"/>
                <w:color w:val="auto"/>
                <w:kern w:val="21"/>
                <w:sz w:val="21"/>
                <w:szCs w:val="21"/>
                <w:highlight w:val="none"/>
              </w:rPr>
              <w:t xml:space="preserve">、绿翅鸭 </w:t>
            </w:r>
            <w:r>
              <w:rPr>
                <w:rFonts w:ascii="Times New Roman" w:hAnsi="Times New Roman" w:cs="Times New Roman"/>
                <w:i/>
                <w:iCs/>
                <w:color w:val="auto"/>
                <w:kern w:val="21"/>
                <w:sz w:val="21"/>
                <w:szCs w:val="21"/>
                <w:highlight w:val="none"/>
              </w:rPr>
              <w:t>A</w:t>
            </w:r>
            <w:r>
              <w:rPr>
                <w:rFonts w:ascii="Times New Roman" w:hAnsi="Times New Roman" w:cs="Times New Roman"/>
                <w:i/>
                <w:iCs/>
                <w:color w:val="auto"/>
                <w:kern w:val="21"/>
                <w:sz w:val="21"/>
                <w:szCs w:val="21"/>
                <w:highlight w:val="none"/>
                <w:lang w:val="en-US"/>
              </w:rPr>
              <w:t>.</w:t>
            </w:r>
            <w:r>
              <w:rPr>
                <w:rFonts w:ascii="Times New Roman" w:hAnsi="Times New Roman" w:cs="Times New Roman"/>
                <w:i/>
                <w:iCs/>
                <w:color w:val="auto"/>
                <w:kern w:val="21"/>
                <w:sz w:val="21"/>
                <w:szCs w:val="21"/>
                <w:highlight w:val="none"/>
              </w:rPr>
              <w:t>crecca</w:t>
            </w:r>
          </w:p>
        </w:tc>
        <w:tc>
          <w:tcPr>
            <w:tcW w:w="609" w:type="pct"/>
            <w:vAlign w:val="center"/>
          </w:tcPr>
          <w:p w14:paraId="2FAAFAA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w:t>
            </w:r>
          </w:p>
        </w:tc>
        <w:tc>
          <w:tcPr>
            <w:tcW w:w="808" w:type="pct"/>
            <w:vAlign w:val="center"/>
          </w:tcPr>
          <w:p w14:paraId="297E27C3">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5F2D5CB3">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52D42DC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15E8E5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52AFD492">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4</w:t>
            </w:r>
            <w:r>
              <w:rPr>
                <w:rFonts w:ascii="Times New Roman" w:hAnsi="Times New Roman" w:cs="Times New Roman"/>
                <w:color w:val="auto"/>
                <w:kern w:val="21"/>
                <w:sz w:val="21"/>
                <w:szCs w:val="21"/>
                <w:highlight w:val="none"/>
              </w:rPr>
              <w:t xml:space="preserve">、针尾鸭 </w:t>
            </w:r>
            <w:r>
              <w:rPr>
                <w:rFonts w:ascii="Times New Roman" w:hAnsi="Times New Roman" w:cs="Times New Roman"/>
                <w:i/>
                <w:iCs/>
                <w:color w:val="auto"/>
                <w:kern w:val="21"/>
                <w:sz w:val="21"/>
                <w:szCs w:val="21"/>
                <w:highlight w:val="none"/>
              </w:rPr>
              <w:t>Anas a</w:t>
            </w:r>
          </w:p>
        </w:tc>
        <w:tc>
          <w:tcPr>
            <w:tcW w:w="609" w:type="pct"/>
            <w:vAlign w:val="center"/>
          </w:tcPr>
          <w:p w14:paraId="1327E4C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w:t>
            </w:r>
          </w:p>
        </w:tc>
        <w:tc>
          <w:tcPr>
            <w:tcW w:w="808" w:type="pct"/>
            <w:vAlign w:val="center"/>
          </w:tcPr>
          <w:p w14:paraId="395B6A5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40EA5F6A">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6044A9A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w:t>
            </w:r>
          </w:p>
        </w:tc>
      </w:tr>
      <w:tr w14:paraId="63524F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2EC5CDDF">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四、鸡形目</w:t>
            </w:r>
            <w:r>
              <w:rPr>
                <w:rFonts w:ascii="Times New Roman" w:hAnsi="Times New Roman" w:cs="Times New Roman"/>
                <w:i/>
                <w:iCs/>
                <w:color w:val="auto"/>
                <w:kern w:val="21"/>
                <w:sz w:val="21"/>
                <w:szCs w:val="21"/>
                <w:highlight w:val="none"/>
              </w:rPr>
              <w:t xml:space="preserve"> </w:t>
            </w:r>
            <w:r>
              <w:rPr>
                <w:rFonts w:ascii="Times New Roman" w:hAnsi="Times New Roman" w:cs="Times New Roman"/>
                <w:color w:val="auto"/>
                <w:kern w:val="21"/>
                <w:sz w:val="21"/>
                <w:szCs w:val="21"/>
                <w:highlight w:val="none"/>
              </w:rPr>
              <w:t>GALLIFORMES</w:t>
            </w:r>
          </w:p>
        </w:tc>
      </w:tr>
      <w:tr w14:paraId="08750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27CE82C6">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四</w:t>
            </w: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雉科</w:t>
            </w:r>
            <w:r>
              <w:rPr>
                <w:rFonts w:ascii="Times New Roman" w:hAnsi="Times New Roman" w:cs="Times New Roman"/>
                <w:color w:val="auto"/>
                <w:kern w:val="21"/>
                <w:sz w:val="21"/>
                <w:szCs w:val="21"/>
                <w:highlight w:val="none"/>
                <w:lang w:val="en-US"/>
              </w:rPr>
              <w:t xml:space="preserve"> </w:t>
            </w:r>
            <w:r>
              <w:rPr>
                <w:rFonts w:ascii="Times New Roman" w:hAnsi="Times New Roman" w:cs="Times New Roman"/>
                <w:i/>
                <w:iCs/>
                <w:color w:val="auto"/>
                <w:kern w:val="21"/>
                <w:sz w:val="21"/>
                <w:szCs w:val="21"/>
                <w:highlight w:val="none"/>
                <w:lang w:val="en-US"/>
              </w:rPr>
              <w:t>Phasianida</w:t>
            </w:r>
          </w:p>
        </w:tc>
      </w:tr>
      <w:tr w14:paraId="69781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3633F7F9">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6</w:t>
            </w:r>
            <w:r>
              <w:rPr>
                <w:rFonts w:ascii="Times New Roman" w:hAnsi="Times New Roman" w:cs="Times New Roman"/>
                <w:color w:val="auto"/>
                <w:kern w:val="21"/>
                <w:sz w:val="21"/>
                <w:szCs w:val="21"/>
                <w:highlight w:val="none"/>
              </w:rPr>
              <w:t xml:space="preserve">、鹌鹑 </w:t>
            </w:r>
            <w:r>
              <w:rPr>
                <w:rFonts w:ascii="Times New Roman" w:hAnsi="Times New Roman" w:cs="Times New Roman"/>
                <w:i/>
                <w:iCs/>
                <w:color w:val="auto"/>
                <w:kern w:val="21"/>
                <w:sz w:val="21"/>
                <w:szCs w:val="21"/>
                <w:highlight w:val="none"/>
              </w:rPr>
              <w:t>Coturnix coturnix japonica</w:t>
            </w:r>
          </w:p>
        </w:tc>
        <w:tc>
          <w:tcPr>
            <w:tcW w:w="609" w:type="pct"/>
            <w:vAlign w:val="center"/>
          </w:tcPr>
          <w:p w14:paraId="0C74032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G.F</w:t>
            </w:r>
          </w:p>
        </w:tc>
        <w:tc>
          <w:tcPr>
            <w:tcW w:w="808" w:type="pct"/>
            <w:vAlign w:val="center"/>
          </w:tcPr>
          <w:p w14:paraId="335EB5C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4254350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56B85FB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目击（11）</w:t>
            </w:r>
          </w:p>
        </w:tc>
      </w:tr>
      <w:tr w14:paraId="1108B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7D25DCF3">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7</w:t>
            </w:r>
            <w:r>
              <w:rPr>
                <w:rFonts w:ascii="Times New Roman" w:hAnsi="Times New Roman" w:cs="Times New Roman"/>
                <w:color w:val="auto"/>
                <w:kern w:val="21"/>
                <w:sz w:val="21"/>
                <w:szCs w:val="21"/>
                <w:highlight w:val="none"/>
              </w:rPr>
              <w:t xml:space="preserve">、雉鸡 </w:t>
            </w:r>
            <w:r>
              <w:rPr>
                <w:rFonts w:ascii="Times New Roman" w:hAnsi="Times New Roman" w:cs="Times New Roman"/>
                <w:i/>
                <w:iCs/>
                <w:color w:val="auto"/>
                <w:kern w:val="21"/>
                <w:sz w:val="21"/>
                <w:szCs w:val="21"/>
                <w:highlight w:val="none"/>
              </w:rPr>
              <w:t>Phasianus colchicus pallasi</w:t>
            </w:r>
          </w:p>
        </w:tc>
        <w:tc>
          <w:tcPr>
            <w:tcW w:w="609" w:type="pct"/>
            <w:vAlign w:val="center"/>
          </w:tcPr>
          <w:p w14:paraId="42A7C3D4">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G.F</w:t>
            </w:r>
          </w:p>
        </w:tc>
        <w:tc>
          <w:tcPr>
            <w:tcW w:w="808" w:type="pct"/>
            <w:vAlign w:val="center"/>
          </w:tcPr>
          <w:p w14:paraId="47DF8BC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738C139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37D48D0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794AD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518D7537">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五、鹤形目 GRUIFORME</w:t>
            </w:r>
          </w:p>
        </w:tc>
      </w:tr>
      <w:tr w14:paraId="03E6E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57F0597B">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（五）、秧鸡科 </w:t>
            </w:r>
            <w:r>
              <w:rPr>
                <w:rFonts w:ascii="Times New Roman" w:hAnsi="Times New Roman" w:cs="Times New Roman"/>
                <w:i/>
                <w:iCs/>
                <w:color w:val="auto"/>
                <w:kern w:val="21"/>
                <w:sz w:val="21"/>
                <w:szCs w:val="21"/>
                <w:highlight w:val="none"/>
              </w:rPr>
              <w:t>Rallidae</w:t>
            </w:r>
          </w:p>
        </w:tc>
      </w:tr>
      <w:tr w14:paraId="77111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7A8B99C1">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8</w:t>
            </w:r>
            <w:r>
              <w:rPr>
                <w:rFonts w:ascii="Times New Roman" w:hAnsi="Times New Roman" w:cs="Times New Roman"/>
                <w:color w:val="auto"/>
                <w:kern w:val="21"/>
                <w:sz w:val="21"/>
                <w:szCs w:val="21"/>
                <w:highlight w:val="none"/>
              </w:rPr>
              <w:t xml:space="preserve">、小田鸡 </w:t>
            </w:r>
            <w:r>
              <w:rPr>
                <w:rFonts w:ascii="Times New Roman" w:hAnsi="Times New Roman" w:cs="Times New Roman"/>
                <w:i/>
                <w:iCs/>
                <w:color w:val="auto"/>
                <w:kern w:val="21"/>
                <w:sz w:val="21"/>
                <w:szCs w:val="21"/>
                <w:highlight w:val="none"/>
              </w:rPr>
              <w:t>Porzana pusilla</w:t>
            </w:r>
          </w:p>
        </w:tc>
        <w:tc>
          <w:tcPr>
            <w:tcW w:w="609" w:type="pct"/>
            <w:vAlign w:val="center"/>
          </w:tcPr>
          <w:p w14:paraId="0FB9A49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W.M</w:t>
            </w:r>
          </w:p>
        </w:tc>
        <w:tc>
          <w:tcPr>
            <w:tcW w:w="808" w:type="pct"/>
            <w:vAlign w:val="center"/>
          </w:tcPr>
          <w:p w14:paraId="44B5ED23">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694FC34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5CC37C8A">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69E2F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3EF49EDC">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六、鹃形目 CUCULIFORME</w:t>
            </w:r>
          </w:p>
        </w:tc>
      </w:tr>
      <w:tr w14:paraId="5406E7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542EE392">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（六）、杜鹃科 </w:t>
            </w:r>
            <w:r>
              <w:rPr>
                <w:rFonts w:ascii="Times New Roman" w:hAnsi="Times New Roman" w:cs="Times New Roman"/>
                <w:i/>
                <w:iCs/>
                <w:color w:val="auto"/>
                <w:kern w:val="21"/>
                <w:sz w:val="21"/>
                <w:szCs w:val="21"/>
                <w:highlight w:val="none"/>
              </w:rPr>
              <w:t>Cuculidae</w:t>
            </w:r>
          </w:p>
        </w:tc>
      </w:tr>
      <w:tr w14:paraId="4E473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5BA6F8F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9</w:t>
            </w:r>
            <w:r>
              <w:rPr>
                <w:rFonts w:ascii="Times New Roman" w:hAnsi="Times New Roman" w:cs="Times New Roman"/>
                <w:color w:val="auto"/>
                <w:kern w:val="21"/>
                <w:sz w:val="21"/>
                <w:szCs w:val="21"/>
                <w:highlight w:val="none"/>
              </w:rPr>
              <w:t xml:space="preserve">、大杜鹃 </w:t>
            </w:r>
            <w:r>
              <w:rPr>
                <w:rFonts w:ascii="Times New Roman" w:hAnsi="Times New Roman" w:cs="Times New Roman"/>
                <w:i/>
                <w:iCs/>
                <w:color w:val="auto"/>
                <w:kern w:val="21"/>
                <w:sz w:val="21"/>
                <w:szCs w:val="21"/>
                <w:highlight w:val="none"/>
              </w:rPr>
              <w:t>C．canorus canorus</w:t>
            </w:r>
          </w:p>
        </w:tc>
        <w:tc>
          <w:tcPr>
            <w:tcW w:w="609" w:type="pct"/>
            <w:vAlign w:val="center"/>
          </w:tcPr>
          <w:p w14:paraId="703E972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6353B064">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2EB7993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6D4988D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目击（7）</w:t>
            </w:r>
          </w:p>
        </w:tc>
      </w:tr>
      <w:tr w14:paraId="7C1FA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1A7580C0">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10</w:t>
            </w:r>
            <w:r>
              <w:rPr>
                <w:rFonts w:ascii="Times New Roman" w:hAnsi="Times New Roman" w:cs="Times New Roman"/>
                <w:color w:val="auto"/>
                <w:kern w:val="21"/>
                <w:sz w:val="21"/>
                <w:szCs w:val="21"/>
                <w:highlight w:val="none"/>
              </w:rPr>
              <w:t xml:space="preserve">、中杜鹃 </w:t>
            </w:r>
            <w:r>
              <w:rPr>
                <w:rFonts w:ascii="Times New Roman" w:hAnsi="Times New Roman" w:cs="Times New Roman"/>
                <w:i/>
                <w:iCs/>
                <w:color w:val="auto"/>
                <w:kern w:val="21"/>
                <w:sz w:val="21"/>
                <w:szCs w:val="21"/>
                <w:highlight w:val="none"/>
              </w:rPr>
              <w:t>Cuculus saturatus</w:t>
            </w:r>
          </w:p>
        </w:tc>
        <w:tc>
          <w:tcPr>
            <w:tcW w:w="609" w:type="pct"/>
            <w:vAlign w:val="center"/>
          </w:tcPr>
          <w:p w14:paraId="7B868E4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0979DAC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4AF6DA7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09D6AF6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16D27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3766829D">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rPr>
              <w:t>七、鴷形目</w:t>
            </w:r>
            <w:r>
              <w:rPr>
                <w:rFonts w:ascii="Times New Roman" w:hAnsi="Times New Roman" w:cs="Times New Roman"/>
                <w:color w:val="auto"/>
                <w:kern w:val="21"/>
                <w:sz w:val="21"/>
                <w:szCs w:val="21"/>
                <w:highlight w:val="none"/>
                <w:lang w:val="en-US"/>
              </w:rPr>
              <w:t xml:space="preserve"> PICIFORMES</w:t>
            </w:r>
          </w:p>
        </w:tc>
      </w:tr>
      <w:tr w14:paraId="3DB39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0CE56BAD">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（七）、啄木鸟科 </w:t>
            </w:r>
            <w:r>
              <w:rPr>
                <w:rFonts w:ascii="Times New Roman" w:hAnsi="Times New Roman" w:cs="Times New Roman"/>
                <w:i/>
                <w:iCs/>
                <w:color w:val="auto"/>
                <w:kern w:val="21"/>
                <w:sz w:val="21"/>
                <w:szCs w:val="21"/>
                <w:highlight w:val="none"/>
              </w:rPr>
              <w:t>Picidae</w:t>
            </w:r>
          </w:p>
        </w:tc>
      </w:tr>
      <w:tr w14:paraId="37F7F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4A88285D">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11</w:t>
            </w:r>
            <w:r>
              <w:rPr>
                <w:rFonts w:ascii="Times New Roman" w:hAnsi="Times New Roman" w:cs="Times New Roman"/>
                <w:color w:val="auto"/>
                <w:kern w:val="21"/>
                <w:sz w:val="21"/>
                <w:szCs w:val="21"/>
                <w:highlight w:val="none"/>
              </w:rPr>
              <w:t xml:space="preserve">、大斑啄木鸟 </w:t>
            </w:r>
            <w:r>
              <w:rPr>
                <w:rFonts w:ascii="Times New Roman" w:hAnsi="Times New Roman" w:cs="Times New Roman"/>
                <w:i/>
                <w:iCs/>
                <w:color w:val="auto"/>
                <w:kern w:val="21"/>
                <w:sz w:val="21"/>
                <w:szCs w:val="21"/>
                <w:highlight w:val="none"/>
              </w:rPr>
              <w:t>Dendrocopos major brevirostris</w:t>
            </w:r>
          </w:p>
        </w:tc>
        <w:tc>
          <w:tcPr>
            <w:tcW w:w="609" w:type="pct"/>
            <w:vAlign w:val="center"/>
          </w:tcPr>
          <w:p w14:paraId="165DDCF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2A0D23F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34A8CDE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17DE503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目击（11）</w:t>
            </w:r>
          </w:p>
        </w:tc>
      </w:tr>
      <w:tr w14:paraId="0F68C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3507B5EB">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八</w:t>
            </w: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、燕科</w:t>
            </w:r>
            <w:r>
              <w:rPr>
                <w:rFonts w:ascii="Times New Roman" w:hAnsi="Times New Roman" w:cs="Times New Roman"/>
                <w:color w:val="auto"/>
                <w:kern w:val="21"/>
                <w:sz w:val="21"/>
                <w:szCs w:val="21"/>
                <w:highlight w:val="none"/>
                <w:lang w:val="en-US"/>
              </w:rPr>
              <w:t xml:space="preserve"> </w:t>
            </w:r>
            <w:r>
              <w:rPr>
                <w:rFonts w:ascii="Times New Roman" w:hAnsi="Times New Roman" w:cs="Times New Roman"/>
                <w:i/>
                <w:iCs/>
                <w:color w:val="auto"/>
                <w:kern w:val="21"/>
                <w:sz w:val="21"/>
                <w:szCs w:val="21"/>
                <w:highlight w:val="none"/>
                <w:lang w:val="en-US"/>
              </w:rPr>
              <w:t>Hirundinida</w:t>
            </w:r>
          </w:p>
        </w:tc>
      </w:tr>
      <w:tr w14:paraId="786A9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1D520E8C">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12</w:t>
            </w:r>
            <w:r>
              <w:rPr>
                <w:rFonts w:ascii="Times New Roman" w:hAnsi="Times New Roman" w:cs="Times New Roman"/>
                <w:color w:val="auto"/>
                <w:kern w:val="21"/>
                <w:sz w:val="21"/>
                <w:szCs w:val="21"/>
                <w:highlight w:val="none"/>
              </w:rPr>
              <w:t>、家燕</w:t>
            </w:r>
          </w:p>
          <w:p w14:paraId="000EE0A9">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i/>
                <w:iCs/>
                <w:color w:val="auto"/>
                <w:kern w:val="21"/>
                <w:sz w:val="21"/>
                <w:szCs w:val="21"/>
                <w:highlight w:val="none"/>
                <w:lang w:val="en-US"/>
              </w:rPr>
              <w:t>Hirundo rustica mandschurica</w:t>
            </w:r>
          </w:p>
        </w:tc>
        <w:tc>
          <w:tcPr>
            <w:tcW w:w="609" w:type="pct"/>
            <w:vAlign w:val="center"/>
          </w:tcPr>
          <w:p w14:paraId="21E09DB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w:t>
            </w:r>
          </w:p>
        </w:tc>
        <w:tc>
          <w:tcPr>
            <w:tcW w:w="808" w:type="pct"/>
            <w:vAlign w:val="center"/>
          </w:tcPr>
          <w:p w14:paraId="7811EAE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1EE5AF5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2C2855F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目击（7,11）</w:t>
            </w:r>
          </w:p>
        </w:tc>
      </w:tr>
      <w:tr w14:paraId="7449B1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3F87628A">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（九）、山椒鸟科 </w:t>
            </w:r>
            <w:r>
              <w:rPr>
                <w:rFonts w:ascii="Times New Roman" w:hAnsi="Times New Roman" w:cs="Times New Roman"/>
                <w:i/>
                <w:iCs/>
                <w:color w:val="auto"/>
                <w:kern w:val="21"/>
                <w:sz w:val="21"/>
                <w:szCs w:val="21"/>
                <w:highlight w:val="none"/>
              </w:rPr>
              <w:t>Campephgidae</w:t>
            </w:r>
          </w:p>
        </w:tc>
      </w:tr>
      <w:tr w14:paraId="2BD25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925" w:type="pct"/>
            <w:vAlign w:val="center"/>
          </w:tcPr>
          <w:p w14:paraId="6E144D3E">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13</w:t>
            </w:r>
            <w:r>
              <w:rPr>
                <w:rFonts w:ascii="Times New Roman" w:hAnsi="Times New Roman" w:cs="Times New Roman"/>
                <w:color w:val="auto"/>
                <w:kern w:val="21"/>
                <w:sz w:val="21"/>
                <w:szCs w:val="21"/>
                <w:highlight w:val="none"/>
              </w:rPr>
              <w:t>、灰山椒鸟</w:t>
            </w:r>
          </w:p>
          <w:p w14:paraId="430791B6">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i/>
                <w:iCs/>
                <w:color w:val="auto"/>
                <w:kern w:val="21"/>
                <w:sz w:val="21"/>
                <w:szCs w:val="21"/>
                <w:highlight w:val="none"/>
              </w:rPr>
              <w:t>Pericrocotus divaricatus</w:t>
            </w:r>
          </w:p>
        </w:tc>
        <w:tc>
          <w:tcPr>
            <w:tcW w:w="609" w:type="pct"/>
            <w:vAlign w:val="center"/>
          </w:tcPr>
          <w:p w14:paraId="1DA0D48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71F0E3C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45E0864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0A470CA0">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3618F9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3E0EDEBA">
            <w:pPr>
              <w:widowControl/>
              <w:autoSpaceDE/>
              <w:autoSpaceDN/>
              <w:adjustRightInd w:val="0"/>
              <w:snapToGrid w:val="0"/>
              <w:ind w:left="0" w:leftChars="0" w:firstLine="0" w:firstLineChars="0"/>
              <w:jc w:val="both"/>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 xml:space="preserve">（十）、鸦科 </w:t>
            </w:r>
            <w:r>
              <w:rPr>
                <w:rFonts w:ascii="Times New Roman" w:hAnsi="Times New Roman" w:cs="Times New Roman"/>
                <w:i/>
                <w:iCs/>
                <w:color w:val="auto"/>
                <w:kern w:val="21"/>
                <w:sz w:val="21"/>
                <w:szCs w:val="21"/>
                <w:highlight w:val="none"/>
              </w:rPr>
              <w:t>Corvidae</w:t>
            </w:r>
          </w:p>
        </w:tc>
      </w:tr>
      <w:tr w14:paraId="05692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59FDF2E1">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14</w:t>
            </w:r>
            <w:r>
              <w:rPr>
                <w:rFonts w:ascii="Times New Roman" w:hAnsi="Times New Roman" w:cs="Times New Roman"/>
                <w:color w:val="auto"/>
                <w:kern w:val="21"/>
                <w:sz w:val="21"/>
                <w:szCs w:val="21"/>
                <w:highlight w:val="none"/>
              </w:rPr>
              <w:t xml:space="preserve">、松鸦 </w:t>
            </w:r>
            <w:r>
              <w:rPr>
                <w:rFonts w:ascii="Times New Roman" w:hAnsi="Times New Roman" w:cs="Times New Roman"/>
                <w:i/>
                <w:iCs/>
                <w:color w:val="auto"/>
                <w:kern w:val="21"/>
                <w:sz w:val="21"/>
                <w:szCs w:val="21"/>
                <w:highlight w:val="none"/>
              </w:rPr>
              <w:t>Garulusglandariusbrandtii</w:t>
            </w:r>
          </w:p>
        </w:tc>
        <w:tc>
          <w:tcPr>
            <w:tcW w:w="609" w:type="pct"/>
            <w:vAlign w:val="center"/>
          </w:tcPr>
          <w:p w14:paraId="69F3384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2932BD6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0C9DB81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0EB62F8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目击（7）</w:t>
            </w:r>
          </w:p>
        </w:tc>
      </w:tr>
      <w:tr w14:paraId="0B59B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5F142A73">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15</w:t>
            </w:r>
            <w:r>
              <w:rPr>
                <w:rFonts w:ascii="Times New Roman" w:hAnsi="Times New Roman" w:cs="Times New Roman"/>
                <w:color w:val="auto"/>
                <w:kern w:val="21"/>
                <w:sz w:val="21"/>
                <w:szCs w:val="21"/>
                <w:highlight w:val="none"/>
              </w:rPr>
              <w:t xml:space="preserve">、喜鹊 </w:t>
            </w:r>
            <w:r>
              <w:rPr>
                <w:rFonts w:ascii="Times New Roman" w:hAnsi="Times New Roman" w:cs="Times New Roman"/>
                <w:i/>
                <w:iCs/>
                <w:color w:val="auto"/>
                <w:kern w:val="21"/>
                <w:sz w:val="21"/>
                <w:szCs w:val="21"/>
                <w:highlight w:val="none"/>
              </w:rPr>
              <w:t>Pica</w:t>
            </w:r>
            <w:r>
              <w:rPr>
                <w:rFonts w:ascii="Times New Roman" w:hAnsi="Times New Roman" w:cs="Times New Roman"/>
                <w:color w:val="auto"/>
                <w:kern w:val="21"/>
                <w:sz w:val="21"/>
                <w:szCs w:val="21"/>
                <w:highlight w:val="none"/>
              </w:rPr>
              <w:t xml:space="preserve"> </w:t>
            </w:r>
            <w:r>
              <w:rPr>
                <w:rFonts w:ascii="Times New Roman" w:hAnsi="Times New Roman" w:cs="Times New Roman"/>
                <w:i/>
                <w:iCs/>
                <w:color w:val="auto"/>
                <w:kern w:val="21"/>
                <w:sz w:val="21"/>
                <w:szCs w:val="21"/>
                <w:highlight w:val="none"/>
              </w:rPr>
              <w:t>pica</w:t>
            </w:r>
            <w:r>
              <w:rPr>
                <w:rFonts w:ascii="Times New Roman" w:hAnsi="Times New Roman" w:cs="Times New Roman"/>
                <w:color w:val="auto"/>
                <w:kern w:val="21"/>
                <w:sz w:val="21"/>
                <w:szCs w:val="21"/>
                <w:highlight w:val="none"/>
              </w:rPr>
              <w:t xml:space="preserve"> </w:t>
            </w:r>
            <w:r>
              <w:rPr>
                <w:rFonts w:ascii="Times New Roman" w:hAnsi="Times New Roman" w:cs="Times New Roman"/>
                <w:i/>
                <w:iCs/>
                <w:color w:val="auto"/>
                <w:kern w:val="21"/>
                <w:sz w:val="21"/>
                <w:szCs w:val="21"/>
                <w:highlight w:val="none"/>
              </w:rPr>
              <w:t>sericea</w:t>
            </w:r>
          </w:p>
        </w:tc>
        <w:tc>
          <w:tcPr>
            <w:tcW w:w="609" w:type="pct"/>
            <w:vAlign w:val="center"/>
          </w:tcPr>
          <w:p w14:paraId="7C3C9A4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G.F</w:t>
            </w:r>
          </w:p>
        </w:tc>
        <w:tc>
          <w:tcPr>
            <w:tcW w:w="808" w:type="pct"/>
            <w:vAlign w:val="center"/>
          </w:tcPr>
          <w:p w14:paraId="5DF4E54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73C2AA5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324DB994">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目击（7）</w:t>
            </w:r>
          </w:p>
        </w:tc>
      </w:tr>
      <w:tr w14:paraId="1CE88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43DB304F">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16</w:t>
            </w:r>
            <w:r>
              <w:rPr>
                <w:rFonts w:ascii="Times New Roman" w:hAnsi="Times New Roman" w:cs="Times New Roman"/>
                <w:color w:val="auto"/>
                <w:kern w:val="21"/>
                <w:sz w:val="21"/>
                <w:szCs w:val="21"/>
                <w:highlight w:val="none"/>
              </w:rPr>
              <w:t xml:space="preserve">、小嘴乌鸦 </w:t>
            </w:r>
            <w:r>
              <w:rPr>
                <w:rFonts w:ascii="Times New Roman" w:hAnsi="Times New Roman" w:cs="Times New Roman"/>
                <w:i/>
                <w:iCs/>
                <w:color w:val="auto"/>
                <w:kern w:val="21"/>
                <w:sz w:val="21"/>
                <w:szCs w:val="21"/>
                <w:highlight w:val="none"/>
              </w:rPr>
              <w:t>C</w:t>
            </w:r>
            <w:r>
              <w:rPr>
                <w:rFonts w:ascii="Times New Roman" w:hAnsi="Times New Roman" w:cs="Times New Roman"/>
                <w:i/>
                <w:iCs/>
                <w:color w:val="auto"/>
                <w:kern w:val="21"/>
                <w:sz w:val="21"/>
                <w:szCs w:val="21"/>
                <w:highlight w:val="none"/>
                <w:lang w:val="en-US"/>
              </w:rPr>
              <w:t>.</w:t>
            </w:r>
            <w:r>
              <w:rPr>
                <w:rFonts w:ascii="Times New Roman" w:hAnsi="Times New Roman" w:cs="Times New Roman"/>
                <w:i/>
                <w:iCs/>
                <w:color w:val="auto"/>
                <w:kern w:val="21"/>
                <w:sz w:val="21"/>
                <w:szCs w:val="21"/>
                <w:highlight w:val="none"/>
              </w:rPr>
              <w:t>coroneorientalis</w:t>
            </w:r>
          </w:p>
        </w:tc>
        <w:tc>
          <w:tcPr>
            <w:tcW w:w="609" w:type="pct"/>
            <w:vAlign w:val="center"/>
          </w:tcPr>
          <w:p w14:paraId="678B906F">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F</w:t>
            </w:r>
          </w:p>
        </w:tc>
        <w:tc>
          <w:tcPr>
            <w:tcW w:w="808" w:type="pct"/>
            <w:vAlign w:val="center"/>
          </w:tcPr>
          <w:p w14:paraId="56FAEDE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古北种</w:t>
            </w:r>
          </w:p>
        </w:tc>
        <w:tc>
          <w:tcPr>
            <w:tcW w:w="834" w:type="pct"/>
            <w:vAlign w:val="center"/>
          </w:tcPr>
          <w:p w14:paraId="1B9328B3">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1808802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目击（7）</w:t>
            </w:r>
          </w:p>
        </w:tc>
      </w:tr>
      <w:tr w14:paraId="12FEB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283ECD6A">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（十</w:t>
            </w:r>
            <w:r>
              <w:rPr>
                <w:rFonts w:ascii="Times New Roman" w:hAnsi="Times New Roman" w:cs="Times New Roman"/>
                <w:color w:val="auto"/>
                <w:kern w:val="21"/>
                <w:sz w:val="21"/>
                <w:szCs w:val="21"/>
                <w:highlight w:val="none"/>
                <w:lang w:val="en-US"/>
              </w:rPr>
              <w:t>一</w:t>
            </w:r>
            <w:r>
              <w:rPr>
                <w:rFonts w:ascii="Times New Roman" w:hAnsi="Times New Roman" w:cs="Times New Roman"/>
                <w:color w:val="auto"/>
                <w:kern w:val="21"/>
                <w:sz w:val="21"/>
                <w:szCs w:val="21"/>
                <w:highlight w:val="none"/>
              </w:rPr>
              <w:t xml:space="preserve">）、文鸟科 </w:t>
            </w:r>
            <w:r>
              <w:rPr>
                <w:rFonts w:ascii="Times New Roman" w:hAnsi="Times New Roman" w:cs="Times New Roman"/>
                <w:i/>
                <w:iCs/>
                <w:color w:val="auto"/>
                <w:kern w:val="21"/>
                <w:sz w:val="21"/>
                <w:szCs w:val="21"/>
                <w:highlight w:val="none"/>
              </w:rPr>
              <w:t>Ploceidae</w:t>
            </w:r>
          </w:p>
        </w:tc>
      </w:tr>
      <w:tr w14:paraId="3C87C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60CB79B9">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17</w:t>
            </w:r>
            <w:r>
              <w:rPr>
                <w:rFonts w:ascii="Times New Roman" w:hAnsi="Times New Roman" w:cs="Times New Roman"/>
                <w:color w:val="auto"/>
                <w:kern w:val="21"/>
                <w:sz w:val="21"/>
                <w:szCs w:val="21"/>
                <w:highlight w:val="none"/>
              </w:rPr>
              <w:t>、[树]麻雀</w:t>
            </w:r>
            <w:r>
              <w:rPr>
                <w:rFonts w:ascii="Times New Roman" w:hAnsi="Times New Roman" w:cs="Times New Roman"/>
                <w:i/>
                <w:iCs/>
                <w:color w:val="auto"/>
                <w:kern w:val="21"/>
                <w:sz w:val="21"/>
                <w:szCs w:val="21"/>
                <w:highlight w:val="none"/>
              </w:rPr>
              <w:t>Pasermontanusmontanus</w:t>
            </w:r>
          </w:p>
        </w:tc>
        <w:tc>
          <w:tcPr>
            <w:tcW w:w="609" w:type="pct"/>
            <w:vAlign w:val="center"/>
          </w:tcPr>
          <w:p w14:paraId="3C1F4934">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G.F</w:t>
            </w:r>
          </w:p>
        </w:tc>
        <w:tc>
          <w:tcPr>
            <w:tcW w:w="808" w:type="pct"/>
            <w:vAlign w:val="center"/>
          </w:tcPr>
          <w:p w14:paraId="3BA95B04">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51B750D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5DA1EB9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目击（7,11）</w:t>
            </w:r>
          </w:p>
        </w:tc>
      </w:tr>
      <w:tr w14:paraId="60A86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14:paraId="13C51E0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bidi="ar"/>
              </w:rPr>
            </w:pP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十</w:t>
            </w:r>
            <w:r>
              <w:rPr>
                <w:rFonts w:ascii="Times New Roman" w:hAnsi="Times New Roman" w:cs="Times New Roman"/>
                <w:color w:val="auto"/>
                <w:kern w:val="21"/>
                <w:sz w:val="21"/>
                <w:szCs w:val="21"/>
                <w:highlight w:val="none"/>
                <w:lang w:val="en-US"/>
              </w:rPr>
              <w:t>二）</w:t>
            </w:r>
            <w:r>
              <w:rPr>
                <w:rFonts w:ascii="Times New Roman" w:hAnsi="Times New Roman" w:cs="Times New Roman"/>
                <w:color w:val="auto"/>
                <w:kern w:val="21"/>
                <w:sz w:val="21"/>
                <w:szCs w:val="21"/>
                <w:highlight w:val="none"/>
              </w:rPr>
              <w:t>、雀科</w:t>
            </w:r>
            <w:r>
              <w:rPr>
                <w:rFonts w:ascii="Times New Roman" w:hAnsi="Times New Roman" w:cs="Times New Roman"/>
                <w:color w:val="auto"/>
                <w:kern w:val="21"/>
                <w:sz w:val="21"/>
                <w:szCs w:val="21"/>
                <w:highlight w:val="none"/>
                <w:lang w:val="en-US"/>
              </w:rPr>
              <w:t xml:space="preserve">  </w:t>
            </w:r>
            <w:r>
              <w:rPr>
                <w:rFonts w:ascii="Times New Roman" w:hAnsi="Times New Roman" w:cs="Times New Roman"/>
                <w:i/>
                <w:iCs/>
                <w:color w:val="auto"/>
                <w:kern w:val="21"/>
                <w:sz w:val="21"/>
                <w:szCs w:val="21"/>
                <w:highlight w:val="none"/>
                <w:lang w:val="en-US"/>
              </w:rPr>
              <w:t>Fringillidae</w:t>
            </w:r>
          </w:p>
        </w:tc>
      </w:tr>
      <w:tr w14:paraId="0E30D9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5" w:type="pct"/>
            <w:vAlign w:val="center"/>
          </w:tcPr>
          <w:p w14:paraId="2C59541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18</w:t>
            </w:r>
            <w:r>
              <w:rPr>
                <w:rFonts w:ascii="Times New Roman" w:hAnsi="Times New Roman" w:cs="Times New Roman"/>
                <w:color w:val="auto"/>
                <w:kern w:val="21"/>
                <w:sz w:val="21"/>
                <w:szCs w:val="21"/>
                <w:highlight w:val="none"/>
              </w:rPr>
              <w:t xml:space="preserve">、燕雀 </w:t>
            </w:r>
            <w:r>
              <w:rPr>
                <w:rFonts w:ascii="Times New Roman" w:hAnsi="Times New Roman" w:cs="Times New Roman"/>
                <w:i/>
                <w:iCs/>
                <w:color w:val="auto"/>
                <w:kern w:val="21"/>
                <w:sz w:val="21"/>
                <w:szCs w:val="21"/>
                <w:highlight w:val="none"/>
              </w:rPr>
              <w:t>Fringilla</w:t>
            </w:r>
            <w:r>
              <w:rPr>
                <w:rFonts w:ascii="Times New Roman" w:hAnsi="Times New Roman" w:cs="Times New Roman"/>
                <w:color w:val="auto"/>
                <w:kern w:val="21"/>
                <w:sz w:val="21"/>
                <w:szCs w:val="21"/>
                <w:highlight w:val="none"/>
                <w:shd w:val="clear" w:color="auto" w:fill="FFFFFF"/>
              </w:rPr>
              <w:t xml:space="preserve"> </w:t>
            </w:r>
            <w:r>
              <w:rPr>
                <w:rFonts w:ascii="Times New Roman" w:hAnsi="Times New Roman" w:cs="Times New Roman"/>
                <w:i/>
                <w:iCs/>
                <w:color w:val="auto"/>
                <w:kern w:val="21"/>
                <w:sz w:val="21"/>
                <w:szCs w:val="21"/>
                <w:highlight w:val="none"/>
              </w:rPr>
              <w:t>montifringilla</w:t>
            </w:r>
          </w:p>
        </w:tc>
        <w:tc>
          <w:tcPr>
            <w:tcW w:w="609" w:type="pct"/>
            <w:vAlign w:val="center"/>
          </w:tcPr>
          <w:p w14:paraId="562374A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G.F</w:t>
            </w:r>
          </w:p>
        </w:tc>
        <w:tc>
          <w:tcPr>
            <w:tcW w:w="808" w:type="pct"/>
            <w:vAlign w:val="center"/>
          </w:tcPr>
          <w:p w14:paraId="5AA8C04E">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广布种</w:t>
            </w:r>
          </w:p>
        </w:tc>
        <w:tc>
          <w:tcPr>
            <w:tcW w:w="834" w:type="pct"/>
            <w:vAlign w:val="center"/>
          </w:tcPr>
          <w:p w14:paraId="560C59A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824" w:type="pct"/>
            <w:vAlign w:val="center"/>
          </w:tcPr>
          <w:p w14:paraId="21A20BA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访问资料</w:t>
            </w:r>
          </w:p>
        </w:tc>
      </w:tr>
    </w:tbl>
    <w:p w14:paraId="252F6847">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fldChar w:fldCharType="begin"/>
      </w:r>
      <w:r>
        <w:rPr>
          <w:rFonts w:ascii="Times New Roman" w:hAnsi="Times New Roman" w:cs="Times New Roman"/>
          <w:color w:val="auto"/>
          <w:kern w:val="21"/>
          <w:highlight w:val="none"/>
          <w:lang w:val="en-US"/>
        </w:rPr>
        <w:instrText xml:space="preserve"> = 4 \* GB3 \* MERGEFORMAT </w:instrText>
      </w:r>
      <w:r>
        <w:rPr>
          <w:rFonts w:ascii="Times New Roman" w:hAnsi="Times New Roman" w:cs="Times New Roman"/>
          <w:color w:val="auto"/>
          <w:kern w:val="21"/>
          <w:highlight w:val="none"/>
          <w:lang w:val="en-US"/>
        </w:rPr>
        <w:fldChar w:fldCharType="separate"/>
      </w:r>
      <w:r>
        <w:rPr>
          <w:rFonts w:hint="eastAsia"/>
          <w:color w:val="auto"/>
          <w:kern w:val="21"/>
          <w:highlight w:val="none"/>
          <w:lang w:val="en-US"/>
        </w:rPr>
        <w:t>④</w:t>
      </w:r>
      <w:r>
        <w:rPr>
          <w:rFonts w:ascii="Times New Roman" w:hAnsi="Times New Roman" w:cs="Times New Roman"/>
          <w:color w:val="auto"/>
          <w:kern w:val="21"/>
          <w:highlight w:val="none"/>
          <w:lang w:val="en-US"/>
        </w:rPr>
        <w:fldChar w:fldCharType="end"/>
      </w:r>
      <w:r>
        <w:rPr>
          <w:rFonts w:ascii="Times New Roman" w:hAnsi="Times New Roman" w:cs="Times New Roman"/>
          <w:color w:val="auto"/>
          <w:kern w:val="21"/>
          <w:highlight w:val="none"/>
          <w:lang w:val="en-US"/>
        </w:rPr>
        <w:t>兽类</w:t>
      </w:r>
    </w:p>
    <w:p w14:paraId="6D1982FC">
      <w:pPr>
        <w:autoSpaceDE/>
        <w:autoSpaceDN/>
        <w:spacing w:line="360" w:lineRule="auto"/>
        <w:ind w:firstLine="480" w:firstLineChars="200"/>
        <w:jc w:val="both"/>
        <w:rPr>
          <w:rFonts w:ascii="Times New Roman" w:hAnsi="Times New Roman" w:cs="Times New Roman"/>
          <w:color w:val="auto"/>
          <w:kern w:val="21"/>
          <w:highlight w:val="none"/>
          <w:lang w:val="en-US"/>
        </w:rPr>
      </w:pPr>
      <w:r>
        <w:rPr>
          <w:rFonts w:ascii="Times New Roman" w:hAnsi="Times New Roman" w:cs="Times New Roman"/>
          <w:color w:val="auto"/>
          <w:kern w:val="21"/>
          <w:highlight w:val="none"/>
          <w:lang w:val="en-US"/>
        </w:rPr>
        <w:t>通过调查、问询和查阅已发表的期刊及相关文献资料，评价区内兽类共有3目6科10种，以啮齿目居多，有5种，占评价区兽类种类的50%。根据调查及访问调查结果，评价区内未发现国家级和省级重点保护野生兽类分布。</w:t>
      </w:r>
    </w:p>
    <w:p w14:paraId="192C216D">
      <w:pPr>
        <w:spacing w:line="500" w:lineRule="exact"/>
        <w:ind w:firstLine="0" w:firstLineChars="0"/>
        <w:jc w:val="center"/>
        <w:rPr>
          <w:rFonts w:hint="eastAsia" w:ascii="Times New Roman" w:hAnsi="Times New Roman" w:eastAsia="黑体" w:cs="Times New Roman"/>
          <w:snapToGrid w:val="0"/>
          <w:color w:val="auto"/>
          <w:kern w:val="0"/>
          <w:highlight w:val="none"/>
          <w:lang w:val="en-US" w:eastAsia="zh-CN"/>
        </w:rPr>
      </w:pPr>
      <w:r>
        <w:rPr>
          <w:rFonts w:hint="eastAsia" w:ascii="Times New Roman" w:hAnsi="Times New Roman" w:eastAsia="黑体" w:cs="Times New Roman"/>
          <w:snapToGrid w:val="0"/>
          <w:color w:val="auto"/>
          <w:kern w:val="0"/>
          <w:highlight w:val="none"/>
          <w:lang w:val="en-US" w:eastAsia="zh-CN"/>
        </w:rPr>
        <w:t>表4-2-3</w:t>
      </w:r>
      <w:r>
        <w:rPr>
          <w:rFonts w:hint="eastAsia" w:eastAsia="黑体" w:cs="Times New Roman"/>
          <w:snapToGrid w:val="0"/>
          <w:color w:val="auto"/>
          <w:kern w:val="0"/>
          <w:highlight w:val="none"/>
          <w:lang w:val="en-US" w:eastAsia="zh-CN"/>
        </w:rPr>
        <w:t>7</w:t>
      </w:r>
      <w:r>
        <w:rPr>
          <w:rFonts w:hint="eastAsia" w:ascii="Times New Roman" w:hAnsi="Times New Roman" w:eastAsia="黑体" w:cs="Times New Roman"/>
          <w:snapToGrid w:val="0"/>
          <w:color w:val="auto"/>
          <w:kern w:val="0"/>
          <w:highlight w:val="none"/>
          <w:lang w:val="en-US" w:eastAsia="zh-CN"/>
        </w:rPr>
        <w:t>评价区兽类调查情况统计表</w:t>
      </w:r>
    </w:p>
    <w:tbl>
      <w:tblPr>
        <w:tblStyle w:val="4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7"/>
        <w:gridCol w:w="3505"/>
        <w:gridCol w:w="781"/>
        <w:gridCol w:w="779"/>
        <w:gridCol w:w="1127"/>
      </w:tblGrid>
      <w:tr w14:paraId="1EB48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3D07F715">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中文名、学名</w:t>
            </w:r>
          </w:p>
        </w:tc>
        <w:tc>
          <w:tcPr>
            <w:tcW w:w="2109" w:type="pct"/>
            <w:vAlign w:val="center"/>
          </w:tcPr>
          <w:p w14:paraId="4C29E241">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生境</w:t>
            </w:r>
          </w:p>
        </w:tc>
        <w:tc>
          <w:tcPr>
            <w:tcW w:w="470" w:type="pct"/>
            <w:vAlign w:val="center"/>
          </w:tcPr>
          <w:p w14:paraId="1E5163BC">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区系</w:t>
            </w:r>
          </w:p>
        </w:tc>
        <w:tc>
          <w:tcPr>
            <w:tcW w:w="469" w:type="pct"/>
            <w:vAlign w:val="center"/>
          </w:tcPr>
          <w:p w14:paraId="6FAC140D">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数量</w:t>
            </w:r>
          </w:p>
        </w:tc>
        <w:tc>
          <w:tcPr>
            <w:tcW w:w="676" w:type="pct"/>
            <w:vAlign w:val="center"/>
          </w:tcPr>
          <w:p w14:paraId="17D17FDD">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来源</w:t>
            </w:r>
          </w:p>
        </w:tc>
      </w:tr>
      <w:tr w14:paraId="19F9D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59A3F634">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一、翼手目</w:t>
            </w:r>
            <w:r>
              <w:rPr>
                <w:rFonts w:ascii="Times New Roman" w:hAnsi="Times New Roman" w:cs="Times New Roman"/>
                <w:color w:val="auto"/>
                <w:kern w:val="21"/>
                <w:sz w:val="21"/>
                <w:szCs w:val="21"/>
                <w:highlight w:val="none"/>
              </w:rPr>
              <w:t xml:space="preserve"> </w:t>
            </w:r>
            <w:r>
              <w:rPr>
                <w:rFonts w:ascii="Times New Roman" w:hAnsi="Times New Roman" w:cs="Times New Roman"/>
                <w:i/>
                <w:iCs/>
                <w:color w:val="auto"/>
                <w:kern w:val="21"/>
                <w:sz w:val="21"/>
                <w:szCs w:val="21"/>
                <w:highlight w:val="none"/>
              </w:rPr>
              <w:t>Chiroptera</w:t>
            </w:r>
          </w:p>
        </w:tc>
      </w:tr>
      <w:tr w14:paraId="1C7D2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7CC2B88F">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一</w:t>
            </w:r>
            <w:r>
              <w:rPr>
                <w:rFonts w:ascii="Times New Roman" w:hAnsi="Times New Roman" w:cs="Times New Roman"/>
                <w:color w:val="auto"/>
                <w:kern w:val="21"/>
                <w:sz w:val="21"/>
                <w:szCs w:val="21"/>
                <w:highlight w:val="none"/>
                <w:lang w:val="en-US"/>
              </w:rPr>
              <w:t>）</w:t>
            </w:r>
            <w:r>
              <w:rPr>
                <w:rFonts w:ascii="Times New Roman" w:hAnsi="Times New Roman" w:cs="Times New Roman"/>
                <w:color w:val="auto"/>
                <w:kern w:val="21"/>
                <w:sz w:val="21"/>
                <w:szCs w:val="21"/>
                <w:highlight w:val="none"/>
              </w:rPr>
              <w:t>、蝙蝠科</w:t>
            </w:r>
            <w:r>
              <w:rPr>
                <w:rFonts w:ascii="Times New Roman" w:hAnsi="Times New Roman" w:cs="Times New Roman"/>
                <w:color w:val="auto"/>
                <w:kern w:val="21"/>
                <w:sz w:val="21"/>
                <w:szCs w:val="21"/>
                <w:highlight w:val="none"/>
                <w:lang w:val="en-US"/>
              </w:rPr>
              <w:t xml:space="preserve"> </w:t>
            </w:r>
            <w:r>
              <w:rPr>
                <w:rFonts w:ascii="Times New Roman" w:hAnsi="Times New Roman" w:cs="Times New Roman"/>
                <w:i/>
                <w:iCs/>
                <w:color w:val="auto"/>
                <w:kern w:val="21"/>
                <w:sz w:val="21"/>
                <w:szCs w:val="21"/>
                <w:highlight w:val="none"/>
                <w:lang w:val="en-US"/>
              </w:rPr>
              <w:t>Vespertilionidae</w:t>
            </w:r>
          </w:p>
        </w:tc>
      </w:tr>
      <w:tr w14:paraId="11487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6FF0DF5A">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shd w:val="clear" w:color="auto" w:fill="FFFFFF"/>
                <w:lang w:val="en-US"/>
              </w:rPr>
            </w:pPr>
            <w:r>
              <w:rPr>
                <w:rFonts w:ascii="Times New Roman" w:hAnsi="Times New Roman" w:cs="Times New Roman"/>
                <w:color w:val="auto"/>
                <w:kern w:val="21"/>
                <w:sz w:val="21"/>
                <w:szCs w:val="21"/>
                <w:highlight w:val="none"/>
                <w:shd w:val="clear" w:color="auto" w:fill="FFFFFF"/>
                <w:lang w:val="en-US"/>
              </w:rPr>
              <w:t>1</w:t>
            </w:r>
            <w:r>
              <w:rPr>
                <w:rFonts w:ascii="Times New Roman" w:hAnsi="Times New Roman" w:cs="Times New Roman"/>
                <w:color w:val="auto"/>
                <w:kern w:val="21"/>
                <w:sz w:val="21"/>
                <w:szCs w:val="21"/>
                <w:highlight w:val="none"/>
                <w:shd w:val="clear" w:color="auto" w:fill="FFFFFF"/>
              </w:rPr>
              <w:t>、普通蝙蝠</w:t>
            </w:r>
          </w:p>
          <w:p w14:paraId="068790B5">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shd w:val="clear" w:color="auto" w:fill="FFFFFF"/>
                <w:lang w:val="en-US"/>
              </w:rPr>
            </w:pPr>
            <w:r>
              <w:rPr>
                <w:rFonts w:ascii="Times New Roman" w:hAnsi="Times New Roman" w:cs="Times New Roman"/>
                <w:i/>
                <w:iCs/>
                <w:color w:val="auto"/>
                <w:kern w:val="21"/>
                <w:sz w:val="21"/>
                <w:szCs w:val="21"/>
                <w:highlight w:val="none"/>
                <w:lang w:val="en-US"/>
              </w:rPr>
              <w:t>Vespertilio murinus Linnaeus</w:t>
            </w:r>
          </w:p>
        </w:tc>
        <w:tc>
          <w:tcPr>
            <w:tcW w:w="2109" w:type="pct"/>
            <w:vAlign w:val="center"/>
          </w:tcPr>
          <w:p w14:paraId="341151ED">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栖息于森林、草原</w:t>
            </w:r>
            <w:r>
              <w:rPr>
                <w:rFonts w:ascii="Times New Roman" w:hAnsi="Times New Roman" w:cs="Times New Roman"/>
                <w:color w:val="auto"/>
                <w:kern w:val="21"/>
                <w:sz w:val="21"/>
                <w:szCs w:val="21"/>
                <w:highlight w:val="none"/>
                <w:lang w:val="en-US" w:bidi="ar"/>
              </w:rPr>
              <w:t>，</w:t>
            </w:r>
            <w:r>
              <w:rPr>
                <w:rFonts w:ascii="Times New Roman" w:hAnsi="Times New Roman" w:cs="Times New Roman"/>
                <w:color w:val="auto"/>
                <w:kern w:val="21"/>
                <w:sz w:val="21"/>
                <w:szCs w:val="21"/>
                <w:highlight w:val="none"/>
                <w:lang w:bidi="ar"/>
              </w:rPr>
              <w:t>在海拔</w:t>
            </w:r>
            <w:r>
              <w:rPr>
                <w:rFonts w:ascii="Times New Roman" w:hAnsi="Times New Roman" w:cs="Times New Roman"/>
                <w:color w:val="auto"/>
                <w:kern w:val="21"/>
                <w:sz w:val="21"/>
                <w:szCs w:val="21"/>
                <w:highlight w:val="none"/>
                <w:lang w:val="en-US" w:bidi="ar"/>
              </w:rPr>
              <w:t>2000~3000</w:t>
            </w:r>
            <w:r>
              <w:rPr>
                <w:rFonts w:ascii="Times New Roman" w:hAnsi="Times New Roman" w:cs="Times New Roman"/>
                <w:color w:val="auto"/>
                <w:kern w:val="21"/>
                <w:sz w:val="21"/>
                <w:szCs w:val="21"/>
                <w:highlight w:val="none"/>
                <w:lang w:bidi="ar"/>
              </w:rPr>
              <w:t>米的山地亦有分布。包括树洞、岩缝、顶楼等。</w:t>
            </w:r>
          </w:p>
        </w:tc>
        <w:tc>
          <w:tcPr>
            <w:tcW w:w="470" w:type="pct"/>
            <w:vAlign w:val="center"/>
          </w:tcPr>
          <w:p w14:paraId="3973650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广布种</w:t>
            </w:r>
          </w:p>
        </w:tc>
        <w:tc>
          <w:tcPr>
            <w:tcW w:w="469" w:type="pct"/>
            <w:vAlign w:val="center"/>
          </w:tcPr>
          <w:p w14:paraId="61622331">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w:t>
            </w:r>
          </w:p>
        </w:tc>
        <w:tc>
          <w:tcPr>
            <w:tcW w:w="676" w:type="pct"/>
            <w:vAlign w:val="center"/>
          </w:tcPr>
          <w:p w14:paraId="69B9E881">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1295C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0F4DCA8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bidi="ar"/>
              </w:rPr>
              <w:t>二、食肉目</w:t>
            </w:r>
            <w:r>
              <w:rPr>
                <w:rFonts w:ascii="Times New Roman" w:hAnsi="Times New Roman" w:cs="Times New Roman"/>
                <w:color w:val="auto"/>
                <w:kern w:val="21"/>
                <w:sz w:val="21"/>
                <w:szCs w:val="21"/>
                <w:highlight w:val="none"/>
                <w:lang w:val="en-US" w:bidi="ar"/>
              </w:rPr>
              <w:t xml:space="preserve"> </w:t>
            </w:r>
            <w:r>
              <w:rPr>
                <w:rFonts w:ascii="Times New Roman" w:hAnsi="Times New Roman" w:cs="Times New Roman"/>
                <w:i/>
                <w:iCs/>
                <w:color w:val="auto"/>
                <w:kern w:val="21"/>
                <w:sz w:val="21"/>
                <w:szCs w:val="21"/>
                <w:highlight w:val="none"/>
                <w:lang w:val="en-US"/>
              </w:rPr>
              <w:t>Carnivora</w:t>
            </w:r>
          </w:p>
        </w:tc>
      </w:tr>
      <w:tr w14:paraId="1E393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20A34825">
            <w:pPr>
              <w:pStyle w:val="332"/>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（二）</w:t>
            </w:r>
            <w:r>
              <w:rPr>
                <w:rFonts w:ascii="Times New Roman" w:hAnsi="Times New Roman" w:cs="Times New Roman"/>
                <w:color w:val="auto"/>
                <w:kern w:val="21"/>
                <w:sz w:val="21"/>
                <w:szCs w:val="21"/>
                <w:highlight w:val="none"/>
              </w:rPr>
              <w:t>、鼬科</w:t>
            </w:r>
            <w:r>
              <w:rPr>
                <w:rFonts w:ascii="Times New Roman" w:hAnsi="Times New Roman" w:cs="Times New Roman"/>
                <w:color w:val="auto"/>
                <w:kern w:val="21"/>
                <w:sz w:val="21"/>
                <w:szCs w:val="21"/>
                <w:highlight w:val="none"/>
                <w:lang w:val="en-US"/>
              </w:rPr>
              <w:t xml:space="preserve"> </w:t>
            </w:r>
            <w:r>
              <w:rPr>
                <w:rFonts w:ascii="Times New Roman" w:hAnsi="Times New Roman" w:cs="Times New Roman"/>
                <w:i/>
                <w:iCs/>
                <w:color w:val="auto"/>
                <w:kern w:val="21"/>
                <w:sz w:val="21"/>
                <w:szCs w:val="21"/>
                <w:highlight w:val="none"/>
                <w:lang w:val="en-US"/>
              </w:rPr>
              <w:t>Mustelidae</w:t>
            </w:r>
          </w:p>
        </w:tc>
      </w:tr>
      <w:tr w14:paraId="251B3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3F75D518">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2</w:t>
            </w:r>
            <w:r>
              <w:rPr>
                <w:rFonts w:ascii="Times New Roman" w:hAnsi="Times New Roman" w:cs="Times New Roman"/>
                <w:color w:val="auto"/>
                <w:kern w:val="21"/>
                <w:sz w:val="21"/>
                <w:szCs w:val="21"/>
                <w:highlight w:val="none"/>
              </w:rPr>
              <w:t>、香鼬</w:t>
            </w:r>
          </w:p>
          <w:p w14:paraId="27E7A173">
            <w:pPr>
              <w:widowControl/>
              <w:autoSpaceDE/>
              <w:autoSpaceDN/>
              <w:adjustRightInd w:val="0"/>
              <w:snapToGrid w:val="0"/>
              <w:ind w:left="0" w:leftChars="0" w:firstLine="0" w:firstLineChars="0"/>
              <w:rPr>
                <w:rFonts w:ascii="Times New Roman" w:hAnsi="Times New Roman" w:cs="Times New Roman"/>
                <w:i/>
                <w:iCs/>
                <w:color w:val="auto"/>
                <w:kern w:val="21"/>
                <w:sz w:val="21"/>
                <w:szCs w:val="21"/>
                <w:highlight w:val="none"/>
                <w:lang w:val="en-US"/>
              </w:rPr>
            </w:pPr>
            <w:r>
              <w:rPr>
                <w:rFonts w:ascii="Times New Roman" w:hAnsi="Times New Roman" w:cs="Times New Roman"/>
                <w:i/>
                <w:iCs/>
                <w:color w:val="auto"/>
                <w:kern w:val="21"/>
                <w:sz w:val="21"/>
                <w:szCs w:val="21"/>
                <w:highlight w:val="none"/>
                <w:lang w:val="en-US"/>
              </w:rPr>
              <w:t>Mustela altaica</w:t>
            </w:r>
          </w:p>
        </w:tc>
        <w:tc>
          <w:tcPr>
            <w:tcW w:w="2109" w:type="pct"/>
            <w:vAlign w:val="center"/>
          </w:tcPr>
          <w:p w14:paraId="3E93BE6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通常栖息在森林、森林草原、高山灌丛及草甸。</w:t>
            </w:r>
          </w:p>
        </w:tc>
        <w:tc>
          <w:tcPr>
            <w:tcW w:w="470" w:type="pct"/>
            <w:vAlign w:val="center"/>
          </w:tcPr>
          <w:p w14:paraId="70B5AD81">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0BDAD95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w:t>
            </w:r>
          </w:p>
        </w:tc>
        <w:tc>
          <w:tcPr>
            <w:tcW w:w="676" w:type="pct"/>
            <w:vAlign w:val="center"/>
          </w:tcPr>
          <w:p w14:paraId="757B0B5B">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39449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06B3C6EC">
            <w:pPr>
              <w:pStyle w:val="332"/>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3、</w:t>
            </w:r>
            <w:r>
              <w:rPr>
                <w:rFonts w:ascii="Times New Roman" w:hAnsi="Times New Roman" w:cs="Times New Roman"/>
                <w:color w:val="auto"/>
                <w:kern w:val="21"/>
                <w:sz w:val="21"/>
                <w:szCs w:val="21"/>
                <w:highlight w:val="none"/>
              </w:rPr>
              <w:t>黄鼬</w:t>
            </w:r>
          </w:p>
          <w:p w14:paraId="0AE25C7A">
            <w:pPr>
              <w:widowControl/>
              <w:autoSpaceDE/>
              <w:autoSpaceDN/>
              <w:adjustRightInd w:val="0"/>
              <w:snapToGrid w:val="0"/>
              <w:ind w:left="0" w:leftChars="0" w:firstLine="0" w:firstLineChars="0"/>
              <w:rPr>
                <w:rFonts w:ascii="Times New Roman" w:hAnsi="Times New Roman" w:cs="Times New Roman"/>
                <w:i/>
                <w:iCs/>
                <w:color w:val="auto"/>
                <w:kern w:val="21"/>
                <w:sz w:val="21"/>
                <w:szCs w:val="21"/>
                <w:highlight w:val="none"/>
              </w:rPr>
            </w:pPr>
            <w:r>
              <w:rPr>
                <w:rFonts w:ascii="Times New Roman" w:hAnsi="Times New Roman" w:cs="Times New Roman"/>
                <w:i/>
                <w:iCs/>
                <w:color w:val="auto"/>
                <w:kern w:val="21"/>
                <w:sz w:val="21"/>
                <w:szCs w:val="21"/>
                <w:highlight w:val="none"/>
              </w:rPr>
              <w:t>Mustela sibirica</w:t>
            </w:r>
          </w:p>
        </w:tc>
        <w:tc>
          <w:tcPr>
            <w:tcW w:w="2109" w:type="pct"/>
            <w:vAlign w:val="center"/>
          </w:tcPr>
          <w:p w14:paraId="408CA55D">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栖息于平原、沼泽、河谷、村庄、城市和山区等地带。</w:t>
            </w:r>
          </w:p>
        </w:tc>
        <w:tc>
          <w:tcPr>
            <w:tcW w:w="470" w:type="pct"/>
            <w:vAlign w:val="center"/>
          </w:tcPr>
          <w:p w14:paraId="60F05252">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广布种</w:t>
            </w:r>
          </w:p>
        </w:tc>
        <w:tc>
          <w:tcPr>
            <w:tcW w:w="469" w:type="pct"/>
            <w:vAlign w:val="center"/>
          </w:tcPr>
          <w:p w14:paraId="1E15B0A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w:t>
            </w:r>
          </w:p>
        </w:tc>
        <w:tc>
          <w:tcPr>
            <w:tcW w:w="676" w:type="pct"/>
            <w:vAlign w:val="center"/>
          </w:tcPr>
          <w:p w14:paraId="3D430865">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目击</w:t>
            </w:r>
          </w:p>
        </w:tc>
      </w:tr>
      <w:tr w14:paraId="097FF0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4E5F7835">
            <w:pPr>
              <w:pStyle w:val="22"/>
              <w:autoSpaceDE/>
              <w:autoSpaceDN/>
              <w:snapToGrid w:val="0"/>
              <w:spacing w:line="240" w:lineRule="auto"/>
              <w:ind w:left="0" w:leftChars="0" w:firstLine="0" w:firstLineChars="0"/>
              <w:jc w:val="left"/>
              <w:textAlignment w:val="auto"/>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bidi="ar"/>
              </w:rPr>
              <w:t>三、兔形目</w:t>
            </w:r>
            <w:r>
              <w:rPr>
                <w:rFonts w:ascii="Times New Roman" w:hAnsi="Times New Roman" w:cs="Times New Roman"/>
                <w:color w:val="auto"/>
                <w:kern w:val="21"/>
                <w:sz w:val="21"/>
                <w:szCs w:val="21"/>
                <w:highlight w:val="none"/>
                <w:lang w:val="en-US" w:bidi="ar"/>
              </w:rPr>
              <w:t xml:space="preserve"> </w:t>
            </w:r>
            <w:r>
              <w:rPr>
                <w:rFonts w:ascii="Times New Roman" w:hAnsi="Times New Roman" w:cs="Times New Roman"/>
                <w:i/>
                <w:iCs/>
                <w:color w:val="auto"/>
                <w:kern w:val="21"/>
                <w:sz w:val="21"/>
                <w:szCs w:val="21"/>
                <w:highlight w:val="none"/>
                <w:lang w:val="en-US" w:bidi="ar"/>
              </w:rPr>
              <w:t>Lagomorpha</w:t>
            </w:r>
          </w:p>
        </w:tc>
      </w:tr>
      <w:tr w14:paraId="5C8B3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65BC77D4">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bidi="ar"/>
              </w:rPr>
              <w:t>（</w:t>
            </w:r>
            <w:r>
              <w:rPr>
                <w:rFonts w:ascii="Times New Roman" w:hAnsi="Times New Roman" w:cs="Times New Roman"/>
                <w:color w:val="auto"/>
                <w:kern w:val="21"/>
                <w:sz w:val="21"/>
                <w:szCs w:val="21"/>
                <w:highlight w:val="none"/>
                <w:lang w:bidi="ar"/>
              </w:rPr>
              <w:t>三</w:t>
            </w:r>
            <w:r>
              <w:rPr>
                <w:rFonts w:ascii="Times New Roman" w:hAnsi="Times New Roman" w:cs="Times New Roman"/>
                <w:color w:val="auto"/>
                <w:kern w:val="21"/>
                <w:sz w:val="21"/>
                <w:szCs w:val="21"/>
                <w:highlight w:val="none"/>
                <w:lang w:val="en-US" w:bidi="ar"/>
              </w:rPr>
              <w:t>）</w:t>
            </w:r>
            <w:r>
              <w:rPr>
                <w:rFonts w:ascii="Times New Roman" w:hAnsi="Times New Roman" w:cs="Times New Roman"/>
                <w:color w:val="auto"/>
                <w:kern w:val="21"/>
                <w:sz w:val="21"/>
                <w:szCs w:val="21"/>
                <w:highlight w:val="none"/>
                <w:lang w:bidi="ar"/>
              </w:rPr>
              <w:t>、兔科</w:t>
            </w:r>
            <w:r>
              <w:rPr>
                <w:rFonts w:ascii="Times New Roman" w:hAnsi="Times New Roman" w:cs="Times New Roman"/>
                <w:color w:val="auto"/>
                <w:kern w:val="21"/>
                <w:sz w:val="21"/>
                <w:szCs w:val="21"/>
                <w:highlight w:val="none"/>
                <w:lang w:val="en-US" w:bidi="ar"/>
              </w:rPr>
              <w:t xml:space="preserve"> </w:t>
            </w:r>
            <w:r>
              <w:rPr>
                <w:rFonts w:ascii="Times New Roman" w:hAnsi="Times New Roman" w:cs="Times New Roman"/>
                <w:i/>
                <w:iCs/>
                <w:color w:val="auto"/>
                <w:kern w:val="21"/>
                <w:sz w:val="21"/>
                <w:szCs w:val="21"/>
                <w:highlight w:val="none"/>
                <w:lang w:val="en-US" w:bidi="ar"/>
              </w:rPr>
              <w:t>Leporidae</w:t>
            </w:r>
          </w:p>
        </w:tc>
      </w:tr>
      <w:tr w14:paraId="60131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07BEA720">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4、东北兔</w:t>
            </w:r>
          </w:p>
          <w:p w14:paraId="30C09A43">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bidi="ar"/>
              </w:rPr>
            </w:pPr>
            <w:r>
              <w:rPr>
                <w:rFonts w:ascii="Times New Roman" w:hAnsi="Times New Roman" w:cs="Times New Roman"/>
                <w:i/>
                <w:iCs/>
                <w:color w:val="auto"/>
                <w:kern w:val="21"/>
                <w:sz w:val="21"/>
                <w:szCs w:val="21"/>
                <w:highlight w:val="none"/>
              </w:rPr>
              <w:t>Lepus mandshuricus</w:t>
            </w:r>
          </w:p>
        </w:tc>
        <w:tc>
          <w:tcPr>
            <w:tcW w:w="2109" w:type="pct"/>
            <w:vAlign w:val="center"/>
          </w:tcPr>
          <w:p w14:paraId="18FADA5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主要栖息于海拔高度300-900m高的</w:t>
            </w:r>
            <w:r>
              <w:rPr>
                <w:color w:val="auto"/>
                <w:highlight w:val="none"/>
              </w:rPr>
              <w:fldChar w:fldCharType="begin"/>
            </w:r>
            <w:r>
              <w:rPr>
                <w:color w:val="auto"/>
                <w:highlight w:val="none"/>
              </w:rPr>
              <w:instrText xml:space="preserve"> HYPERLINK "https://baike.baidu.com/item/%E9%92%88%E5%8F%B6%E9%98%94%E5%8F%B6%E6%B7%B7%E4%BA%A4%E6%9E%97" \t "https://baike.baidu.com/item/_blank" </w:instrText>
            </w:r>
            <w:r>
              <w:rPr>
                <w:color w:val="auto"/>
                <w:highlight w:val="none"/>
              </w:rPr>
              <w:fldChar w:fldCharType="separate"/>
            </w:r>
            <w:r>
              <w:rPr>
                <w:rFonts w:ascii="Times New Roman" w:hAnsi="Times New Roman" w:cs="Times New Roman"/>
                <w:color w:val="auto"/>
                <w:kern w:val="21"/>
                <w:sz w:val="21"/>
                <w:szCs w:val="21"/>
                <w:highlight w:val="none"/>
                <w:lang w:bidi="ar"/>
              </w:rPr>
              <w:t>针叶阔叶混交林</w:t>
            </w:r>
            <w:r>
              <w:rPr>
                <w:rFonts w:ascii="Times New Roman" w:hAnsi="Times New Roman" w:cs="Times New Roman"/>
                <w:color w:val="auto"/>
                <w:kern w:val="21"/>
                <w:sz w:val="21"/>
                <w:szCs w:val="21"/>
                <w:highlight w:val="none"/>
                <w:lang w:bidi="ar"/>
              </w:rPr>
              <w:fldChar w:fldCharType="end"/>
            </w:r>
            <w:r>
              <w:rPr>
                <w:rFonts w:ascii="Times New Roman" w:hAnsi="Times New Roman" w:cs="Times New Roman"/>
                <w:color w:val="auto"/>
                <w:kern w:val="21"/>
                <w:sz w:val="21"/>
                <w:szCs w:val="21"/>
                <w:highlight w:val="none"/>
                <w:lang w:bidi="ar"/>
              </w:rPr>
              <w:t>中，也见于林外平原地区的荒地草丛和河谷灌丛。</w:t>
            </w:r>
          </w:p>
        </w:tc>
        <w:tc>
          <w:tcPr>
            <w:tcW w:w="470" w:type="pct"/>
            <w:vAlign w:val="center"/>
          </w:tcPr>
          <w:p w14:paraId="705EADED">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53E3219A">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w:t>
            </w:r>
          </w:p>
        </w:tc>
        <w:tc>
          <w:tcPr>
            <w:tcW w:w="676" w:type="pct"/>
            <w:vAlign w:val="center"/>
          </w:tcPr>
          <w:p w14:paraId="5A76832D">
            <w:pPr>
              <w:pStyle w:val="22"/>
              <w:autoSpaceDE/>
              <w:autoSpaceDN/>
              <w:snapToGrid w:val="0"/>
              <w:spacing w:line="240" w:lineRule="auto"/>
              <w:ind w:left="0" w:leftChars="0" w:firstLine="0" w:firstLineChars="0"/>
              <w:jc w:val="center"/>
              <w:textAlignment w:val="auto"/>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640E9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69B67190">
            <w:pPr>
              <w:pStyle w:val="332"/>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三、啮齿目</w:t>
            </w:r>
            <w:r>
              <w:rPr>
                <w:rFonts w:ascii="Times New Roman" w:hAnsi="Times New Roman" w:cs="Times New Roman"/>
                <w:color w:val="auto"/>
                <w:kern w:val="21"/>
                <w:sz w:val="21"/>
                <w:szCs w:val="21"/>
                <w:highlight w:val="none"/>
                <w:lang w:val="en-US" w:bidi="ar"/>
              </w:rPr>
              <w:t xml:space="preserve"> </w:t>
            </w:r>
            <w:r>
              <w:rPr>
                <w:rFonts w:ascii="Times New Roman" w:hAnsi="Times New Roman" w:cs="Times New Roman"/>
                <w:i/>
                <w:iCs/>
                <w:color w:val="auto"/>
                <w:kern w:val="21"/>
                <w:sz w:val="21"/>
                <w:szCs w:val="21"/>
                <w:highlight w:val="none"/>
                <w:lang w:bidi="ar"/>
              </w:rPr>
              <w:t>Rodentia</w:t>
            </w:r>
          </w:p>
        </w:tc>
      </w:tr>
      <w:tr w14:paraId="6965F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6ED0E600">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 xml:space="preserve">（四）、松鼠科 </w:t>
            </w:r>
            <w:r>
              <w:rPr>
                <w:rFonts w:ascii="Times New Roman" w:hAnsi="Times New Roman" w:cs="Times New Roman"/>
                <w:i/>
                <w:iCs/>
                <w:color w:val="auto"/>
                <w:kern w:val="21"/>
                <w:sz w:val="21"/>
                <w:szCs w:val="21"/>
                <w:highlight w:val="none"/>
                <w:lang w:bidi="ar"/>
              </w:rPr>
              <w:t>Sciuridae</w:t>
            </w:r>
          </w:p>
        </w:tc>
      </w:tr>
      <w:tr w14:paraId="63FC5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38785D6B">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5、松鼠</w:t>
            </w:r>
          </w:p>
          <w:p w14:paraId="607E3DED">
            <w:pPr>
              <w:widowControl/>
              <w:autoSpaceDE/>
              <w:autoSpaceDN/>
              <w:adjustRightInd w:val="0"/>
              <w:snapToGrid w:val="0"/>
              <w:ind w:left="0" w:leftChars="0" w:firstLine="0" w:firstLineChars="0"/>
              <w:rPr>
                <w:rFonts w:ascii="Times New Roman" w:hAnsi="Times New Roman" w:cs="Times New Roman"/>
                <w:i/>
                <w:iCs/>
                <w:color w:val="auto"/>
                <w:kern w:val="21"/>
                <w:sz w:val="21"/>
                <w:szCs w:val="21"/>
                <w:highlight w:val="none"/>
              </w:rPr>
            </w:pPr>
            <w:r>
              <w:rPr>
                <w:rFonts w:ascii="Times New Roman" w:hAnsi="Times New Roman" w:cs="Times New Roman"/>
                <w:i/>
                <w:iCs/>
                <w:color w:val="auto"/>
                <w:kern w:val="21"/>
                <w:sz w:val="21"/>
                <w:szCs w:val="21"/>
                <w:highlight w:val="none"/>
              </w:rPr>
              <w:t>Sciuridae</w:t>
            </w:r>
          </w:p>
        </w:tc>
        <w:tc>
          <w:tcPr>
            <w:tcW w:w="2109" w:type="pct"/>
            <w:vAlign w:val="center"/>
          </w:tcPr>
          <w:p w14:paraId="2709A1AF">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主要分布在由落叶松属和云杉 构成的针叶林或针阔混交林 。</w:t>
            </w:r>
          </w:p>
        </w:tc>
        <w:tc>
          <w:tcPr>
            <w:tcW w:w="470" w:type="pct"/>
            <w:vAlign w:val="center"/>
          </w:tcPr>
          <w:p w14:paraId="11250F8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6DC6A9D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rPr>
              <w:t>+</w:t>
            </w:r>
            <w:r>
              <w:rPr>
                <w:rFonts w:ascii="Times New Roman" w:hAnsi="Times New Roman" w:cs="Times New Roman"/>
                <w:color w:val="auto"/>
                <w:kern w:val="21"/>
                <w:sz w:val="21"/>
                <w:szCs w:val="21"/>
                <w:highlight w:val="none"/>
                <w:lang w:bidi="ar"/>
              </w:rPr>
              <w:t>+</w:t>
            </w:r>
          </w:p>
        </w:tc>
        <w:tc>
          <w:tcPr>
            <w:tcW w:w="676" w:type="pct"/>
            <w:vAlign w:val="center"/>
          </w:tcPr>
          <w:p w14:paraId="4413EB0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w:t>
            </w:r>
          </w:p>
        </w:tc>
      </w:tr>
      <w:tr w14:paraId="327F6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7CC2370E">
            <w:pPr>
              <w:pStyle w:val="332"/>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6、</w:t>
            </w:r>
            <w:r>
              <w:rPr>
                <w:rFonts w:ascii="Times New Roman" w:hAnsi="Times New Roman" w:cs="Times New Roman"/>
                <w:color w:val="auto"/>
                <w:kern w:val="21"/>
                <w:sz w:val="21"/>
                <w:szCs w:val="21"/>
                <w:highlight w:val="none"/>
              </w:rPr>
              <w:t>花鼠</w:t>
            </w:r>
          </w:p>
          <w:p w14:paraId="7901954D">
            <w:pPr>
              <w:widowControl/>
              <w:autoSpaceDE/>
              <w:autoSpaceDN/>
              <w:adjustRightInd w:val="0"/>
              <w:snapToGrid w:val="0"/>
              <w:ind w:left="0" w:leftChars="0" w:firstLine="0" w:firstLineChars="0"/>
              <w:rPr>
                <w:rFonts w:ascii="Times New Roman" w:hAnsi="Times New Roman" w:cs="Times New Roman"/>
                <w:i/>
                <w:iCs/>
                <w:color w:val="auto"/>
                <w:kern w:val="21"/>
                <w:sz w:val="21"/>
                <w:szCs w:val="21"/>
                <w:highlight w:val="none"/>
                <w:lang w:val="en-US"/>
              </w:rPr>
            </w:pPr>
            <w:r>
              <w:rPr>
                <w:rFonts w:ascii="Times New Roman" w:hAnsi="Times New Roman" w:cs="Times New Roman"/>
                <w:i/>
                <w:iCs/>
                <w:color w:val="auto"/>
                <w:kern w:val="21"/>
                <w:sz w:val="21"/>
                <w:szCs w:val="21"/>
                <w:highlight w:val="none"/>
                <w:lang w:val="en-US"/>
              </w:rPr>
              <w:t>Tamias sibiricus</w:t>
            </w:r>
          </w:p>
        </w:tc>
        <w:tc>
          <w:tcPr>
            <w:tcW w:w="2109" w:type="pct"/>
            <w:vAlign w:val="center"/>
          </w:tcPr>
          <w:p w14:paraId="676D3FD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一般栖息于林区及林缘灌丛和 多低山丘陵的农区。</w:t>
            </w:r>
          </w:p>
        </w:tc>
        <w:tc>
          <w:tcPr>
            <w:tcW w:w="470" w:type="pct"/>
            <w:vAlign w:val="center"/>
          </w:tcPr>
          <w:p w14:paraId="6714BB0A">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5C65D287">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w:t>
            </w:r>
          </w:p>
        </w:tc>
        <w:tc>
          <w:tcPr>
            <w:tcW w:w="676" w:type="pct"/>
            <w:vAlign w:val="center"/>
          </w:tcPr>
          <w:p w14:paraId="6B0DD6C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目击</w:t>
            </w:r>
          </w:p>
        </w:tc>
      </w:tr>
      <w:tr w14:paraId="343C89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0A993FF3">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7、小飞鼠</w:t>
            </w:r>
          </w:p>
          <w:p w14:paraId="272E72B5">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i/>
                <w:iCs/>
                <w:color w:val="auto"/>
                <w:kern w:val="21"/>
                <w:sz w:val="21"/>
                <w:szCs w:val="21"/>
                <w:highlight w:val="none"/>
              </w:rPr>
              <w:t>Pteromys volans</w:t>
            </w:r>
          </w:p>
        </w:tc>
        <w:tc>
          <w:tcPr>
            <w:tcW w:w="2109" w:type="pct"/>
            <w:vAlign w:val="center"/>
          </w:tcPr>
          <w:p w14:paraId="4F59902C">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栖息于温带、寒温带针叶林或针阔混交林。</w:t>
            </w:r>
          </w:p>
        </w:tc>
        <w:tc>
          <w:tcPr>
            <w:tcW w:w="470" w:type="pct"/>
            <w:vAlign w:val="center"/>
          </w:tcPr>
          <w:p w14:paraId="684B7CE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1CCEE4E9">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rPr>
              <w:t>+</w:t>
            </w:r>
          </w:p>
        </w:tc>
        <w:tc>
          <w:tcPr>
            <w:tcW w:w="676" w:type="pct"/>
            <w:vAlign w:val="center"/>
          </w:tcPr>
          <w:p w14:paraId="2CAB24DF">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451A4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3AAB6227">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bidi="ar"/>
              </w:rPr>
              <w:t xml:space="preserve">（五）、仓鼠科 </w:t>
            </w:r>
            <w:r>
              <w:rPr>
                <w:rFonts w:ascii="Times New Roman" w:hAnsi="Times New Roman" w:cs="Times New Roman"/>
                <w:i/>
                <w:iCs/>
                <w:color w:val="auto"/>
                <w:kern w:val="21"/>
                <w:sz w:val="21"/>
                <w:szCs w:val="21"/>
                <w:highlight w:val="none"/>
                <w:lang w:bidi="ar"/>
              </w:rPr>
              <w:t>Cricetidae</w:t>
            </w:r>
          </w:p>
        </w:tc>
      </w:tr>
      <w:tr w14:paraId="4DEA24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72D5F095">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lang w:val="en-US"/>
              </w:rPr>
              <w:t>8</w:t>
            </w:r>
            <w:r>
              <w:rPr>
                <w:rFonts w:ascii="Times New Roman" w:hAnsi="Times New Roman" w:cs="Times New Roman"/>
                <w:color w:val="auto"/>
                <w:kern w:val="21"/>
                <w:sz w:val="21"/>
                <w:szCs w:val="21"/>
                <w:highlight w:val="none"/>
              </w:rPr>
              <w:t>、东方田鼠</w:t>
            </w:r>
          </w:p>
          <w:p w14:paraId="19F5BF14">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rPr>
            </w:pPr>
            <w:r>
              <w:rPr>
                <w:rFonts w:ascii="Times New Roman" w:hAnsi="Times New Roman" w:cs="Times New Roman"/>
                <w:i/>
                <w:iCs/>
                <w:color w:val="auto"/>
                <w:kern w:val="21"/>
                <w:sz w:val="21"/>
                <w:szCs w:val="21"/>
                <w:highlight w:val="none"/>
              </w:rPr>
              <w:t>Microtus fortis</w:t>
            </w:r>
          </w:p>
        </w:tc>
        <w:tc>
          <w:tcPr>
            <w:tcW w:w="2109" w:type="pct"/>
            <w:vAlign w:val="center"/>
          </w:tcPr>
          <w:p w14:paraId="235D4FD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栖息在1000~1500米低湿的</w:t>
            </w:r>
            <w:r>
              <w:rPr>
                <w:color w:val="auto"/>
                <w:highlight w:val="none"/>
              </w:rPr>
              <w:fldChar w:fldCharType="begin"/>
            </w:r>
            <w:r>
              <w:rPr>
                <w:color w:val="auto"/>
                <w:highlight w:val="none"/>
              </w:rPr>
              <w:instrText xml:space="preserve"> HYPERLINK "https://baike.so.com/doc/5946595-6159532.html" \t "_blank" </w:instrText>
            </w:r>
            <w:r>
              <w:rPr>
                <w:color w:val="auto"/>
                <w:highlight w:val="none"/>
              </w:rPr>
              <w:fldChar w:fldCharType="separate"/>
            </w:r>
            <w:r>
              <w:rPr>
                <w:rFonts w:ascii="Times New Roman" w:hAnsi="Times New Roman" w:cs="Times New Roman"/>
                <w:color w:val="auto"/>
                <w:kern w:val="21"/>
                <w:sz w:val="21"/>
                <w:szCs w:val="21"/>
                <w:highlight w:val="none"/>
                <w:lang w:bidi="ar"/>
              </w:rPr>
              <w:t>沼泽地</w:t>
            </w:r>
            <w:r>
              <w:rPr>
                <w:rFonts w:ascii="Times New Roman" w:hAnsi="Times New Roman" w:cs="Times New Roman"/>
                <w:color w:val="auto"/>
                <w:kern w:val="21"/>
                <w:sz w:val="21"/>
                <w:szCs w:val="21"/>
                <w:highlight w:val="none"/>
                <w:lang w:bidi="ar"/>
              </w:rPr>
              <w:fldChar w:fldCharType="end"/>
            </w:r>
            <w:r>
              <w:rPr>
                <w:rFonts w:ascii="Times New Roman" w:hAnsi="Times New Roman" w:cs="Times New Roman"/>
                <w:color w:val="auto"/>
                <w:kern w:val="21"/>
                <w:sz w:val="21"/>
                <w:szCs w:val="21"/>
                <w:highlight w:val="none"/>
                <w:lang w:bidi="ar"/>
              </w:rPr>
              <w:t>、</w:t>
            </w:r>
            <w:r>
              <w:rPr>
                <w:color w:val="auto"/>
                <w:highlight w:val="none"/>
              </w:rPr>
              <w:fldChar w:fldCharType="begin"/>
            </w:r>
            <w:r>
              <w:rPr>
                <w:color w:val="auto"/>
                <w:highlight w:val="none"/>
              </w:rPr>
              <w:instrText xml:space="preserve"> HYPERLINK "https://baike.so.com/doc/5901801-6114701.html" \t "_blank" </w:instrText>
            </w:r>
            <w:r>
              <w:rPr>
                <w:color w:val="auto"/>
                <w:highlight w:val="none"/>
              </w:rPr>
              <w:fldChar w:fldCharType="separate"/>
            </w:r>
            <w:r>
              <w:rPr>
                <w:rFonts w:ascii="Times New Roman" w:hAnsi="Times New Roman" w:cs="Times New Roman"/>
                <w:color w:val="auto"/>
                <w:kern w:val="21"/>
                <w:sz w:val="21"/>
                <w:szCs w:val="21"/>
                <w:highlight w:val="none"/>
                <w:lang w:bidi="ar"/>
              </w:rPr>
              <w:t>草甸</w:t>
            </w:r>
            <w:r>
              <w:rPr>
                <w:rFonts w:ascii="Times New Roman" w:hAnsi="Times New Roman" w:cs="Times New Roman"/>
                <w:color w:val="auto"/>
                <w:kern w:val="21"/>
                <w:sz w:val="21"/>
                <w:szCs w:val="21"/>
                <w:highlight w:val="none"/>
                <w:lang w:bidi="ar"/>
              </w:rPr>
              <w:fldChar w:fldCharType="end"/>
            </w:r>
            <w:r>
              <w:rPr>
                <w:rFonts w:ascii="Times New Roman" w:hAnsi="Times New Roman" w:cs="Times New Roman"/>
                <w:color w:val="auto"/>
                <w:kern w:val="21"/>
                <w:sz w:val="21"/>
                <w:szCs w:val="21"/>
                <w:highlight w:val="none"/>
                <w:lang w:bidi="ar"/>
              </w:rPr>
              <w:t>里。</w:t>
            </w:r>
          </w:p>
        </w:tc>
        <w:tc>
          <w:tcPr>
            <w:tcW w:w="470" w:type="pct"/>
            <w:vAlign w:val="center"/>
          </w:tcPr>
          <w:p w14:paraId="79721012">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古北种</w:t>
            </w:r>
          </w:p>
        </w:tc>
        <w:tc>
          <w:tcPr>
            <w:tcW w:w="469" w:type="pct"/>
            <w:vAlign w:val="center"/>
          </w:tcPr>
          <w:p w14:paraId="26180A78">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w:t>
            </w:r>
          </w:p>
        </w:tc>
        <w:tc>
          <w:tcPr>
            <w:tcW w:w="676" w:type="pct"/>
            <w:vAlign w:val="center"/>
          </w:tcPr>
          <w:p w14:paraId="43AFC32F">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r w14:paraId="364940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vAlign w:val="center"/>
          </w:tcPr>
          <w:p w14:paraId="3C970E04">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bidi="ar"/>
              </w:rPr>
              <w:t>（</w:t>
            </w:r>
            <w:r>
              <w:rPr>
                <w:rFonts w:ascii="Times New Roman" w:hAnsi="Times New Roman" w:cs="Times New Roman"/>
                <w:color w:val="auto"/>
                <w:kern w:val="21"/>
                <w:sz w:val="21"/>
                <w:szCs w:val="21"/>
                <w:highlight w:val="none"/>
                <w:lang w:bidi="ar"/>
              </w:rPr>
              <w:t>六</w:t>
            </w:r>
            <w:r>
              <w:rPr>
                <w:rFonts w:ascii="Times New Roman" w:hAnsi="Times New Roman" w:cs="Times New Roman"/>
                <w:color w:val="auto"/>
                <w:kern w:val="21"/>
                <w:sz w:val="21"/>
                <w:szCs w:val="21"/>
                <w:highlight w:val="none"/>
                <w:lang w:val="en-US" w:bidi="ar"/>
              </w:rPr>
              <w:t>）</w:t>
            </w:r>
            <w:r>
              <w:rPr>
                <w:rFonts w:ascii="Times New Roman" w:hAnsi="Times New Roman" w:cs="Times New Roman"/>
                <w:color w:val="auto"/>
                <w:kern w:val="21"/>
                <w:sz w:val="21"/>
                <w:szCs w:val="21"/>
                <w:highlight w:val="none"/>
                <w:lang w:bidi="ar"/>
              </w:rPr>
              <w:t>、鼠科</w:t>
            </w:r>
            <w:r>
              <w:rPr>
                <w:rFonts w:ascii="Times New Roman" w:hAnsi="Times New Roman" w:cs="Times New Roman"/>
                <w:i/>
                <w:iCs/>
                <w:color w:val="auto"/>
                <w:kern w:val="21"/>
                <w:sz w:val="21"/>
                <w:szCs w:val="21"/>
                <w:highlight w:val="none"/>
                <w:lang w:val="en-US" w:bidi="ar"/>
              </w:rPr>
              <w:t xml:space="preserve"> Muridae</w:t>
            </w:r>
          </w:p>
        </w:tc>
      </w:tr>
      <w:tr w14:paraId="3C627C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4" w:type="pct"/>
            <w:vAlign w:val="center"/>
          </w:tcPr>
          <w:p w14:paraId="624B4460">
            <w:pPr>
              <w:widowControl/>
              <w:autoSpaceDE/>
              <w:autoSpaceDN/>
              <w:adjustRightInd w:val="0"/>
              <w:snapToGrid w:val="0"/>
              <w:ind w:left="0" w:leftChars="0" w:firstLine="0" w:firstLineChars="0"/>
              <w:rPr>
                <w:rFonts w:ascii="Times New Roman" w:hAnsi="Times New Roman" w:cs="Times New Roman"/>
                <w:color w:val="auto"/>
                <w:kern w:val="21"/>
                <w:sz w:val="21"/>
                <w:szCs w:val="21"/>
                <w:highlight w:val="none"/>
                <w:lang w:val="en-US"/>
              </w:rPr>
            </w:pPr>
            <w:r>
              <w:rPr>
                <w:rFonts w:ascii="Times New Roman" w:hAnsi="Times New Roman" w:cs="Times New Roman"/>
                <w:color w:val="auto"/>
                <w:kern w:val="21"/>
                <w:sz w:val="21"/>
                <w:szCs w:val="21"/>
                <w:highlight w:val="none"/>
                <w:lang w:val="en-US"/>
              </w:rPr>
              <w:t>9</w:t>
            </w:r>
            <w:r>
              <w:rPr>
                <w:rFonts w:ascii="Times New Roman" w:hAnsi="Times New Roman" w:cs="Times New Roman"/>
                <w:color w:val="auto"/>
                <w:kern w:val="21"/>
                <w:sz w:val="21"/>
                <w:szCs w:val="21"/>
                <w:highlight w:val="none"/>
              </w:rPr>
              <w:t>、普通田鼠</w:t>
            </w:r>
          </w:p>
          <w:p w14:paraId="041ABFB2">
            <w:pPr>
              <w:widowControl/>
              <w:autoSpaceDE/>
              <w:autoSpaceDN/>
              <w:adjustRightInd w:val="0"/>
              <w:snapToGrid w:val="0"/>
              <w:ind w:left="0" w:leftChars="0" w:firstLine="0" w:firstLineChars="0"/>
              <w:rPr>
                <w:rFonts w:ascii="Times New Roman" w:hAnsi="Times New Roman" w:cs="Times New Roman"/>
                <w:i/>
                <w:iCs/>
                <w:color w:val="auto"/>
                <w:kern w:val="21"/>
                <w:sz w:val="21"/>
                <w:szCs w:val="21"/>
                <w:highlight w:val="none"/>
                <w:lang w:val="en-US"/>
              </w:rPr>
            </w:pPr>
            <w:r>
              <w:rPr>
                <w:rFonts w:ascii="Times New Roman" w:hAnsi="Times New Roman" w:cs="Times New Roman"/>
                <w:i/>
                <w:iCs/>
                <w:color w:val="auto"/>
                <w:kern w:val="21"/>
                <w:sz w:val="21"/>
                <w:szCs w:val="21"/>
                <w:highlight w:val="none"/>
                <w:lang w:val="en-US"/>
              </w:rPr>
              <w:t>Microtus arvalis</w:t>
            </w:r>
          </w:p>
        </w:tc>
        <w:tc>
          <w:tcPr>
            <w:tcW w:w="2109" w:type="pct"/>
            <w:vAlign w:val="center"/>
          </w:tcPr>
          <w:p w14:paraId="497C5CFB">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val="en-US" w:bidi="ar"/>
              </w:rPr>
            </w:pPr>
            <w:r>
              <w:rPr>
                <w:color w:val="auto"/>
                <w:highlight w:val="none"/>
              </w:rPr>
              <w:fldChar w:fldCharType="begin"/>
            </w:r>
            <w:r>
              <w:rPr>
                <w:color w:val="auto"/>
                <w:highlight w:val="none"/>
              </w:rPr>
              <w:instrText xml:space="preserve"> HYPERLINK "https://baike.baidu.com/item/%E6%A0%96%E6%81%AF" \t "https://baike.baidu.com/item/_blank" </w:instrText>
            </w:r>
            <w:r>
              <w:rPr>
                <w:color w:val="auto"/>
                <w:highlight w:val="none"/>
              </w:rPr>
              <w:fldChar w:fldCharType="separate"/>
            </w:r>
            <w:r>
              <w:rPr>
                <w:rFonts w:ascii="Times New Roman" w:hAnsi="Times New Roman" w:cs="Times New Roman"/>
                <w:color w:val="auto"/>
                <w:kern w:val="21"/>
                <w:sz w:val="21"/>
                <w:szCs w:val="21"/>
                <w:highlight w:val="none"/>
                <w:lang w:bidi="ar"/>
              </w:rPr>
              <w:t>栖息</w:t>
            </w:r>
            <w:r>
              <w:rPr>
                <w:rFonts w:ascii="Times New Roman" w:hAnsi="Times New Roman" w:cs="Times New Roman"/>
                <w:color w:val="auto"/>
                <w:kern w:val="21"/>
                <w:sz w:val="21"/>
                <w:szCs w:val="21"/>
                <w:highlight w:val="none"/>
                <w:lang w:bidi="ar"/>
              </w:rPr>
              <w:fldChar w:fldCharType="end"/>
            </w:r>
            <w:r>
              <w:rPr>
                <w:rFonts w:ascii="Times New Roman" w:hAnsi="Times New Roman" w:cs="Times New Roman"/>
                <w:color w:val="auto"/>
                <w:kern w:val="21"/>
                <w:sz w:val="21"/>
                <w:szCs w:val="21"/>
                <w:highlight w:val="none"/>
                <w:lang w:bidi="ar"/>
              </w:rPr>
              <w:t>于近河流的草甸。</w:t>
            </w:r>
          </w:p>
        </w:tc>
        <w:tc>
          <w:tcPr>
            <w:tcW w:w="470" w:type="pct"/>
            <w:vAlign w:val="center"/>
          </w:tcPr>
          <w:p w14:paraId="36DC3C95">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广布种</w:t>
            </w:r>
          </w:p>
        </w:tc>
        <w:tc>
          <w:tcPr>
            <w:tcW w:w="469" w:type="pct"/>
            <w:vAlign w:val="center"/>
          </w:tcPr>
          <w:p w14:paraId="4928D083">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lang w:bidi="ar"/>
              </w:rPr>
            </w:pPr>
            <w:r>
              <w:rPr>
                <w:rFonts w:ascii="Times New Roman" w:hAnsi="Times New Roman" w:cs="Times New Roman"/>
                <w:color w:val="auto"/>
                <w:kern w:val="21"/>
                <w:sz w:val="21"/>
                <w:szCs w:val="21"/>
                <w:highlight w:val="none"/>
                <w:lang w:bidi="ar"/>
              </w:rPr>
              <w:t>++</w:t>
            </w:r>
          </w:p>
        </w:tc>
        <w:tc>
          <w:tcPr>
            <w:tcW w:w="676" w:type="pct"/>
            <w:vAlign w:val="center"/>
          </w:tcPr>
          <w:p w14:paraId="6877E086">
            <w:pPr>
              <w:widowControl/>
              <w:autoSpaceDE/>
              <w:autoSpaceDN/>
              <w:adjustRightInd w:val="0"/>
              <w:snapToGrid w:val="0"/>
              <w:ind w:left="0" w:leftChars="0" w:firstLine="0" w:firstLineChars="0"/>
              <w:jc w:val="center"/>
              <w:rPr>
                <w:rFonts w:ascii="Times New Roman" w:hAnsi="Times New Roman" w:cs="Times New Roman"/>
                <w:color w:val="auto"/>
                <w:kern w:val="21"/>
                <w:sz w:val="21"/>
                <w:szCs w:val="21"/>
                <w:highlight w:val="none"/>
              </w:rPr>
            </w:pPr>
            <w:r>
              <w:rPr>
                <w:rFonts w:ascii="Times New Roman" w:hAnsi="Times New Roman" w:cs="Times New Roman"/>
                <w:color w:val="auto"/>
                <w:kern w:val="21"/>
                <w:sz w:val="21"/>
                <w:szCs w:val="21"/>
                <w:highlight w:val="none"/>
              </w:rPr>
              <w:t>访问资料</w:t>
            </w:r>
          </w:p>
        </w:tc>
      </w:tr>
    </w:tbl>
    <w:p w14:paraId="4DFD87EC">
      <w:pPr>
        <w:bidi w:val="0"/>
        <w:rPr>
          <w:color w:val="auto"/>
          <w:highlight w:val="none"/>
        </w:rPr>
      </w:pPr>
      <w:r>
        <w:rPr>
          <w:rFonts w:hint="eastAsia"/>
          <w:color w:val="auto"/>
          <w:highlight w:val="none"/>
          <w:lang w:val="en-US" w:eastAsia="zh-CN"/>
        </w:rPr>
        <w:t>4.</w:t>
      </w:r>
      <w:r>
        <w:rPr>
          <w:color w:val="auto"/>
          <w:highlight w:val="none"/>
          <w:lang w:val="en-US"/>
        </w:rPr>
        <w:t>重要生境及重要物种</w:t>
      </w:r>
    </w:p>
    <w:p w14:paraId="3CA60E17">
      <w:pPr>
        <w:bidi w:val="0"/>
        <w:rPr>
          <w:color w:val="auto"/>
          <w:highlight w:val="none"/>
          <w:lang w:val="en-US"/>
        </w:rPr>
      </w:pPr>
      <w:r>
        <w:rPr>
          <w:color w:val="auto"/>
          <w:highlight w:val="none"/>
          <w:lang w:val="en-US"/>
        </w:rPr>
        <w:t>根据环评单位现场调查，收集资料并咨询相关管理部门，评价区内无迁徙鸟类的重要繁殖地、停歇地、越冬地以及野生动物迁徙通道等重要生境。</w:t>
      </w:r>
    </w:p>
    <w:p w14:paraId="3282DDD9">
      <w:pPr>
        <w:bidi w:val="0"/>
        <w:rPr>
          <w:color w:val="auto"/>
          <w:highlight w:val="none"/>
          <w:lang w:val="en-US"/>
        </w:rPr>
      </w:pPr>
      <w:r>
        <w:rPr>
          <w:color w:val="auto"/>
          <w:highlight w:val="none"/>
        </w:rPr>
        <w:t>根据</w:t>
      </w:r>
      <w:r>
        <w:rPr>
          <w:color w:val="auto"/>
          <w:highlight w:val="none"/>
          <w:lang w:val="en-US"/>
        </w:rPr>
        <w:t>《环境影响评价技术导则 生态影响》（HJ 19-2022）相关内容，</w:t>
      </w:r>
      <w:r>
        <w:rPr>
          <w:color w:val="auto"/>
          <w:highlight w:val="none"/>
        </w:rPr>
        <w:t>重要物种是指在生态影响评价中需要重点关注、具有较高保护价值或保护要求的物种</w:t>
      </w:r>
      <w:r>
        <w:rPr>
          <w:color w:val="auto"/>
          <w:highlight w:val="none"/>
          <w:lang w:val="en-US"/>
        </w:rPr>
        <w:t>，</w:t>
      </w:r>
      <w:r>
        <w:rPr>
          <w:color w:val="auto"/>
          <w:highlight w:val="none"/>
        </w:rPr>
        <w:t>包括国家及地方重点保护野生动植物名录所列的物种</w:t>
      </w:r>
      <w:r>
        <w:rPr>
          <w:color w:val="auto"/>
          <w:highlight w:val="none"/>
          <w:lang w:val="en-US"/>
        </w:rPr>
        <w:t>，</w:t>
      </w:r>
      <w:r>
        <w:rPr>
          <w:color w:val="auto"/>
          <w:highlight w:val="none"/>
        </w:rPr>
        <w:t>《中国生物多样性红色名录》中列为极危</w:t>
      </w:r>
      <w:r>
        <w:rPr>
          <w:color w:val="auto"/>
          <w:highlight w:val="none"/>
          <w:lang w:val="en-US"/>
        </w:rPr>
        <w:t>（Critically Endangered）、</w:t>
      </w:r>
      <w:r>
        <w:rPr>
          <w:color w:val="auto"/>
          <w:highlight w:val="none"/>
        </w:rPr>
        <w:t>濒危</w:t>
      </w:r>
      <w:r>
        <w:rPr>
          <w:color w:val="auto"/>
          <w:highlight w:val="none"/>
          <w:lang w:val="en-US"/>
        </w:rPr>
        <w:t>（Endangered）</w:t>
      </w:r>
      <w:r>
        <w:rPr>
          <w:color w:val="auto"/>
          <w:highlight w:val="none"/>
        </w:rPr>
        <w:t>和易危</w:t>
      </w:r>
      <w:r>
        <w:rPr>
          <w:color w:val="auto"/>
          <w:highlight w:val="none"/>
          <w:lang w:val="en-US"/>
        </w:rPr>
        <w:t>（Vulnerable）</w:t>
      </w:r>
      <w:r>
        <w:rPr>
          <w:color w:val="auto"/>
          <w:highlight w:val="none"/>
        </w:rPr>
        <w:t>的物种</w:t>
      </w:r>
      <w:r>
        <w:rPr>
          <w:color w:val="auto"/>
          <w:highlight w:val="none"/>
          <w:lang w:val="en-US"/>
        </w:rPr>
        <w:t>，</w:t>
      </w:r>
      <w:r>
        <w:rPr>
          <w:color w:val="auto"/>
          <w:highlight w:val="none"/>
        </w:rPr>
        <w:t>国家和地方政府列入拯救保护的极小种群物种</w:t>
      </w:r>
      <w:r>
        <w:rPr>
          <w:color w:val="auto"/>
          <w:highlight w:val="none"/>
          <w:lang w:val="en-US"/>
        </w:rPr>
        <w:t>，</w:t>
      </w:r>
      <w:r>
        <w:rPr>
          <w:color w:val="auto"/>
          <w:highlight w:val="none"/>
        </w:rPr>
        <w:t>特有种以及古树名木等。</w:t>
      </w:r>
    </w:p>
    <w:p w14:paraId="0EDE2858">
      <w:pPr>
        <w:bidi w:val="0"/>
        <w:rPr>
          <w:color w:val="auto"/>
          <w:highlight w:val="none"/>
          <w:lang w:val="en-US"/>
        </w:rPr>
      </w:pPr>
      <w:r>
        <w:rPr>
          <w:color w:val="auto"/>
          <w:highlight w:val="none"/>
          <w:lang w:val="en-US"/>
        </w:rPr>
        <w:t>根据资料收集及现场调查，</w:t>
      </w:r>
      <w:r>
        <w:rPr>
          <w:color w:val="auto"/>
          <w:highlight w:val="none"/>
        </w:rPr>
        <w:t>评价区</w:t>
      </w:r>
      <w:r>
        <w:rPr>
          <w:color w:val="auto"/>
          <w:highlight w:val="none"/>
          <w:lang w:val="en-US"/>
        </w:rPr>
        <w:t>未</w:t>
      </w:r>
      <w:r>
        <w:rPr>
          <w:color w:val="auto"/>
          <w:highlight w:val="none"/>
        </w:rPr>
        <w:t>发现有重要物种。</w:t>
      </w:r>
    </w:p>
    <w:p w14:paraId="2CC12494">
      <w:pPr>
        <w:pStyle w:val="6"/>
        <w:bidi w:val="0"/>
        <w:rPr>
          <w:color w:val="auto"/>
          <w:highlight w:val="none"/>
        </w:rPr>
      </w:pPr>
      <w:r>
        <w:rPr>
          <w:rFonts w:hint="eastAsia"/>
          <w:color w:val="auto"/>
          <w:highlight w:val="none"/>
          <w:lang w:val="en-US" w:eastAsia="zh-CN"/>
        </w:rPr>
        <w:t>4.2.6.9</w:t>
      </w:r>
      <w:r>
        <w:rPr>
          <w:color w:val="auto"/>
          <w:highlight w:val="none"/>
          <w:lang w:val="en-US"/>
        </w:rPr>
        <w:t>生态现状调查结论</w:t>
      </w:r>
    </w:p>
    <w:p w14:paraId="23556B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rPr>
        <w:t>项目区域内多以农田生态系统为主，区域评价区域内群落结构简单，物种数量较少，丰富度不高。项目位于I-1-2wt小兴安岭山地丘陵生态维护保土区。受农田开垦及人类经济活动影响，区域内植被以一般商品林为主，植被类型主要为蒙古栎、兴安落叶松等。评价范围内分布的7处疏林天然林为以蒙古栎、兴安落叶松为主的落叶阔叶常绿针叶混交林。周边区域内鸟类较少营巢繁殖，区域内主要分布动物为鸟类、小型哺乳动物等。调查范围内内无重要物种的天然集中分布区、栖息地等重要生境。区域评价区域内群落结构简单，物种数量较少，丰富度不高，总体生态环境质量一般。</w:t>
      </w:r>
    </w:p>
    <w:bookmarkEnd w:id="389"/>
    <w:p w14:paraId="1AA4DFD9">
      <w:pPr>
        <w:pStyle w:val="4"/>
        <w:rPr>
          <w:rFonts w:hint="default" w:ascii="Times New Roman" w:hAnsi="Times New Roman" w:cs="Times New Roman"/>
          <w:color w:val="auto"/>
          <w:highlight w:val="none"/>
        </w:rPr>
      </w:pPr>
      <w:bookmarkStart w:id="392" w:name="_Toc57713667"/>
      <w:bookmarkStart w:id="393" w:name="_Toc7338900"/>
      <w:bookmarkStart w:id="394" w:name="_Toc6256"/>
      <w:r>
        <w:rPr>
          <w:rFonts w:hint="default" w:ascii="Times New Roman" w:hAnsi="Times New Roman" w:cs="Times New Roman"/>
          <w:color w:val="auto"/>
          <w:highlight w:val="none"/>
        </w:rPr>
        <w:t>4.3区域污染源调查</w:t>
      </w:r>
      <w:bookmarkEnd w:id="392"/>
      <w:bookmarkEnd w:id="393"/>
      <w:bookmarkEnd w:id="394"/>
    </w:p>
    <w:p w14:paraId="712756C0">
      <w:pPr>
        <w:pStyle w:val="5"/>
        <w:spacing w:line="500" w:lineRule="exact"/>
        <w:rPr>
          <w:rFonts w:hint="default" w:ascii="Times New Roman" w:hAnsi="Times New Roman" w:cs="Times New Roman"/>
          <w:color w:val="auto"/>
          <w:highlight w:val="none"/>
        </w:rPr>
      </w:pPr>
      <w:bookmarkStart w:id="395" w:name="_Toc57713668"/>
      <w:bookmarkStart w:id="396" w:name="_Toc10419"/>
      <w:bookmarkStart w:id="397" w:name="_Toc7338901"/>
      <w:r>
        <w:rPr>
          <w:rFonts w:hint="default" w:ascii="Times New Roman" w:hAnsi="Times New Roman" w:cs="Times New Roman"/>
          <w:color w:val="auto"/>
          <w:highlight w:val="none"/>
        </w:rPr>
        <w:t>4.3.1大气污染源</w:t>
      </w:r>
      <w:bookmarkEnd w:id="395"/>
      <w:bookmarkEnd w:id="396"/>
      <w:bookmarkEnd w:id="397"/>
    </w:p>
    <w:p w14:paraId="035A68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根据调查，本项目大气评价范围无规模化养殖场和养殖户，项目周边大气污染源主要为</w:t>
      </w:r>
      <w:r>
        <w:rPr>
          <w:rFonts w:hint="eastAsia" w:eastAsia="宋体" w:cs="Times New Roman"/>
          <w:color w:val="auto"/>
          <w:highlight w:val="none"/>
          <w:lang w:val="en-US" w:eastAsia="zh-CN"/>
        </w:rPr>
        <w:t>厂区南侧4.2km的孙吴县垃圾焚烧厂</w:t>
      </w:r>
      <w:r>
        <w:rPr>
          <w:rFonts w:hint="default" w:ascii="Times New Roman" w:hAnsi="Times New Roman" w:eastAsia="宋体" w:cs="Times New Roman"/>
          <w:color w:val="auto"/>
          <w:highlight w:val="none"/>
        </w:rPr>
        <w:t>，排放污染物主要为二氧化硫、氮氧物及颗粒物。</w:t>
      </w:r>
    </w:p>
    <w:p w14:paraId="209F16A5">
      <w:pPr>
        <w:pStyle w:val="5"/>
        <w:spacing w:line="500" w:lineRule="exact"/>
        <w:rPr>
          <w:rFonts w:hint="default" w:ascii="Times New Roman" w:hAnsi="Times New Roman" w:cs="Times New Roman"/>
          <w:color w:val="auto"/>
          <w:highlight w:val="none"/>
        </w:rPr>
      </w:pPr>
      <w:bookmarkStart w:id="398" w:name="_Toc13477"/>
      <w:bookmarkStart w:id="399" w:name="_Toc57713669"/>
      <w:bookmarkStart w:id="400" w:name="_Toc7338902"/>
      <w:r>
        <w:rPr>
          <w:rFonts w:hint="default" w:ascii="Times New Roman" w:hAnsi="Times New Roman" w:cs="Times New Roman"/>
          <w:color w:val="auto"/>
          <w:highlight w:val="none"/>
        </w:rPr>
        <w:t>4.3.2地表水污染源</w:t>
      </w:r>
      <w:bookmarkEnd w:id="398"/>
      <w:bookmarkEnd w:id="399"/>
      <w:bookmarkEnd w:id="400"/>
    </w:p>
    <w:p w14:paraId="7EC8FAC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本项目地表水污染主要为农村生活污水及农药化肥地表径流污染。</w:t>
      </w:r>
    </w:p>
    <w:p w14:paraId="483BE129">
      <w:pPr>
        <w:pStyle w:val="5"/>
        <w:spacing w:line="500" w:lineRule="exact"/>
        <w:rPr>
          <w:rFonts w:hint="default" w:ascii="Times New Roman" w:hAnsi="Times New Roman" w:cs="Times New Roman"/>
          <w:color w:val="auto"/>
          <w:highlight w:val="none"/>
        </w:rPr>
      </w:pPr>
      <w:bookmarkStart w:id="401" w:name="_Toc11726"/>
      <w:bookmarkStart w:id="402" w:name="_Toc57713670"/>
      <w:bookmarkStart w:id="403" w:name="_Toc7338903"/>
      <w:r>
        <w:rPr>
          <w:rFonts w:hint="default" w:ascii="Times New Roman" w:hAnsi="Times New Roman" w:cs="Times New Roman"/>
          <w:color w:val="auto"/>
          <w:highlight w:val="none"/>
        </w:rPr>
        <w:t>4.3.3地下水污染源</w:t>
      </w:r>
      <w:bookmarkEnd w:id="401"/>
      <w:bookmarkEnd w:id="402"/>
      <w:bookmarkEnd w:id="403"/>
    </w:p>
    <w:p w14:paraId="6F8BDF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本项目地下水污染源主要为农药化肥，经降雨和灌溉随水淋溶进入地下水，对地下水造成污染。</w:t>
      </w:r>
    </w:p>
    <w:p w14:paraId="11B2333C">
      <w:pPr>
        <w:pStyle w:val="5"/>
        <w:spacing w:line="500" w:lineRule="exact"/>
        <w:rPr>
          <w:rFonts w:hint="default" w:ascii="Times New Roman" w:hAnsi="Times New Roman" w:cs="Times New Roman"/>
          <w:color w:val="auto"/>
          <w:highlight w:val="none"/>
        </w:rPr>
      </w:pPr>
      <w:bookmarkStart w:id="404" w:name="_Toc57713671"/>
      <w:bookmarkStart w:id="405" w:name="_Toc7338904"/>
      <w:bookmarkStart w:id="406" w:name="_Toc12743"/>
      <w:r>
        <w:rPr>
          <w:rFonts w:hint="default" w:ascii="Times New Roman" w:hAnsi="Times New Roman" w:cs="Times New Roman"/>
          <w:color w:val="auto"/>
          <w:highlight w:val="none"/>
        </w:rPr>
        <w:t>4.3.4噪声污染源</w:t>
      </w:r>
      <w:bookmarkEnd w:id="404"/>
      <w:bookmarkEnd w:id="405"/>
      <w:bookmarkEnd w:id="406"/>
    </w:p>
    <w:p w14:paraId="5DAF1AE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拟建项目属《声环境质量标准》（GB3096-2008）中的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类区，距离居民较远，噪声污染主要为农耕时机械噪声。</w:t>
      </w:r>
    </w:p>
    <w:p w14:paraId="2F19D7EE">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32582E72">
      <w:pPr>
        <w:pStyle w:val="3"/>
        <w:spacing w:line="500" w:lineRule="exact"/>
        <w:rPr>
          <w:rFonts w:hint="default" w:ascii="Times New Roman" w:hAnsi="Times New Roman" w:eastAsia="黑体" w:cs="Times New Roman"/>
          <w:color w:val="auto"/>
          <w:highlight w:val="none"/>
          <w:lang w:eastAsia="zh-CN"/>
        </w:rPr>
      </w:pPr>
      <w:bookmarkStart w:id="407" w:name="_Toc57713672"/>
      <w:bookmarkStart w:id="408" w:name="_Toc17456"/>
      <w:r>
        <w:rPr>
          <w:rFonts w:hint="default" w:ascii="Times New Roman" w:hAnsi="Times New Roman" w:cs="Times New Roman"/>
          <w:color w:val="auto"/>
          <w:highlight w:val="none"/>
        </w:rPr>
        <w:t>5环境影响预测与评价</w:t>
      </w:r>
      <w:bookmarkEnd w:id="262"/>
      <w:bookmarkEnd w:id="263"/>
      <w:bookmarkEnd w:id="264"/>
      <w:bookmarkEnd w:id="265"/>
      <w:bookmarkEnd w:id="266"/>
      <w:bookmarkEnd w:id="267"/>
      <w:bookmarkEnd w:id="268"/>
      <w:bookmarkEnd w:id="407"/>
      <w:bookmarkEnd w:id="408"/>
    </w:p>
    <w:p w14:paraId="606B12B8">
      <w:pPr>
        <w:pStyle w:val="4"/>
        <w:rPr>
          <w:rFonts w:hint="default" w:ascii="Times New Roman" w:hAnsi="Times New Roman" w:cs="Times New Roman"/>
          <w:snapToGrid w:val="0"/>
          <w:color w:val="auto"/>
          <w:kern w:val="0"/>
          <w:highlight w:val="none"/>
        </w:rPr>
      </w:pPr>
      <w:bookmarkStart w:id="409" w:name="_Toc415146702"/>
      <w:bookmarkStart w:id="410" w:name="_Toc480447670"/>
      <w:bookmarkStart w:id="411" w:name="_Toc486255082"/>
      <w:bookmarkStart w:id="412" w:name="_Toc11237"/>
      <w:bookmarkStart w:id="413" w:name="_Toc57713673"/>
      <w:r>
        <w:rPr>
          <w:rFonts w:hint="default" w:ascii="Times New Roman" w:hAnsi="Times New Roman" w:cs="Times New Roman"/>
          <w:snapToGrid w:val="0"/>
          <w:color w:val="auto"/>
          <w:kern w:val="0"/>
          <w:highlight w:val="none"/>
        </w:rPr>
        <w:t>5.1施工期环境影响</w:t>
      </w:r>
      <w:bookmarkEnd w:id="409"/>
      <w:bookmarkEnd w:id="410"/>
      <w:bookmarkEnd w:id="411"/>
      <w:bookmarkStart w:id="414" w:name="_Toc486255083"/>
      <w:r>
        <w:rPr>
          <w:rFonts w:hint="default" w:ascii="Times New Roman" w:hAnsi="Times New Roman" w:cs="Times New Roman"/>
          <w:snapToGrid w:val="0"/>
          <w:color w:val="auto"/>
          <w:kern w:val="0"/>
          <w:highlight w:val="none"/>
        </w:rPr>
        <w:t>预测与评价</w:t>
      </w:r>
      <w:bookmarkEnd w:id="412"/>
      <w:bookmarkEnd w:id="413"/>
    </w:p>
    <w:p w14:paraId="191BE7ED">
      <w:pPr>
        <w:pStyle w:val="5"/>
        <w:spacing w:line="500" w:lineRule="exact"/>
        <w:rPr>
          <w:rFonts w:hint="default" w:ascii="Times New Roman" w:hAnsi="Times New Roman" w:cs="Times New Roman"/>
          <w:color w:val="auto"/>
          <w:highlight w:val="none"/>
        </w:rPr>
      </w:pPr>
      <w:bookmarkStart w:id="415" w:name="_Toc57713674"/>
      <w:bookmarkStart w:id="416" w:name="_Toc27177"/>
      <w:r>
        <w:rPr>
          <w:rFonts w:hint="default" w:ascii="Times New Roman" w:hAnsi="Times New Roman" w:cs="Times New Roman"/>
          <w:color w:val="auto"/>
          <w:highlight w:val="none"/>
        </w:rPr>
        <w:t>5.1.1环境空气影响</w:t>
      </w:r>
      <w:bookmarkEnd w:id="414"/>
      <w:r>
        <w:rPr>
          <w:rFonts w:hint="default" w:ascii="Times New Roman" w:hAnsi="Times New Roman" w:cs="Times New Roman"/>
          <w:color w:val="auto"/>
          <w:highlight w:val="none"/>
        </w:rPr>
        <w:t>预测与评价</w:t>
      </w:r>
      <w:bookmarkEnd w:id="415"/>
      <w:bookmarkEnd w:id="416"/>
    </w:p>
    <w:p w14:paraId="2EFC110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建设施工过程中，燃油动力机械和运输车辆排放的废气，挖土、运土、填土、夯实和汽车运输过程的扬尘，都会给周围环境空气带来污染。污染大气的主要因子是NO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、CO、SO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和扬尘，尤其扬尘污染最为严重。</w:t>
      </w:r>
    </w:p>
    <w:p w14:paraId="4F1105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14:paraId="710B651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整个施工期而言，施工产生的扬尘主要集中在土建施工阶段。按起尘的原因可分为风力起尘和动力起尘，其中风力起尘主要是由于露天堆放的建材（如沙土、水泥等）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不同车速和地面清洁程度的汽车扬尘产生情况见下表。</w:t>
      </w:r>
    </w:p>
    <w:p w14:paraId="6D23B0A9">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表5-1-1不同车速和地面清洁程度的汽车扬尘    单位：kg/辆·km</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1183"/>
        <w:gridCol w:w="1183"/>
        <w:gridCol w:w="1181"/>
        <w:gridCol w:w="1181"/>
        <w:gridCol w:w="1181"/>
        <w:gridCol w:w="1179"/>
      </w:tblGrid>
      <w:tr w14:paraId="65B3A8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shd w:val="clear" w:color="auto" w:fill="auto"/>
            <w:vAlign w:val="center"/>
          </w:tcPr>
          <w:p w14:paraId="616311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P(kg/m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p w14:paraId="68FD075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车速</w:t>
            </w:r>
          </w:p>
        </w:tc>
        <w:tc>
          <w:tcPr>
            <w:tcW w:w="712" w:type="pct"/>
            <w:shd w:val="clear" w:color="auto" w:fill="auto"/>
            <w:vAlign w:val="center"/>
          </w:tcPr>
          <w:p w14:paraId="6E81E5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c>
          <w:tcPr>
            <w:tcW w:w="712" w:type="pct"/>
            <w:shd w:val="clear" w:color="auto" w:fill="auto"/>
            <w:vAlign w:val="center"/>
          </w:tcPr>
          <w:p w14:paraId="2C262BB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w:t>
            </w:r>
          </w:p>
        </w:tc>
        <w:tc>
          <w:tcPr>
            <w:tcW w:w="711" w:type="pct"/>
            <w:shd w:val="clear" w:color="auto" w:fill="auto"/>
            <w:vAlign w:val="center"/>
          </w:tcPr>
          <w:p w14:paraId="44443B6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c>
          <w:tcPr>
            <w:tcW w:w="711" w:type="pct"/>
            <w:shd w:val="clear" w:color="auto" w:fill="auto"/>
            <w:vAlign w:val="center"/>
          </w:tcPr>
          <w:p w14:paraId="1A755C0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w:t>
            </w:r>
          </w:p>
        </w:tc>
        <w:tc>
          <w:tcPr>
            <w:tcW w:w="711" w:type="pct"/>
            <w:shd w:val="clear" w:color="auto" w:fill="auto"/>
            <w:vAlign w:val="center"/>
          </w:tcPr>
          <w:p w14:paraId="501A22B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c>
          <w:tcPr>
            <w:tcW w:w="711" w:type="pct"/>
            <w:shd w:val="clear" w:color="auto" w:fill="auto"/>
            <w:vAlign w:val="center"/>
          </w:tcPr>
          <w:p w14:paraId="213B33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56757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shd w:val="clear" w:color="auto" w:fill="auto"/>
            <w:vAlign w:val="center"/>
          </w:tcPr>
          <w:p w14:paraId="0E0045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5(km/hr)</w:t>
            </w:r>
          </w:p>
        </w:tc>
        <w:tc>
          <w:tcPr>
            <w:tcW w:w="712" w:type="pct"/>
            <w:shd w:val="clear" w:color="auto" w:fill="auto"/>
            <w:vAlign w:val="center"/>
          </w:tcPr>
          <w:p w14:paraId="5BD9D3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0.051056</w:t>
            </w:r>
          </w:p>
        </w:tc>
        <w:tc>
          <w:tcPr>
            <w:tcW w:w="712" w:type="pct"/>
            <w:shd w:val="clear" w:color="auto" w:fill="auto"/>
            <w:vAlign w:val="center"/>
          </w:tcPr>
          <w:p w14:paraId="75D252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0.085865</w:t>
            </w:r>
          </w:p>
        </w:tc>
        <w:tc>
          <w:tcPr>
            <w:tcW w:w="711" w:type="pct"/>
            <w:shd w:val="clear" w:color="auto" w:fill="auto"/>
            <w:vAlign w:val="center"/>
          </w:tcPr>
          <w:p w14:paraId="0DC0BF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0.116382</w:t>
            </w:r>
          </w:p>
        </w:tc>
        <w:tc>
          <w:tcPr>
            <w:tcW w:w="711" w:type="pct"/>
            <w:shd w:val="clear" w:color="auto" w:fill="auto"/>
            <w:vAlign w:val="center"/>
          </w:tcPr>
          <w:p w14:paraId="22FC364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0.144408</w:t>
            </w:r>
          </w:p>
        </w:tc>
        <w:tc>
          <w:tcPr>
            <w:tcW w:w="711" w:type="pct"/>
            <w:shd w:val="clear" w:color="auto" w:fill="auto"/>
            <w:vAlign w:val="center"/>
          </w:tcPr>
          <w:p w14:paraId="23219F4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0.170715</w:t>
            </w:r>
          </w:p>
        </w:tc>
        <w:tc>
          <w:tcPr>
            <w:tcW w:w="711" w:type="pct"/>
            <w:shd w:val="clear" w:color="auto" w:fill="auto"/>
            <w:vAlign w:val="center"/>
          </w:tcPr>
          <w:p w14:paraId="1B1BC76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0.287108</w:t>
            </w:r>
          </w:p>
        </w:tc>
      </w:tr>
      <w:tr w14:paraId="26A43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shd w:val="clear" w:color="auto" w:fill="auto"/>
            <w:vAlign w:val="center"/>
          </w:tcPr>
          <w:p w14:paraId="2D737DF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10(km/hr)</w:t>
            </w:r>
          </w:p>
        </w:tc>
        <w:tc>
          <w:tcPr>
            <w:tcW w:w="712" w:type="pct"/>
            <w:shd w:val="clear" w:color="auto" w:fill="auto"/>
            <w:vAlign w:val="center"/>
          </w:tcPr>
          <w:p w14:paraId="028061D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0.102112</w:t>
            </w:r>
          </w:p>
        </w:tc>
        <w:tc>
          <w:tcPr>
            <w:tcW w:w="712" w:type="pct"/>
            <w:shd w:val="clear" w:color="auto" w:fill="auto"/>
            <w:vAlign w:val="center"/>
          </w:tcPr>
          <w:p w14:paraId="466D167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0.171731</w:t>
            </w:r>
          </w:p>
        </w:tc>
        <w:tc>
          <w:tcPr>
            <w:tcW w:w="711" w:type="pct"/>
            <w:shd w:val="clear" w:color="auto" w:fill="auto"/>
            <w:vAlign w:val="center"/>
          </w:tcPr>
          <w:p w14:paraId="10432F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0.232764</w:t>
            </w:r>
          </w:p>
        </w:tc>
        <w:tc>
          <w:tcPr>
            <w:tcW w:w="711" w:type="pct"/>
            <w:shd w:val="clear" w:color="auto" w:fill="auto"/>
            <w:vAlign w:val="center"/>
          </w:tcPr>
          <w:p w14:paraId="69D3699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0.288815</w:t>
            </w:r>
          </w:p>
        </w:tc>
        <w:tc>
          <w:tcPr>
            <w:tcW w:w="711" w:type="pct"/>
            <w:shd w:val="clear" w:color="auto" w:fill="auto"/>
            <w:vAlign w:val="center"/>
          </w:tcPr>
          <w:p w14:paraId="7349E9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0.341431</w:t>
            </w:r>
          </w:p>
        </w:tc>
        <w:tc>
          <w:tcPr>
            <w:tcW w:w="711" w:type="pct"/>
            <w:shd w:val="clear" w:color="auto" w:fill="auto"/>
            <w:vAlign w:val="center"/>
          </w:tcPr>
          <w:p w14:paraId="631B71D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0.574216</w:t>
            </w:r>
          </w:p>
        </w:tc>
      </w:tr>
      <w:tr w14:paraId="1DF3F0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shd w:val="clear" w:color="auto" w:fill="auto"/>
            <w:vAlign w:val="center"/>
          </w:tcPr>
          <w:p w14:paraId="309E4F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15(km/hr)</w:t>
            </w:r>
          </w:p>
        </w:tc>
        <w:tc>
          <w:tcPr>
            <w:tcW w:w="712" w:type="pct"/>
            <w:shd w:val="clear" w:color="auto" w:fill="auto"/>
            <w:vAlign w:val="center"/>
          </w:tcPr>
          <w:p w14:paraId="30549D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0.153167</w:t>
            </w:r>
          </w:p>
        </w:tc>
        <w:tc>
          <w:tcPr>
            <w:tcW w:w="712" w:type="pct"/>
            <w:shd w:val="clear" w:color="auto" w:fill="auto"/>
            <w:vAlign w:val="center"/>
          </w:tcPr>
          <w:p w14:paraId="2716F6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0.257596</w:t>
            </w:r>
          </w:p>
        </w:tc>
        <w:tc>
          <w:tcPr>
            <w:tcW w:w="711" w:type="pct"/>
            <w:shd w:val="clear" w:color="auto" w:fill="auto"/>
            <w:vAlign w:val="center"/>
          </w:tcPr>
          <w:p w14:paraId="592DBD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0.349146</w:t>
            </w:r>
          </w:p>
        </w:tc>
        <w:tc>
          <w:tcPr>
            <w:tcW w:w="711" w:type="pct"/>
            <w:shd w:val="clear" w:color="auto" w:fill="auto"/>
            <w:vAlign w:val="center"/>
          </w:tcPr>
          <w:p w14:paraId="15BFF12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0.433223</w:t>
            </w:r>
          </w:p>
        </w:tc>
        <w:tc>
          <w:tcPr>
            <w:tcW w:w="711" w:type="pct"/>
            <w:shd w:val="clear" w:color="auto" w:fill="auto"/>
            <w:vAlign w:val="center"/>
          </w:tcPr>
          <w:p w14:paraId="67C941A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0.512146</w:t>
            </w:r>
          </w:p>
        </w:tc>
        <w:tc>
          <w:tcPr>
            <w:tcW w:w="711" w:type="pct"/>
            <w:shd w:val="clear" w:color="auto" w:fill="auto"/>
            <w:vAlign w:val="center"/>
          </w:tcPr>
          <w:p w14:paraId="6903E94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0.861323</w:t>
            </w:r>
          </w:p>
        </w:tc>
      </w:tr>
      <w:tr w14:paraId="7A58AC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3" w:type="pct"/>
            <w:shd w:val="clear" w:color="auto" w:fill="auto"/>
            <w:vAlign w:val="center"/>
          </w:tcPr>
          <w:p w14:paraId="2F85DE8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25(km/hr)</w:t>
            </w:r>
          </w:p>
        </w:tc>
        <w:tc>
          <w:tcPr>
            <w:tcW w:w="712" w:type="pct"/>
            <w:shd w:val="clear" w:color="auto" w:fill="auto"/>
            <w:vAlign w:val="center"/>
          </w:tcPr>
          <w:p w14:paraId="63F66ED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0.255279</w:t>
            </w:r>
          </w:p>
        </w:tc>
        <w:tc>
          <w:tcPr>
            <w:tcW w:w="712" w:type="pct"/>
            <w:shd w:val="clear" w:color="auto" w:fill="auto"/>
            <w:vAlign w:val="center"/>
          </w:tcPr>
          <w:p w14:paraId="0FCADA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0.429326</w:t>
            </w:r>
          </w:p>
        </w:tc>
        <w:tc>
          <w:tcPr>
            <w:tcW w:w="711" w:type="pct"/>
            <w:shd w:val="clear" w:color="auto" w:fill="auto"/>
            <w:vAlign w:val="center"/>
          </w:tcPr>
          <w:p w14:paraId="062F508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0.58191</w:t>
            </w:r>
          </w:p>
        </w:tc>
        <w:tc>
          <w:tcPr>
            <w:tcW w:w="711" w:type="pct"/>
            <w:shd w:val="clear" w:color="auto" w:fill="auto"/>
            <w:vAlign w:val="center"/>
          </w:tcPr>
          <w:p w14:paraId="773A7A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0.722038</w:t>
            </w:r>
          </w:p>
        </w:tc>
        <w:tc>
          <w:tcPr>
            <w:tcW w:w="711" w:type="pct"/>
            <w:shd w:val="clear" w:color="auto" w:fill="auto"/>
            <w:vAlign w:val="center"/>
          </w:tcPr>
          <w:p w14:paraId="4C43A5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0.853577</w:t>
            </w:r>
          </w:p>
        </w:tc>
        <w:tc>
          <w:tcPr>
            <w:tcW w:w="711" w:type="pct"/>
            <w:shd w:val="clear" w:color="auto" w:fill="auto"/>
            <w:vAlign w:val="center"/>
          </w:tcPr>
          <w:p w14:paraId="34CF98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1.435539</w:t>
            </w:r>
          </w:p>
        </w:tc>
      </w:tr>
    </w:tbl>
    <w:p w14:paraId="038BA26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扬尘的另一个主要原因是露天堆场和裸露场地的风力扬尘。由于施工的需要，一些建材需露天堆放；一些施工点表层土壤需人工开挖、堆放，在气候干燥又有风的情况下，会产生扬尘。不同粒径尘粒的沉降速度见表5-1-2。</w:t>
      </w:r>
    </w:p>
    <w:p w14:paraId="5EBA4E4C">
      <w:pPr>
        <w:pStyle w:val="210"/>
        <w:rPr>
          <w:rFonts w:hint="default" w:ascii="Times New Roman" w:hAnsi="Times New Roman" w:cs="Times New Roman"/>
          <w:snapToGrid w:val="0"/>
          <w:color w:val="auto"/>
          <w:kern w:val="0"/>
          <w:highlight w:val="none"/>
        </w:rPr>
      </w:pPr>
    </w:p>
    <w:p w14:paraId="456828C8">
      <w:pPr>
        <w:pStyle w:val="210"/>
        <w:rPr>
          <w:rFonts w:hint="default" w:ascii="Times New Roman" w:hAnsi="Times New Roman" w:cs="Times New Roman"/>
          <w:snapToGrid w:val="0"/>
          <w:color w:val="auto"/>
          <w:kern w:val="0"/>
          <w:highlight w:val="none"/>
        </w:rPr>
      </w:pPr>
    </w:p>
    <w:p w14:paraId="33444BF5">
      <w:pPr>
        <w:pStyle w:val="210"/>
        <w:rPr>
          <w:rFonts w:hint="default" w:ascii="Times New Roman" w:hAnsi="Times New Roman" w:cs="Times New Roman"/>
          <w:snapToGrid w:val="0"/>
          <w:color w:val="auto"/>
          <w:kern w:val="0"/>
          <w:highlight w:val="none"/>
        </w:rPr>
      </w:pPr>
    </w:p>
    <w:p w14:paraId="5524BC92">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表5-1-2不同粒径尘粒的沉降速度</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7"/>
        <w:gridCol w:w="925"/>
        <w:gridCol w:w="925"/>
        <w:gridCol w:w="925"/>
        <w:gridCol w:w="925"/>
        <w:gridCol w:w="925"/>
        <w:gridCol w:w="926"/>
        <w:gridCol w:w="928"/>
      </w:tblGrid>
      <w:tr w14:paraId="7F0D2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041AFDE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shd w:val="clear" w:color="auto" w:fill="auto"/>
            <w:vAlign w:val="center"/>
          </w:tcPr>
          <w:p w14:paraId="5395028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c>
          <w:tcPr>
            <w:tcW w:w="557" w:type="pct"/>
            <w:shd w:val="clear" w:color="auto" w:fill="auto"/>
            <w:vAlign w:val="center"/>
          </w:tcPr>
          <w:p w14:paraId="550DB28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c>
          <w:tcPr>
            <w:tcW w:w="557" w:type="pct"/>
            <w:shd w:val="clear" w:color="auto" w:fill="auto"/>
            <w:vAlign w:val="center"/>
          </w:tcPr>
          <w:p w14:paraId="33570C0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557" w:type="pct"/>
            <w:shd w:val="clear" w:color="auto" w:fill="auto"/>
            <w:vAlign w:val="center"/>
          </w:tcPr>
          <w:p w14:paraId="41C20B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40</w:t>
            </w:r>
          </w:p>
        </w:tc>
        <w:tc>
          <w:tcPr>
            <w:tcW w:w="557" w:type="pct"/>
            <w:shd w:val="clear" w:color="auto" w:fill="auto"/>
            <w:vAlign w:val="center"/>
          </w:tcPr>
          <w:p w14:paraId="4C19705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557" w:type="pct"/>
            <w:shd w:val="clear" w:color="auto" w:fill="auto"/>
            <w:vAlign w:val="center"/>
          </w:tcPr>
          <w:p w14:paraId="64B0014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c>
          <w:tcPr>
            <w:tcW w:w="558" w:type="pct"/>
            <w:shd w:val="clear" w:color="auto" w:fill="auto"/>
            <w:vAlign w:val="center"/>
          </w:tcPr>
          <w:p w14:paraId="54B6FCF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70</w:t>
            </w:r>
          </w:p>
        </w:tc>
      </w:tr>
      <w:tr w14:paraId="1BE215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658B954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shd w:val="clear" w:color="auto" w:fill="auto"/>
            <w:vAlign w:val="center"/>
          </w:tcPr>
          <w:p w14:paraId="2A98E45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0.003</w:t>
            </w:r>
          </w:p>
        </w:tc>
        <w:tc>
          <w:tcPr>
            <w:tcW w:w="557" w:type="pct"/>
            <w:shd w:val="clear" w:color="auto" w:fill="auto"/>
            <w:vAlign w:val="center"/>
          </w:tcPr>
          <w:p w14:paraId="7E52DA9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0.012</w:t>
            </w:r>
          </w:p>
        </w:tc>
        <w:tc>
          <w:tcPr>
            <w:tcW w:w="557" w:type="pct"/>
            <w:shd w:val="clear" w:color="auto" w:fill="auto"/>
            <w:vAlign w:val="center"/>
          </w:tcPr>
          <w:p w14:paraId="5F43B05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0.027</w:t>
            </w:r>
          </w:p>
        </w:tc>
        <w:tc>
          <w:tcPr>
            <w:tcW w:w="557" w:type="pct"/>
            <w:shd w:val="clear" w:color="auto" w:fill="auto"/>
            <w:vAlign w:val="center"/>
          </w:tcPr>
          <w:p w14:paraId="6D192E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0.048</w:t>
            </w:r>
          </w:p>
        </w:tc>
        <w:tc>
          <w:tcPr>
            <w:tcW w:w="557" w:type="pct"/>
            <w:shd w:val="clear" w:color="auto" w:fill="auto"/>
            <w:vAlign w:val="center"/>
          </w:tcPr>
          <w:p w14:paraId="1F1FA4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0.075</w:t>
            </w:r>
          </w:p>
        </w:tc>
        <w:tc>
          <w:tcPr>
            <w:tcW w:w="557" w:type="pct"/>
            <w:shd w:val="clear" w:color="auto" w:fill="auto"/>
            <w:vAlign w:val="center"/>
          </w:tcPr>
          <w:p w14:paraId="34F85F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0.108</w:t>
            </w:r>
          </w:p>
        </w:tc>
        <w:tc>
          <w:tcPr>
            <w:tcW w:w="558" w:type="pct"/>
            <w:shd w:val="clear" w:color="auto" w:fill="auto"/>
            <w:vAlign w:val="center"/>
          </w:tcPr>
          <w:p w14:paraId="74910E4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0.147</w:t>
            </w:r>
          </w:p>
        </w:tc>
      </w:tr>
      <w:tr w14:paraId="6BA7F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6AB317C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shd w:val="clear" w:color="auto" w:fill="auto"/>
            <w:vAlign w:val="center"/>
          </w:tcPr>
          <w:p w14:paraId="40C75D7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80</w:t>
            </w:r>
          </w:p>
        </w:tc>
        <w:tc>
          <w:tcPr>
            <w:tcW w:w="557" w:type="pct"/>
            <w:shd w:val="clear" w:color="auto" w:fill="auto"/>
            <w:vAlign w:val="center"/>
          </w:tcPr>
          <w:p w14:paraId="6804F38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c>
          <w:tcPr>
            <w:tcW w:w="557" w:type="pct"/>
            <w:shd w:val="clear" w:color="auto" w:fill="auto"/>
            <w:vAlign w:val="center"/>
          </w:tcPr>
          <w:p w14:paraId="50397C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c>
          <w:tcPr>
            <w:tcW w:w="557" w:type="pct"/>
            <w:shd w:val="clear" w:color="auto" w:fill="auto"/>
            <w:vAlign w:val="center"/>
          </w:tcPr>
          <w:p w14:paraId="393B04D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150</w:t>
            </w:r>
          </w:p>
        </w:tc>
        <w:tc>
          <w:tcPr>
            <w:tcW w:w="557" w:type="pct"/>
            <w:shd w:val="clear" w:color="auto" w:fill="auto"/>
            <w:vAlign w:val="center"/>
          </w:tcPr>
          <w:p w14:paraId="349EAD6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557" w:type="pct"/>
            <w:shd w:val="clear" w:color="auto" w:fill="auto"/>
            <w:vAlign w:val="center"/>
          </w:tcPr>
          <w:p w14:paraId="66BC5E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c>
          <w:tcPr>
            <w:tcW w:w="558" w:type="pct"/>
            <w:shd w:val="clear" w:color="auto" w:fill="auto"/>
            <w:vAlign w:val="center"/>
          </w:tcPr>
          <w:p w14:paraId="19D043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350</w:t>
            </w:r>
          </w:p>
        </w:tc>
      </w:tr>
      <w:tr w14:paraId="39B70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05D344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shd w:val="clear" w:color="auto" w:fill="auto"/>
            <w:vAlign w:val="center"/>
          </w:tcPr>
          <w:p w14:paraId="45B0C1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0.158</w:t>
            </w:r>
          </w:p>
        </w:tc>
        <w:tc>
          <w:tcPr>
            <w:tcW w:w="557" w:type="pct"/>
            <w:shd w:val="clear" w:color="auto" w:fill="auto"/>
            <w:vAlign w:val="center"/>
          </w:tcPr>
          <w:p w14:paraId="55363A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w:t>
            </w:r>
          </w:p>
        </w:tc>
        <w:tc>
          <w:tcPr>
            <w:tcW w:w="557" w:type="pct"/>
            <w:shd w:val="clear" w:color="auto" w:fill="auto"/>
            <w:vAlign w:val="center"/>
          </w:tcPr>
          <w:p w14:paraId="38D7AA6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0.182</w:t>
            </w:r>
          </w:p>
        </w:tc>
        <w:tc>
          <w:tcPr>
            <w:tcW w:w="557" w:type="pct"/>
            <w:shd w:val="clear" w:color="auto" w:fill="auto"/>
            <w:vAlign w:val="center"/>
          </w:tcPr>
          <w:p w14:paraId="62F11CD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0.239</w:t>
            </w:r>
          </w:p>
        </w:tc>
        <w:tc>
          <w:tcPr>
            <w:tcW w:w="557" w:type="pct"/>
            <w:shd w:val="clear" w:color="auto" w:fill="auto"/>
            <w:vAlign w:val="center"/>
          </w:tcPr>
          <w:p w14:paraId="12008C4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0.804</w:t>
            </w:r>
          </w:p>
        </w:tc>
        <w:tc>
          <w:tcPr>
            <w:tcW w:w="557" w:type="pct"/>
            <w:shd w:val="clear" w:color="auto" w:fill="auto"/>
            <w:vAlign w:val="center"/>
          </w:tcPr>
          <w:p w14:paraId="6EAE5B2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1.005</w:t>
            </w:r>
          </w:p>
        </w:tc>
        <w:tc>
          <w:tcPr>
            <w:tcW w:w="558" w:type="pct"/>
            <w:shd w:val="clear" w:color="auto" w:fill="auto"/>
            <w:vAlign w:val="center"/>
          </w:tcPr>
          <w:p w14:paraId="31A3E65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1.829</w:t>
            </w:r>
          </w:p>
        </w:tc>
      </w:tr>
      <w:tr w14:paraId="7A1D2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1EB9602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shd w:val="clear" w:color="auto" w:fill="auto"/>
            <w:vAlign w:val="center"/>
          </w:tcPr>
          <w:p w14:paraId="5B1C064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c>
          <w:tcPr>
            <w:tcW w:w="557" w:type="pct"/>
            <w:shd w:val="clear" w:color="auto" w:fill="auto"/>
            <w:vAlign w:val="center"/>
          </w:tcPr>
          <w:p w14:paraId="403753B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550</w:t>
            </w:r>
          </w:p>
        </w:tc>
        <w:tc>
          <w:tcPr>
            <w:tcW w:w="557" w:type="pct"/>
            <w:shd w:val="clear" w:color="auto" w:fill="auto"/>
            <w:vAlign w:val="center"/>
          </w:tcPr>
          <w:p w14:paraId="0A4C94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650</w:t>
            </w:r>
          </w:p>
        </w:tc>
        <w:tc>
          <w:tcPr>
            <w:tcW w:w="557" w:type="pct"/>
            <w:shd w:val="clear" w:color="auto" w:fill="auto"/>
            <w:vAlign w:val="center"/>
          </w:tcPr>
          <w:p w14:paraId="6128D58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750</w:t>
            </w:r>
          </w:p>
        </w:tc>
        <w:tc>
          <w:tcPr>
            <w:tcW w:w="557" w:type="pct"/>
            <w:shd w:val="clear" w:color="auto" w:fill="auto"/>
            <w:vAlign w:val="center"/>
          </w:tcPr>
          <w:p w14:paraId="74BF809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850</w:t>
            </w:r>
          </w:p>
        </w:tc>
        <w:tc>
          <w:tcPr>
            <w:tcW w:w="557" w:type="pct"/>
            <w:shd w:val="clear" w:color="auto" w:fill="auto"/>
            <w:vAlign w:val="center"/>
          </w:tcPr>
          <w:p w14:paraId="2F7A653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950</w:t>
            </w:r>
          </w:p>
        </w:tc>
        <w:tc>
          <w:tcPr>
            <w:tcW w:w="558" w:type="pct"/>
            <w:shd w:val="clear" w:color="auto" w:fill="auto"/>
            <w:vAlign w:val="center"/>
          </w:tcPr>
          <w:p w14:paraId="4624ACB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1050</w:t>
            </w:r>
          </w:p>
        </w:tc>
      </w:tr>
      <w:tr w14:paraId="2DF45A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shd w:val="clear" w:color="auto" w:fill="auto"/>
            <w:vAlign w:val="center"/>
          </w:tcPr>
          <w:p w14:paraId="31B509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shd w:val="clear" w:color="auto" w:fill="auto"/>
            <w:vAlign w:val="center"/>
          </w:tcPr>
          <w:p w14:paraId="7C7C98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2.211</w:t>
            </w:r>
          </w:p>
        </w:tc>
        <w:tc>
          <w:tcPr>
            <w:tcW w:w="557" w:type="pct"/>
            <w:shd w:val="clear" w:color="auto" w:fill="auto"/>
            <w:vAlign w:val="center"/>
          </w:tcPr>
          <w:p w14:paraId="18F5CB7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2.614</w:t>
            </w:r>
          </w:p>
        </w:tc>
        <w:tc>
          <w:tcPr>
            <w:tcW w:w="557" w:type="pct"/>
            <w:shd w:val="clear" w:color="auto" w:fill="auto"/>
            <w:vAlign w:val="center"/>
          </w:tcPr>
          <w:p w14:paraId="4D529F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3.016</w:t>
            </w:r>
          </w:p>
        </w:tc>
        <w:tc>
          <w:tcPr>
            <w:tcW w:w="557" w:type="pct"/>
            <w:shd w:val="clear" w:color="auto" w:fill="auto"/>
            <w:vAlign w:val="center"/>
          </w:tcPr>
          <w:p w14:paraId="1A5F20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3.418</w:t>
            </w:r>
          </w:p>
        </w:tc>
        <w:tc>
          <w:tcPr>
            <w:tcW w:w="557" w:type="pct"/>
            <w:shd w:val="clear" w:color="auto" w:fill="auto"/>
            <w:vAlign w:val="center"/>
          </w:tcPr>
          <w:p w14:paraId="4386D75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3.820</w:t>
            </w:r>
          </w:p>
        </w:tc>
        <w:tc>
          <w:tcPr>
            <w:tcW w:w="557" w:type="pct"/>
            <w:shd w:val="clear" w:color="auto" w:fill="auto"/>
            <w:vAlign w:val="center"/>
          </w:tcPr>
          <w:p w14:paraId="796358D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4.222</w:t>
            </w:r>
          </w:p>
        </w:tc>
        <w:tc>
          <w:tcPr>
            <w:tcW w:w="558" w:type="pct"/>
            <w:shd w:val="clear" w:color="auto" w:fill="auto"/>
            <w:vAlign w:val="center"/>
          </w:tcPr>
          <w:p w14:paraId="11ABEC6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4.624</w:t>
            </w:r>
          </w:p>
        </w:tc>
      </w:tr>
    </w:tbl>
    <w:p w14:paraId="60800AE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表5-1-2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与粒径和含水率有关，因此，通过采取减少露天堆放和保证一定的含水率及减少裸露地面等措施后，风力起尘对环境的影响较小。</w:t>
      </w:r>
    </w:p>
    <w:p w14:paraId="6B06AD5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总之，只要加强管理、切实落实好这些措施，施工场地扬尘对环境的影响将会大大降低，同时其对环境的影响也将随施工的结束而消失。</w:t>
      </w:r>
    </w:p>
    <w:p w14:paraId="25122BF0">
      <w:pPr>
        <w:pStyle w:val="5"/>
        <w:spacing w:line="500" w:lineRule="exact"/>
        <w:rPr>
          <w:rFonts w:hint="default" w:ascii="Times New Roman" w:hAnsi="Times New Roman" w:cs="Times New Roman"/>
          <w:color w:val="auto"/>
          <w:highlight w:val="none"/>
        </w:rPr>
      </w:pPr>
      <w:bookmarkStart w:id="417" w:name="_Toc486255084"/>
      <w:bookmarkStart w:id="418" w:name="_Toc57713675"/>
      <w:bookmarkStart w:id="419" w:name="_Toc6308"/>
      <w:r>
        <w:rPr>
          <w:rFonts w:hint="default" w:ascii="Times New Roman" w:hAnsi="Times New Roman" w:cs="Times New Roman"/>
          <w:color w:val="auto"/>
          <w:highlight w:val="none"/>
        </w:rPr>
        <w:t>5.1.2水环境影响</w:t>
      </w:r>
      <w:bookmarkEnd w:id="417"/>
      <w:r>
        <w:rPr>
          <w:rFonts w:hint="default" w:ascii="Times New Roman" w:hAnsi="Times New Roman" w:cs="Times New Roman"/>
          <w:color w:val="auto"/>
          <w:highlight w:val="none"/>
        </w:rPr>
        <w:t>预测与评价</w:t>
      </w:r>
      <w:bookmarkEnd w:id="418"/>
      <w:bookmarkEnd w:id="419"/>
    </w:p>
    <w:p w14:paraId="4541811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施工期废水主要是施工人员生活污水，如果不进行收集无组织排放将对地表径流及土壤环境产生不利影响。生活污水需集中收集排入防渗旱厕。</w:t>
      </w:r>
    </w:p>
    <w:p w14:paraId="03CA4E56">
      <w:pPr>
        <w:pStyle w:val="67"/>
        <w:ind w:firstLine="480"/>
        <w:rPr>
          <w:rFonts w:hint="default" w:ascii="Times New Roman" w:hAnsi="Times New Roman" w:eastAsia="宋体" w:cs="Times New Roman"/>
          <w:color w:val="auto"/>
          <w:highlight w:val="none"/>
        </w:rPr>
      </w:pPr>
      <w:bookmarkStart w:id="420" w:name="_Toc486255085"/>
      <w:r>
        <w:rPr>
          <w:rFonts w:hint="default" w:ascii="Times New Roman" w:hAnsi="Times New Roman" w:eastAsia="宋体" w:cs="Times New Roman"/>
          <w:color w:val="auto"/>
          <w:highlight w:val="none"/>
        </w:rPr>
        <w:t>本工程施工现场建筑原料按比例填加用水，基本不产生弃水；本项目不在场地冲洗及维修机械。施工期施工人员的生活污水应收集排入修建的防渗旱厕，由环卫部门定期清掏处置，故施工期无废水外排，因此施工期对地表水径流环境的基本无影响。</w:t>
      </w:r>
    </w:p>
    <w:p w14:paraId="7C01D93E">
      <w:pPr>
        <w:pStyle w:val="5"/>
        <w:spacing w:line="500" w:lineRule="exact"/>
        <w:rPr>
          <w:rFonts w:hint="default" w:ascii="Times New Roman" w:hAnsi="Times New Roman" w:cs="Times New Roman"/>
          <w:color w:val="auto"/>
          <w:highlight w:val="none"/>
        </w:rPr>
      </w:pPr>
      <w:bookmarkStart w:id="421" w:name="_Toc57713676"/>
      <w:bookmarkStart w:id="422" w:name="_Toc13587"/>
      <w:r>
        <w:rPr>
          <w:rFonts w:hint="default" w:ascii="Times New Roman" w:hAnsi="Times New Roman" w:cs="Times New Roman"/>
          <w:color w:val="auto"/>
          <w:highlight w:val="none"/>
        </w:rPr>
        <w:t>5.1.3噪声影响</w:t>
      </w:r>
      <w:bookmarkEnd w:id="420"/>
      <w:r>
        <w:rPr>
          <w:rFonts w:hint="default" w:ascii="Times New Roman" w:hAnsi="Times New Roman" w:cs="Times New Roman"/>
          <w:color w:val="auto"/>
          <w:highlight w:val="none"/>
        </w:rPr>
        <w:t>预测与评价</w:t>
      </w:r>
      <w:bookmarkEnd w:id="421"/>
      <w:bookmarkEnd w:id="422"/>
    </w:p>
    <w:p w14:paraId="548BF80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项目施工期噪声主要来源于施工机械噪声和运输车辆噪声。在施工过程中，由于各种施工机械设备的运转和各类车辆的运行，不可避免地将产生噪声污染。根据调查本项目的主要噪声源如下表。</w:t>
      </w:r>
    </w:p>
    <w:p w14:paraId="79B9831C">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表5-1-3施工机械噪声源一览表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60"/>
        <w:gridCol w:w="3058"/>
        <w:gridCol w:w="2688"/>
      </w:tblGrid>
      <w:tr w14:paraId="4123E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1541" w:type="pct"/>
            <w:shd w:val="clear" w:color="auto" w:fill="auto"/>
            <w:vAlign w:val="center"/>
          </w:tcPr>
          <w:p w14:paraId="47F0E68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声源</w:t>
            </w:r>
          </w:p>
        </w:tc>
        <w:tc>
          <w:tcPr>
            <w:tcW w:w="1841" w:type="pct"/>
            <w:shd w:val="clear" w:color="auto" w:fill="auto"/>
            <w:vAlign w:val="center"/>
          </w:tcPr>
          <w:p w14:paraId="66B217C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1618" w:type="pct"/>
            <w:shd w:val="clear" w:color="auto" w:fill="auto"/>
            <w:vAlign w:val="center"/>
          </w:tcPr>
          <w:p w14:paraId="3FA5BE9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6700B3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D55EC7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1841" w:type="pct"/>
            <w:shd w:val="clear" w:color="auto" w:fill="auto"/>
            <w:vAlign w:val="center"/>
          </w:tcPr>
          <w:p w14:paraId="17F830C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0E608DB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4CB4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3340BB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1841" w:type="pct"/>
            <w:shd w:val="clear" w:color="auto" w:fill="auto"/>
            <w:vAlign w:val="center"/>
          </w:tcPr>
          <w:p w14:paraId="051551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A12-201</w:t>
            </w:r>
          </w:p>
        </w:tc>
        <w:tc>
          <w:tcPr>
            <w:tcW w:w="1618" w:type="pct"/>
            <w:shd w:val="clear" w:color="auto" w:fill="auto"/>
            <w:vAlign w:val="center"/>
          </w:tcPr>
          <w:p w14:paraId="4B1E3C9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6441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1FE12D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1841" w:type="pct"/>
            <w:shd w:val="clear" w:color="auto" w:fill="auto"/>
            <w:vAlign w:val="center"/>
          </w:tcPr>
          <w:p w14:paraId="283C164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3F66B9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1DBADC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B3B8A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1841" w:type="pct"/>
            <w:shd w:val="clear" w:color="auto" w:fill="auto"/>
            <w:vAlign w:val="center"/>
          </w:tcPr>
          <w:p w14:paraId="104FD3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HC03215</w:t>
            </w:r>
          </w:p>
        </w:tc>
        <w:tc>
          <w:tcPr>
            <w:tcW w:w="1618" w:type="pct"/>
            <w:shd w:val="clear" w:color="auto" w:fill="auto"/>
            <w:vAlign w:val="center"/>
          </w:tcPr>
          <w:p w14:paraId="1F46E18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36511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71B4973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1841" w:type="pct"/>
            <w:shd w:val="clear" w:color="auto" w:fill="auto"/>
            <w:vAlign w:val="center"/>
          </w:tcPr>
          <w:p w14:paraId="698AD72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SP150</w:t>
            </w:r>
          </w:p>
        </w:tc>
        <w:tc>
          <w:tcPr>
            <w:tcW w:w="1618" w:type="pct"/>
            <w:shd w:val="clear" w:color="auto" w:fill="auto"/>
            <w:vAlign w:val="center"/>
          </w:tcPr>
          <w:p w14:paraId="23A02F9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0EDA8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095C7FC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1841" w:type="pct"/>
            <w:shd w:val="clear" w:color="auto" w:fill="auto"/>
            <w:vAlign w:val="center"/>
          </w:tcPr>
          <w:p w14:paraId="275A07E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YT300</w:t>
            </w:r>
          </w:p>
        </w:tc>
        <w:tc>
          <w:tcPr>
            <w:tcW w:w="1618" w:type="pct"/>
            <w:shd w:val="clear" w:color="auto" w:fill="auto"/>
            <w:vAlign w:val="center"/>
          </w:tcPr>
          <w:p w14:paraId="42EB30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230E6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3E025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1841" w:type="pct"/>
            <w:shd w:val="clear" w:color="auto" w:fill="auto"/>
            <w:vAlign w:val="center"/>
          </w:tcPr>
          <w:p w14:paraId="409E784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QL150</w:t>
            </w:r>
          </w:p>
        </w:tc>
        <w:tc>
          <w:tcPr>
            <w:tcW w:w="1618" w:type="pct"/>
            <w:shd w:val="clear" w:color="auto" w:fill="auto"/>
            <w:vAlign w:val="center"/>
          </w:tcPr>
          <w:p w14:paraId="6E002E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43CF4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7939BF8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1841" w:type="pct"/>
            <w:shd w:val="clear" w:color="auto" w:fill="auto"/>
            <w:vAlign w:val="center"/>
          </w:tcPr>
          <w:p w14:paraId="1E01701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S-150</w:t>
            </w:r>
          </w:p>
        </w:tc>
        <w:tc>
          <w:tcPr>
            <w:tcW w:w="1618" w:type="pct"/>
            <w:shd w:val="clear" w:color="auto" w:fill="auto"/>
            <w:vAlign w:val="center"/>
          </w:tcPr>
          <w:p w14:paraId="2683BBD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7B82A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725F7EF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1841" w:type="pct"/>
            <w:shd w:val="clear" w:color="auto" w:fill="auto"/>
            <w:vAlign w:val="center"/>
          </w:tcPr>
          <w:p w14:paraId="2CCDF27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LK50</w:t>
            </w:r>
          </w:p>
        </w:tc>
        <w:tc>
          <w:tcPr>
            <w:tcW w:w="1618" w:type="pct"/>
            <w:shd w:val="clear" w:color="auto" w:fill="auto"/>
            <w:vAlign w:val="center"/>
          </w:tcPr>
          <w:p w14:paraId="593B349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63C1C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2728835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1841" w:type="pct"/>
            <w:shd w:val="clear" w:color="auto" w:fill="auto"/>
            <w:vAlign w:val="center"/>
          </w:tcPr>
          <w:p w14:paraId="24E2E81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HZB50</w:t>
            </w:r>
          </w:p>
        </w:tc>
        <w:tc>
          <w:tcPr>
            <w:tcW w:w="1618" w:type="pct"/>
            <w:shd w:val="clear" w:color="auto" w:fill="auto"/>
            <w:vAlign w:val="center"/>
          </w:tcPr>
          <w:p w14:paraId="192151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55DC2F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C137AB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1841" w:type="pct"/>
            <w:shd w:val="clear" w:color="auto" w:fill="auto"/>
            <w:vAlign w:val="center"/>
          </w:tcPr>
          <w:p w14:paraId="7EE6A8E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47FB370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AAD1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2FDEC1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1841" w:type="pct"/>
            <w:shd w:val="clear" w:color="auto" w:fill="auto"/>
            <w:vAlign w:val="center"/>
          </w:tcPr>
          <w:p w14:paraId="1915BC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67EBF5A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CDE6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464087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1841" w:type="pct"/>
            <w:shd w:val="clear" w:color="auto" w:fill="auto"/>
            <w:vAlign w:val="center"/>
          </w:tcPr>
          <w:p w14:paraId="3AB2E5B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7B74F0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61DF5E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41" w:type="pct"/>
            <w:shd w:val="clear" w:color="auto" w:fill="auto"/>
            <w:vAlign w:val="center"/>
          </w:tcPr>
          <w:p w14:paraId="55A0B20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多功能木工刨</w:t>
            </w:r>
          </w:p>
        </w:tc>
        <w:tc>
          <w:tcPr>
            <w:tcW w:w="1841" w:type="pct"/>
            <w:shd w:val="clear" w:color="auto" w:fill="auto"/>
            <w:vAlign w:val="center"/>
          </w:tcPr>
          <w:p w14:paraId="61E5393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618" w:type="pct"/>
            <w:shd w:val="clear" w:color="auto" w:fill="auto"/>
            <w:vAlign w:val="center"/>
          </w:tcPr>
          <w:p w14:paraId="5FB82C8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r>
    </w:tbl>
    <w:p w14:paraId="26AFB4E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14:paraId="44C527C2">
      <w:pPr>
        <w:spacing w:line="480" w:lineRule="auto"/>
        <w:jc w:val="center"/>
        <w:rPr>
          <w:rFonts w:hint="default" w:ascii="Times New Roman" w:hAnsi="Times New Roman" w:eastAsia="宋体" w:cs="Times New Roman"/>
          <w:snapToGrid w:val="0"/>
          <w:color w:val="auto"/>
          <w:kern w:val="0"/>
          <w:highlight w:val="none"/>
          <w:lang w:val="fr-FR"/>
        </w:rPr>
      </w:pPr>
      <w:r>
        <w:rPr>
          <w:rFonts w:hint="default" w:ascii="Times New Roman" w:hAnsi="Times New Roman" w:eastAsia="宋体" w:cs="Times New Roman"/>
          <w:color w:val="auto"/>
          <w:kern w:val="0"/>
          <w:highlight w:val="none"/>
        </w:rPr>
        <w:drawing>
          <wp:inline distT="0" distB="0" distL="0" distR="0">
            <wp:extent cx="1838325" cy="323850"/>
            <wp:effectExtent l="0" t="0" r="0" b="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838325" cy="323850"/>
                    </a:xfrm>
                    <a:prstGeom prst="rect">
                      <a:avLst/>
                    </a:prstGeom>
                    <a:noFill/>
                    <a:ln>
                      <a:noFill/>
                    </a:ln>
                  </pic:spPr>
                </pic:pic>
              </a:graphicData>
            </a:graphic>
          </wp:inline>
        </w:drawing>
      </w:r>
    </w:p>
    <w:p w14:paraId="1E66C9C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14:paraId="196E8F8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rPr>
        <w:t>(r)——距声源r处的A声级，dB</w:t>
      </w:r>
    </w:p>
    <w:p w14:paraId="42EE69A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）——声源噪声功率级，dB</w:t>
      </w:r>
    </w:p>
    <w:p w14:paraId="7A5DD6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 ——受声点与声源距离，m</w:t>
      </w:r>
    </w:p>
    <w:p w14:paraId="5EC67E2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点声源距离衰减情况如下表所示：</w:t>
      </w:r>
    </w:p>
    <w:p w14:paraId="03964987">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snapToGrid w:val="0"/>
          <w:color w:val="auto"/>
          <w:kern w:val="0"/>
          <w:highlight w:val="none"/>
        </w:rPr>
        <w:t>表5-1-4点声源距离衰减情况</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741"/>
        <w:gridCol w:w="741"/>
        <w:gridCol w:w="741"/>
        <w:gridCol w:w="741"/>
        <w:gridCol w:w="741"/>
        <w:gridCol w:w="741"/>
        <w:gridCol w:w="741"/>
        <w:gridCol w:w="741"/>
        <w:gridCol w:w="741"/>
        <w:gridCol w:w="741"/>
      </w:tblGrid>
      <w:tr w14:paraId="00B1B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shd w:val="clear" w:color="auto" w:fill="auto"/>
            <w:vAlign w:val="center"/>
          </w:tcPr>
          <w:p w14:paraId="4397C637">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源强</w:t>
            </w:r>
          </w:p>
        </w:tc>
        <w:tc>
          <w:tcPr>
            <w:tcW w:w="4460" w:type="pct"/>
            <w:gridSpan w:val="10"/>
            <w:shd w:val="clear" w:color="auto" w:fill="auto"/>
            <w:vAlign w:val="center"/>
          </w:tcPr>
          <w:p w14:paraId="102956C1">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100dB（A）</w:t>
            </w:r>
          </w:p>
        </w:tc>
      </w:tr>
      <w:tr w14:paraId="5BB6BA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shd w:val="clear" w:color="auto" w:fill="auto"/>
            <w:vAlign w:val="center"/>
          </w:tcPr>
          <w:p w14:paraId="046E9823">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距离</w:t>
            </w:r>
          </w:p>
        </w:tc>
        <w:tc>
          <w:tcPr>
            <w:tcW w:w="446" w:type="pct"/>
            <w:shd w:val="clear" w:color="auto" w:fill="auto"/>
            <w:vAlign w:val="center"/>
          </w:tcPr>
          <w:p w14:paraId="16D857CC">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30</w:t>
            </w:r>
          </w:p>
        </w:tc>
        <w:tc>
          <w:tcPr>
            <w:tcW w:w="446" w:type="pct"/>
            <w:shd w:val="clear" w:color="auto" w:fill="auto"/>
            <w:vAlign w:val="center"/>
          </w:tcPr>
          <w:p w14:paraId="3A5136E6">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50</w:t>
            </w:r>
          </w:p>
        </w:tc>
        <w:tc>
          <w:tcPr>
            <w:tcW w:w="446" w:type="pct"/>
            <w:shd w:val="clear" w:color="auto" w:fill="auto"/>
            <w:vAlign w:val="center"/>
          </w:tcPr>
          <w:p w14:paraId="326F53F6">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100</w:t>
            </w:r>
          </w:p>
        </w:tc>
        <w:tc>
          <w:tcPr>
            <w:tcW w:w="446" w:type="pct"/>
            <w:shd w:val="clear" w:color="auto" w:fill="auto"/>
            <w:vAlign w:val="center"/>
          </w:tcPr>
          <w:p w14:paraId="1FEB59BD">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150</w:t>
            </w:r>
          </w:p>
        </w:tc>
        <w:tc>
          <w:tcPr>
            <w:tcW w:w="446" w:type="pct"/>
            <w:shd w:val="clear" w:color="auto" w:fill="auto"/>
            <w:vAlign w:val="center"/>
          </w:tcPr>
          <w:p w14:paraId="4DE4069B">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200</w:t>
            </w:r>
          </w:p>
        </w:tc>
        <w:tc>
          <w:tcPr>
            <w:tcW w:w="446" w:type="pct"/>
            <w:shd w:val="clear" w:color="auto" w:fill="auto"/>
            <w:vAlign w:val="center"/>
          </w:tcPr>
          <w:p w14:paraId="167F8BBC">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300</w:t>
            </w:r>
          </w:p>
        </w:tc>
        <w:tc>
          <w:tcPr>
            <w:tcW w:w="446" w:type="pct"/>
            <w:shd w:val="clear" w:color="auto" w:fill="auto"/>
            <w:vAlign w:val="center"/>
          </w:tcPr>
          <w:p w14:paraId="61315D9A">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400</w:t>
            </w:r>
          </w:p>
        </w:tc>
        <w:tc>
          <w:tcPr>
            <w:tcW w:w="446" w:type="pct"/>
            <w:shd w:val="clear" w:color="auto" w:fill="auto"/>
            <w:vAlign w:val="center"/>
          </w:tcPr>
          <w:p w14:paraId="009FAE93">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500</w:t>
            </w:r>
          </w:p>
        </w:tc>
        <w:tc>
          <w:tcPr>
            <w:tcW w:w="446" w:type="pct"/>
            <w:shd w:val="clear" w:color="auto" w:fill="auto"/>
            <w:vAlign w:val="center"/>
          </w:tcPr>
          <w:p w14:paraId="2B02CF16">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600</w:t>
            </w:r>
          </w:p>
        </w:tc>
        <w:tc>
          <w:tcPr>
            <w:tcW w:w="448" w:type="pct"/>
            <w:shd w:val="clear" w:color="auto" w:fill="auto"/>
            <w:vAlign w:val="center"/>
          </w:tcPr>
          <w:p w14:paraId="7401133F">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700</w:t>
            </w:r>
          </w:p>
        </w:tc>
      </w:tr>
      <w:tr w14:paraId="793FD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0" w:type="pct"/>
            <w:shd w:val="clear" w:color="auto" w:fill="auto"/>
            <w:vAlign w:val="center"/>
          </w:tcPr>
          <w:p w14:paraId="25D81A02">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贡献值</w:t>
            </w:r>
          </w:p>
        </w:tc>
        <w:tc>
          <w:tcPr>
            <w:tcW w:w="446" w:type="pct"/>
            <w:shd w:val="clear" w:color="auto" w:fill="auto"/>
            <w:vAlign w:val="center"/>
          </w:tcPr>
          <w:p w14:paraId="32C5C68B">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70.45</w:t>
            </w:r>
          </w:p>
        </w:tc>
        <w:tc>
          <w:tcPr>
            <w:tcW w:w="446" w:type="pct"/>
            <w:shd w:val="clear" w:color="auto" w:fill="auto"/>
            <w:vAlign w:val="center"/>
          </w:tcPr>
          <w:p w14:paraId="559FBA68">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66.02</w:t>
            </w:r>
          </w:p>
        </w:tc>
        <w:tc>
          <w:tcPr>
            <w:tcW w:w="446" w:type="pct"/>
            <w:shd w:val="clear" w:color="auto" w:fill="auto"/>
            <w:vAlign w:val="center"/>
          </w:tcPr>
          <w:p w14:paraId="46B89DC0">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60</w:t>
            </w:r>
          </w:p>
        </w:tc>
        <w:tc>
          <w:tcPr>
            <w:tcW w:w="446" w:type="pct"/>
            <w:shd w:val="clear" w:color="auto" w:fill="auto"/>
            <w:vAlign w:val="center"/>
          </w:tcPr>
          <w:p w14:paraId="1814A9CE">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56.48</w:t>
            </w:r>
          </w:p>
        </w:tc>
        <w:tc>
          <w:tcPr>
            <w:tcW w:w="446" w:type="pct"/>
            <w:shd w:val="clear" w:color="auto" w:fill="auto"/>
            <w:vAlign w:val="center"/>
          </w:tcPr>
          <w:p w14:paraId="329C0D3D">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53.97</w:t>
            </w:r>
          </w:p>
        </w:tc>
        <w:tc>
          <w:tcPr>
            <w:tcW w:w="446" w:type="pct"/>
            <w:shd w:val="clear" w:color="auto" w:fill="auto"/>
            <w:vAlign w:val="center"/>
          </w:tcPr>
          <w:p w14:paraId="264977E0">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50.45</w:t>
            </w:r>
          </w:p>
        </w:tc>
        <w:tc>
          <w:tcPr>
            <w:tcW w:w="446" w:type="pct"/>
            <w:shd w:val="clear" w:color="auto" w:fill="auto"/>
            <w:vAlign w:val="center"/>
          </w:tcPr>
          <w:p w14:paraId="79C776BA">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47.96</w:t>
            </w:r>
          </w:p>
        </w:tc>
        <w:tc>
          <w:tcPr>
            <w:tcW w:w="446" w:type="pct"/>
            <w:shd w:val="clear" w:color="auto" w:fill="auto"/>
            <w:vAlign w:val="center"/>
          </w:tcPr>
          <w:p w14:paraId="61E3B856">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46.02</w:t>
            </w:r>
          </w:p>
        </w:tc>
        <w:tc>
          <w:tcPr>
            <w:tcW w:w="446" w:type="pct"/>
            <w:shd w:val="clear" w:color="auto" w:fill="auto"/>
            <w:vAlign w:val="center"/>
          </w:tcPr>
          <w:p w14:paraId="74C525AD">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44.43</w:t>
            </w:r>
          </w:p>
        </w:tc>
        <w:tc>
          <w:tcPr>
            <w:tcW w:w="448" w:type="pct"/>
            <w:shd w:val="clear" w:color="auto" w:fill="auto"/>
            <w:vAlign w:val="center"/>
          </w:tcPr>
          <w:p w14:paraId="34075877">
            <w:pPr>
              <w:pStyle w:val="14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43.09</w:t>
            </w:r>
          </w:p>
        </w:tc>
      </w:tr>
    </w:tbl>
    <w:p w14:paraId="354C726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"http://www.mee.gov.cn/ywgz/fgbz/bz/bzwb/wlhj/hjzspfbz/202512/t20251211_1137517.shtml" </w:instrText>
      </w:r>
      <w:r>
        <w:rPr>
          <w:rFonts w:hint="default" w:ascii="Times New Roman" w:hAnsi="Times New Roman" w:eastAsia="宋体" w:cs="Times New Roman"/>
          <w:color w:val="auto"/>
          <w:highlight w:val="none"/>
        </w:rPr>
        <w:fldChar w:fldCharType="separate"/>
      </w:r>
      <w:r>
        <w:rPr>
          <w:rFonts w:hint="eastAsia" w:ascii="Times New Roman" w:hAnsi="Times New Roman" w:eastAsia="宋体" w:cs="Times New Roman"/>
          <w:color w:val="auto"/>
          <w:highlight w:val="none"/>
        </w:rPr>
        <w:t>《建筑施工噪声排放标准》（GB 12523-2025）</w:t>
      </w:r>
      <w:r>
        <w:rPr>
          <w:rFonts w:hint="eastAsia"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的规定，施工噪声控制在昼间70dB（A），夜间控制在55dB（A）。</w:t>
      </w:r>
    </w:p>
    <w:p w14:paraId="1A9E8A7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机械最大声功率级按100dB（A）计算，白天衰减至70dB（A）时需要满足的衰减距离为30m，夜间衰减至55dB（A）时需要满足的衰减距离为230m。本项目500m范围内无居民点等敏感目标，且夜间不施工，所以能达到距离衰减的要求，对居民区影响较小。</w:t>
      </w:r>
    </w:p>
    <w:p w14:paraId="5FA911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在严格控制夜间不施工的前提下，采用低噪声设备、对设备进行隔声、减振处理，本项目施工期间产生的噪声不会对周围环境造成明显影响，其施工场界声环境可满足</w:t>
      </w:r>
      <w:r>
        <w:rPr>
          <w:rFonts w:hint="eastAsia" w:ascii="Times New Roman" w:hAnsi="Times New Roman" w:eastAsia="宋体" w:cs="Times New Roman"/>
          <w:color w:val="auto"/>
          <w:highlight w:val="none"/>
        </w:rPr>
        <w:fldChar w:fldCharType="begin"/>
      </w:r>
      <w:r>
        <w:rPr>
          <w:rFonts w:hint="eastAsia" w:ascii="Times New Roman" w:hAnsi="Times New Roman" w:eastAsia="宋体" w:cs="Times New Roman"/>
          <w:color w:val="auto"/>
          <w:highlight w:val="none"/>
        </w:rPr>
        <w:instrText xml:space="preserve"> HYPERLINK "http://www.mee.gov.cn/ywgz/fgbz/bz/bzwb/wlhj/hjzspfbz/202512/t20251211_1137517.shtml" </w:instrText>
      </w:r>
      <w:r>
        <w:rPr>
          <w:rFonts w:hint="eastAsia" w:ascii="Times New Roman" w:hAnsi="Times New Roman" w:eastAsia="宋体" w:cs="Times New Roman"/>
          <w:color w:val="auto"/>
          <w:highlight w:val="none"/>
        </w:rPr>
        <w:fldChar w:fldCharType="separate"/>
      </w:r>
      <w:r>
        <w:rPr>
          <w:rFonts w:hint="eastAsia" w:ascii="Times New Roman" w:hAnsi="Times New Roman" w:eastAsia="宋体" w:cs="Times New Roman"/>
          <w:color w:val="auto"/>
          <w:highlight w:val="none"/>
        </w:rPr>
        <w:t>《建筑施工噪声排放标准》（GB 12523-2025）</w:t>
      </w:r>
      <w:r>
        <w:rPr>
          <w:rFonts w:hint="eastAsia"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要求，对区域声环境不会产生显著性不良影响。</w:t>
      </w:r>
    </w:p>
    <w:p w14:paraId="6DEA24DA">
      <w:pPr>
        <w:pStyle w:val="5"/>
        <w:spacing w:line="500" w:lineRule="exact"/>
        <w:rPr>
          <w:rFonts w:hint="default" w:ascii="Times New Roman" w:hAnsi="Times New Roman" w:cs="Times New Roman"/>
          <w:color w:val="auto"/>
          <w:highlight w:val="none"/>
        </w:rPr>
      </w:pPr>
      <w:bookmarkStart w:id="423" w:name="_Toc486255086"/>
      <w:bookmarkStart w:id="424" w:name="_Toc57713677"/>
      <w:bookmarkStart w:id="425" w:name="_Toc32020"/>
      <w:r>
        <w:rPr>
          <w:rFonts w:hint="default" w:ascii="Times New Roman" w:hAnsi="Times New Roman" w:cs="Times New Roman"/>
          <w:color w:val="auto"/>
          <w:highlight w:val="none"/>
        </w:rPr>
        <w:t>5.1.4固体废物影响</w:t>
      </w:r>
      <w:bookmarkEnd w:id="423"/>
      <w:r>
        <w:rPr>
          <w:rFonts w:hint="default" w:ascii="Times New Roman" w:hAnsi="Times New Roman" w:cs="Times New Roman"/>
          <w:color w:val="auto"/>
          <w:highlight w:val="none"/>
        </w:rPr>
        <w:t>预测与评价</w:t>
      </w:r>
      <w:bookmarkEnd w:id="424"/>
      <w:bookmarkEnd w:id="425"/>
    </w:p>
    <w:p w14:paraId="362DDEB4">
      <w:pPr>
        <w:pStyle w:val="67"/>
        <w:ind w:firstLine="480"/>
        <w:rPr>
          <w:rFonts w:hint="default" w:ascii="Times New Roman" w:hAnsi="Times New Roman" w:eastAsia="宋体" w:cs="Times New Roman"/>
          <w:color w:val="auto"/>
          <w:highlight w:val="none"/>
        </w:rPr>
      </w:pPr>
      <w:r>
        <w:rPr>
          <w:rStyle w:val="85"/>
          <w:rFonts w:hint="default" w:ascii="Times New Roman" w:hAnsi="Times New Roman" w:eastAsia="宋体" w:cs="Times New Roman"/>
          <w:color w:val="auto"/>
          <w:highlight w:val="none"/>
        </w:rPr>
        <w:t>项目施工期间产生的废弃物主要是废弃的建筑材料、生活垃圾和弃土。对剩余建筑材料应进行回收或分类收集，建筑垃圾要及时清运、加以利用；施工人员产生的生活垃圾不要和建筑垃圾混放，定时清运到当地的垃圾处理站集中处理；本项目产生的土方主要为土地平整及挖地基时产生的少许土方，除回填外平整场地外，挖方的表土用于场区绿化，无弃土产生，对周围环境影响较小</w:t>
      </w:r>
      <w:r>
        <w:rPr>
          <w:rFonts w:hint="default" w:ascii="Times New Roman" w:hAnsi="Times New Roman" w:eastAsia="宋体" w:cs="Times New Roman"/>
          <w:color w:val="auto"/>
          <w:highlight w:val="none"/>
        </w:rPr>
        <w:t>。</w:t>
      </w:r>
    </w:p>
    <w:p w14:paraId="6B5E1F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通过以上措施，项目建设产生的固体废物得到了妥善处置，施工期间对周围环境造成的短暂影响可以接受。</w:t>
      </w:r>
    </w:p>
    <w:p w14:paraId="5C139AAF">
      <w:pPr>
        <w:pStyle w:val="5"/>
        <w:spacing w:line="500" w:lineRule="exact"/>
        <w:rPr>
          <w:rFonts w:hint="default" w:ascii="Times New Roman" w:hAnsi="Times New Roman" w:cs="Times New Roman"/>
          <w:color w:val="auto"/>
          <w:highlight w:val="none"/>
        </w:rPr>
      </w:pPr>
      <w:bookmarkStart w:id="426" w:name="_Toc486255087"/>
      <w:bookmarkStart w:id="427" w:name="_Toc57713678"/>
      <w:bookmarkStart w:id="428" w:name="_Toc20052"/>
      <w:r>
        <w:rPr>
          <w:rFonts w:hint="default" w:ascii="Times New Roman" w:hAnsi="Times New Roman" w:cs="Times New Roman"/>
          <w:color w:val="auto"/>
          <w:highlight w:val="none"/>
        </w:rPr>
        <w:t>5.1.5生态环境影响</w:t>
      </w:r>
      <w:bookmarkEnd w:id="426"/>
      <w:r>
        <w:rPr>
          <w:rFonts w:hint="default" w:ascii="Times New Roman" w:hAnsi="Times New Roman" w:cs="Times New Roman"/>
          <w:color w:val="auto"/>
          <w:highlight w:val="none"/>
        </w:rPr>
        <w:t>预测与评价</w:t>
      </w:r>
      <w:bookmarkEnd w:id="427"/>
      <w:bookmarkEnd w:id="428"/>
    </w:p>
    <w:p w14:paraId="0AF915A9">
      <w:pPr>
        <w:pStyle w:val="478"/>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5.1.5.1施工期对陆生植被的影响</w:t>
      </w:r>
    </w:p>
    <w:p w14:paraId="3F452DE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施工建设，必然会对所在区域的生态环境带来一定破坏使现有土地利用类型发生变化，许多地表植被会消失，同时各种机动车辆碾压和施工人员的践踏及土石的堆放，也会对植被造成破坏和影响。随着施工期进行征地范围内的一些植物种类将会消失，绝大部分的植物种类数量将会减少，区域生多样性受到一定影响。但由于受破坏的植被类型均为评价区常见类型，且所破坏的物种为评价区的常见种类或世界广布种，无国家重点保护珍稀濒危植物和野生动物。因此，本项目的建设施工对植物区系、植被类型的影响不大，不会导致区域内现有植物种类和类型的消失灭绝，且由于工程在场区内建设，随着施工期的结束，经过绿化建设，植被将会得到恢复，可弥补生物多样性的损失。</w:t>
      </w:r>
    </w:p>
    <w:p w14:paraId="6B735735">
      <w:pPr>
        <w:pStyle w:val="478"/>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5.1.5.2施工期对陆生动物的影响</w:t>
      </w:r>
    </w:p>
    <w:p w14:paraId="0E193FE6">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施工期间各种施工噪声增多，施工造成空气中扬尘增加以及施工人员活动频繁等因素影响，会对施工场地周围的野生动物造成一定的干扰，本项目施工所在地</w:t>
      </w:r>
      <w:r>
        <w:rPr>
          <w:rFonts w:hint="default" w:ascii="Times New Roman" w:hAnsi="Times New Roman" w:eastAsia="宋体" w:cs="Times New Roman"/>
          <w:color w:val="auto"/>
          <w:highlight w:val="none"/>
          <w:lang w:val="en-US" w:eastAsia="zh-CN"/>
        </w:rPr>
        <w:t>西南</w:t>
      </w:r>
      <w:r>
        <w:rPr>
          <w:rFonts w:hint="default" w:ascii="Times New Roman" w:hAnsi="Times New Roman" w:eastAsia="宋体" w:cs="Times New Roman"/>
          <w:color w:val="auto"/>
          <w:highlight w:val="none"/>
        </w:rPr>
        <w:t>侧为</w:t>
      </w:r>
      <w:r>
        <w:rPr>
          <w:rFonts w:hint="default" w:ascii="Times New Roman" w:hAnsi="Times New Roman" w:eastAsia="宋体" w:cs="Times New Roman"/>
          <w:color w:val="auto"/>
          <w:highlight w:val="none"/>
          <w:lang w:val="en-US" w:eastAsia="zh-CN"/>
        </w:rPr>
        <w:t>水田，西北侧为一般草原和农田，东南</w:t>
      </w:r>
      <w:r>
        <w:rPr>
          <w:rFonts w:hint="default" w:ascii="Times New Roman" w:hAnsi="Times New Roman" w:eastAsia="宋体" w:cs="Times New Roman"/>
          <w:color w:val="auto"/>
          <w:highlight w:val="none"/>
        </w:rPr>
        <w:t>侧为</w:t>
      </w:r>
      <w:r>
        <w:rPr>
          <w:rFonts w:hint="default" w:ascii="Times New Roman" w:hAnsi="Times New Roman" w:eastAsia="宋体" w:cs="Times New Roman"/>
          <w:color w:val="auto"/>
          <w:highlight w:val="none"/>
          <w:lang w:val="en-US" w:eastAsia="zh-CN"/>
        </w:rPr>
        <w:t>水田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东北</w:t>
      </w:r>
      <w:r>
        <w:rPr>
          <w:rFonts w:hint="default" w:ascii="Times New Roman" w:hAnsi="Times New Roman" w:eastAsia="宋体" w:cs="Times New Roman"/>
          <w:color w:val="auto"/>
          <w:highlight w:val="none"/>
        </w:rPr>
        <w:t>侧为</w:t>
      </w:r>
      <w:r>
        <w:rPr>
          <w:rFonts w:hint="default" w:ascii="Times New Roman" w:hAnsi="Times New Roman" w:eastAsia="宋体" w:cs="Times New Roman"/>
          <w:color w:val="auto"/>
          <w:highlight w:val="none"/>
          <w:lang w:val="en-US" w:eastAsia="zh-CN"/>
        </w:rPr>
        <w:t>一般草原</w:t>
      </w:r>
      <w:r>
        <w:rPr>
          <w:rFonts w:hint="default" w:ascii="Times New Roman" w:hAnsi="Times New Roman" w:eastAsia="宋体" w:cs="Times New Roman"/>
          <w:color w:val="auto"/>
          <w:highlight w:val="none"/>
        </w:rPr>
        <w:t>，受人类活动影响，野生动物种类及数量很少，主要以田鼠、麻雀、喜鹊等，施工活动对野生动物产生的影响很小。</w:t>
      </w:r>
    </w:p>
    <w:p w14:paraId="73EE0A3D">
      <w:pPr>
        <w:pStyle w:val="478"/>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5.1.5.3施工期对土壤的影响</w:t>
      </w:r>
    </w:p>
    <w:p w14:paraId="280821A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被占用土地表面的土壤将被铲去，未被占用的土壤可能遭到机器的辗压和施工人员的践踏而导致严重压实，从而使施工完成后的土壤表土层缺乏原有土壤的肥力，不利于植物的生长和植被恢复。因此施工时应保留表土用作施工期结束后的绿化所用。</w:t>
      </w:r>
    </w:p>
    <w:p w14:paraId="6B156786">
      <w:pPr>
        <w:pStyle w:val="478"/>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5.1.5.4施工期水土流失影响</w:t>
      </w:r>
    </w:p>
    <w:p w14:paraId="29BE43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建设过程中将导致地表暂时的大面积裸露，在雨水和地表径流作用下将产生一定程度的水土流失，当地表径流携带泥沙沿着附近排水通道进入附近水体后，容易造成对水体的污染。施工场地地面的开挖、土地的利用，易使土壤结构破坏，凝聚力降低，产生新的水土流失。</w:t>
      </w:r>
    </w:p>
    <w:p w14:paraId="2F9D6E0D">
      <w:pPr>
        <w:pStyle w:val="478"/>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5.1.5.5</w:t>
      </w:r>
      <w:r>
        <w:rPr>
          <w:rFonts w:hint="default" w:ascii="Times New Roman" w:hAnsi="Times New Roman" w:eastAsia="黑体" w:cs="Times New Roman"/>
          <w:color w:val="auto"/>
          <w:highlight w:val="none"/>
          <w:lang w:val="en-US" w:eastAsia="zh-CN"/>
        </w:rPr>
        <w:t>施工期</w:t>
      </w:r>
      <w:r>
        <w:rPr>
          <w:rFonts w:hint="default" w:ascii="Times New Roman" w:hAnsi="Times New Roman" w:eastAsia="黑体" w:cs="Times New Roman"/>
          <w:color w:val="auto"/>
          <w:highlight w:val="none"/>
        </w:rPr>
        <w:t>对景观的影响</w:t>
      </w:r>
    </w:p>
    <w:p w14:paraId="748906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对景观与视觉环境的负面影响主要表现在施工期。施工场地的开挖、各类施工机械运转、施工弃土、施工建材堆放等，都会对景观与视觉环境造成不良影响。在施工过程中，对于植物资源应尽量避免砍伐，尽量保留，维护和保持沿线现有景观。</w:t>
      </w:r>
    </w:p>
    <w:p w14:paraId="1FF84CF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施工的生产活动扰动了局部原生地貌，破坏原有的地表植被，使局部生态环境遭受一定的影响。工程施工过程中的挖方、填方等施工活动，将会在短期内加大水土流失量。本项目施工过程中应严格将活动范围控制在本项目用地范围内，不占用其它土地。合理安排施工期，避免雨天施工，通过采取上述措施可将本项目施工期对土地的扰动降到最低。</w:t>
      </w:r>
    </w:p>
    <w:p w14:paraId="22E3130F">
      <w:pPr>
        <w:pStyle w:val="4"/>
        <w:rPr>
          <w:rFonts w:hint="default" w:ascii="Times New Roman" w:hAnsi="Times New Roman" w:cs="Times New Roman"/>
          <w:color w:val="auto"/>
          <w:highlight w:val="none"/>
        </w:rPr>
      </w:pPr>
      <w:bookmarkStart w:id="429" w:name="_Toc57713679"/>
      <w:bookmarkStart w:id="430" w:name="_Toc477368690"/>
      <w:bookmarkStart w:id="431" w:name="_Toc6967"/>
      <w:r>
        <w:rPr>
          <w:rFonts w:hint="default" w:ascii="Times New Roman" w:hAnsi="Times New Roman" w:cs="Times New Roman"/>
          <w:color w:val="auto"/>
          <w:highlight w:val="none"/>
        </w:rPr>
        <w:t>5.2运行期环境影响预测与评价</w:t>
      </w:r>
      <w:bookmarkEnd w:id="429"/>
      <w:bookmarkEnd w:id="430"/>
      <w:bookmarkEnd w:id="431"/>
    </w:p>
    <w:p w14:paraId="356B5B8A">
      <w:pPr>
        <w:pStyle w:val="5"/>
        <w:spacing w:line="500" w:lineRule="exact"/>
        <w:rPr>
          <w:rFonts w:hint="default" w:ascii="Times New Roman" w:hAnsi="Times New Roman" w:cs="Times New Roman"/>
          <w:color w:val="auto"/>
          <w:highlight w:val="none"/>
        </w:rPr>
      </w:pPr>
      <w:bookmarkStart w:id="432" w:name="_Toc32086"/>
      <w:bookmarkStart w:id="433" w:name="_Toc57713680"/>
      <w:r>
        <w:rPr>
          <w:rFonts w:hint="default" w:ascii="Times New Roman" w:hAnsi="Times New Roman" w:cs="Times New Roman"/>
          <w:color w:val="auto"/>
          <w:highlight w:val="none"/>
        </w:rPr>
        <w:t>5.2.1运行期地表水环境影响预测与评价</w:t>
      </w:r>
      <w:bookmarkEnd w:id="432"/>
      <w:bookmarkEnd w:id="433"/>
    </w:p>
    <w:p w14:paraId="02D0E00C">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本项目采取雨污分流的形式，雨水采用明沟排放，初期雨水经四周排水沟汇入厂区一座</w:t>
      </w:r>
      <w:r>
        <w:rPr>
          <w:rFonts w:hint="eastAsia" w:eastAsia="宋体" w:cs="Times New Roman"/>
          <w:color w:val="auto"/>
          <w:highlight w:val="none"/>
          <w:lang w:val="en-US" w:eastAsia="zh-CN"/>
        </w:rPr>
        <w:t>2300</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初期雨水收集池内，雨水收集后用于厂区内洒水降尘，不外排</w:t>
      </w:r>
      <w:r>
        <w:rPr>
          <w:rFonts w:hint="default" w:ascii="Times New Roman" w:hAnsi="Times New Roman" w:eastAsia="宋体" w:cs="Times New Roman"/>
          <w:color w:val="auto"/>
          <w:highlight w:val="none"/>
          <w:lang w:eastAsia="zh-CN"/>
        </w:rPr>
        <w:t>。</w:t>
      </w:r>
    </w:p>
    <w:p w14:paraId="56CF9143">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消毒用水全部损耗，不产生废水。牛饮水大部分被牛只吸收，其余以牛尿形式排出，牛舍采用垫草垫料工艺，牛尿经垫草垫料吸收后，一部分转化为无臭气体（如二氧化碳、水蒸气等）蒸发，剩余被垫草吸收，牛尿液可实现零排放。</w:t>
      </w:r>
      <w:r>
        <w:rPr>
          <w:rFonts w:hint="default" w:ascii="Times New Roman" w:hAnsi="Times New Roman" w:eastAsia="宋体" w:cs="Times New Roman"/>
          <w:color w:val="auto"/>
          <w:highlight w:val="none"/>
        </w:rPr>
        <w:t>生活污水的产生量为</w:t>
      </w:r>
      <w:r>
        <w:rPr>
          <w:rFonts w:hint="default" w:ascii="Times New Roman" w:hAnsi="Times New Roman" w:eastAsia="宋体" w:cs="Times New Roman"/>
          <w:color w:val="auto"/>
          <w:highlight w:val="none"/>
          <w:lang w:val="en-US" w:eastAsia="zh-CN"/>
        </w:rPr>
        <w:t>5.12</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1868.8</w:t>
      </w:r>
      <w:r>
        <w:rPr>
          <w:rFonts w:hint="default" w:ascii="Times New Roman" w:hAnsi="Times New Roman" w:eastAsia="宋体" w:cs="Times New Roman"/>
          <w:color w:val="auto"/>
          <w:highlight w:val="none"/>
        </w:rPr>
        <w:t>t/a。</w:t>
      </w:r>
      <w:r>
        <w:rPr>
          <w:rFonts w:hint="eastAsia" w:eastAsia="宋体" w:cs="Times New Roman"/>
          <w:color w:val="auto"/>
          <w:highlight w:val="none"/>
          <w:lang w:val="en-US" w:eastAsia="zh-CN"/>
        </w:rPr>
        <w:t>排入化粪池，定期外运，不外排。</w:t>
      </w: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内部周围设置导流槽收集渗滤液</w:t>
      </w:r>
      <w:r>
        <w:rPr>
          <w:rFonts w:hint="eastAsia" w:eastAsia="宋体" w:cs="Times New Roman"/>
          <w:color w:val="auto"/>
          <w:highlight w:val="none"/>
          <w:lang w:eastAsia="zh-CN"/>
        </w:rPr>
        <w:t>，</w:t>
      </w:r>
      <w:r>
        <w:rPr>
          <w:rFonts w:hint="eastAsia" w:ascii="Times New Roman" w:hAnsi="Times New Roman" w:eastAsia="宋体" w:cs="Times New Roman"/>
          <w:color w:val="auto"/>
          <w:sz w:val="24"/>
          <w:szCs w:val="24"/>
          <w:highlight w:val="none"/>
          <w:lang w:val="en-US" w:eastAsia="zh-CN"/>
        </w:rPr>
        <w:t>渗滤液产生量为</w:t>
      </w:r>
      <w:r>
        <w:rPr>
          <w:rFonts w:hint="eastAsia" w:eastAsia="宋体" w:cs="Times New Roman"/>
          <w:color w:val="auto"/>
          <w:sz w:val="24"/>
          <w:szCs w:val="24"/>
          <w:highlight w:val="none"/>
          <w:lang w:val="en-US" w:eastAsia="zh-CN"/>
        </w:rPr>
        <w:t>6114.3</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/a，</w:t>
      </w:r>
      <w:r>
        <w:rPr>
          <w:rFonts w:hint="eastAsia" w:eastAsia="宋体" w:cs="Times New Roman"/>
          <w:color w:val="auto"/>
          <w:sz w:val="24"/>
          <w:szCs w:val="24"/>
          <w:highlight w:val="none"/>
          <w:lang w:val="en-US" w:eastAsia="zh-CN"/>
        </w:rPr>
        <w:t>16.8</w:t>
      </w:r>
      <w:r>
        <w:rPr>
          <w:rFonts w:hint="eastAsia"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/d</w:t>
      </w:r>
      <w:r>
        <w:rPr>
          <w:rFonts w:hint="eastAsia" w:eastAsia="宋体" w:cs="Times New Roman"/>
          <w:color w:val="auto"/>
          <w:sz w:val="24"/>
          <w:szCs w:val="24"/>
          <w:highlight w:val="none"/>
          <w:lang w:val="en-US" w:eastAsia="zh-CN"/>
        </w:rPr>
        <w:t>，</w:t>
      </w:r>
      <w:r>
        <w:rPr>
          <w:rFonts w:hint="default" w:ascii="Times New Roman" w:hAnsi="Times New Roman" w:eastAsia="宋体" w:cs="Times New Roman"/>
          <w:color w:val="auto"/>
          <w:highlight w:val="none"/>
        </w:rPr>
        <w:t>设置一处渗滤液收集池（</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堆肥间渗滤液</w:t>
      </w:r>
      <w:r>
        <w:rPr>
          <w:rFonts w:hint="default" w:ascii="Times New Roman" w:hAnsi="Times New Roman" w:eastAsia="宋体" w:cs="Times New Roman"/>
          <w:color w:val="auto"/>
          <w:highlight w:val="none"/>
        </w:rPr>
        <w:t>定期喷洒至粪肥表面翻耕搅拌，不外排。青贮池渗滤液产生量为</w:t>
      </w:r>
      <w:r>
        <w:rPr>
          <w:rFonts w:hint="default" w:ascii="Times New Roman" w:hAnsi="Times New Roman" w:eastAsia="宋体" w:cs="Times New Roman"/>
          <w:color w:val="auto"/>
          <w:highlight w:val="none"/>
          <w:lang w:val="en-US" w:eastAsia="zh-CN"/>
        </w:rPr>
        <w:t>3440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val="en-US" w:eastAsia="zh-CN"/>
        </w:rPr>
        <w:t>114.66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/d。本项目在青贮窑底设置排水管道，渗滤液排入青贮液接收池中。采取将青贮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渗滤液与精料按比例配合饲喂肉牛，其味道酸甜，可促进食欲，但须随配随用，以免发霉。冬季不进行玉米秸秆青贮发酵生产，无渗滤液产生。</w:t>
      </w:r>
    </w:p>
    <w:p w14:paraId="5243B7B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因此，项目产生的废水均得到合理处理与利用而无外排，对区域地表水环境不会产生显著性不良影响。</w:t>
      </w:r>
    </w:p>
    <w:p w14:paraId="62C94A21">
      <w:pPr>
        <w:pStyle w:val="67"/>
        <w:ind w:firstLine="0" w:firstLineChars="0"/>
        <w:jc w:val="center"/>
        <w:rPr>
          <w:rFonts w:hint="default" w:ascii="Times New Roman" w:hAnsi="Times New Roman" w:cs="Times New Roman"/>
          <w:color w:val="auto"/>
          <w:highlight w:val="none"/>
        </w:rPr>
      </w:pPr>
      <w:bookmarkStart w:id="434" w:name="_Hlk10651079"/>
    </w:p>
    <w:p w14:paraId="74B5B662">
      <w:pPr>
        <w:pStyle w:val="67"/>
        <w:ind w:firstLine="0" w:firstLineChars="0"/>
        <w:jc w:val="center"/>
        <w:rPr>
          <w:rFonts w:hint="default" w:ascii="Times New Roman" w:hAnsi="Times New Roman" w:cs="Times New Roman"/>
          <w:color w:val="auto"/>
          <w:highlight w:val="none"/>
        </w:rPr>
      </w:pPr>
    </w:p>
    <w:p w14:paraId="42856FED">
      <w:pPr>
        <w:pStyle w:val="67"/>
        <w:ind w:firstLine="0" w:firstLineChars="0"/>
        <w:jc w:val="center"/>
        <w:rPr>
          <w:rFonts w:hint="default" w:ascii="Times New Roman" w:hAnsi="Times New Roman" w:cs="Times New Roman"/>
          <w:color w:val="auto"/>
          <w:highlight w:val="none"/>
        </w:rPr>
      </w:pPr>
    </w:p>
    <w:p w14:paraId="5C8DA812">
      <w:pPr>
        <w:pStyle w:val="67"/>
        <w:ind w:firstLine="0" w:firstLineChars="0"/>
        <w:jc w:val="center"/>
        <w:rPr>
          <w:rFonts w:hint="default" w:ascii="Times New Roman" w:hAnsi="Times New Roman" w:cs="Times New Roman"/>
          <w:color w:val="auto"/>
          <w:highlight w:val="none"/>
        </w:rPr>
      </w:pPr>
    </w:p>
    <w:p w14:paraId="431F9C3D">
      <w:pPr>
        <w:pStyle w:val="67"/>
        <w:ind w:firstLine="0" w:firstLineChars="0"/>
        <w:jc w:val="center"/>
        <w:rPr>
          <w:rFonts w:hint="default" w:ascii="Times New Roman" w:hAnsi="Times New Roman" w:cs="Times New Roman"/>
          <w:color w:val="auto"/>
          <w:highlight w:val="none"/>
        </w:rPr>
      </w:pPr>
    </w:p>
    <w:p w14:paraId="68617376">
      <w:pPr>
        <w:adjustRightInd/>
        <w:snapToGrid/>
        <w:spacing w:line="500" w:lineRule="exact"/>
        <w:ind w:left="0" w:leftChars="0" w:firstLine="0" w:firstLineChars="0"/>
        <w:rPr>
          <w:rFonts w:hint="default" w:ascii="Times New Roman" w:hAnsi="Times New Roman" w:cs="Times New Roman"/>
          <w:snapToGrid w:val="0"/>
          <w:color w:val="auto"/>
          <w:kern w:val="0"/>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5A6DEF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表5-2-1废水类别、污染物及污染治理设施信息表</w:t>
      </w:r>
    </w:p>
    <w:tbl>
      <w:tblPr>
        <w:tblStyle w:val="47"/>
        <w:tblW w:w="483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486"/>
        <w:gridCol w:w="1422"/>
        <w:gridCol w:w="1030"/>
        <w:gridCol w:w="1330"/>
        <w:gridCol w:w="1122"/>
        <w:gridCol w:w="1373"/>
        <w:gridCol w:w="1291"/>
        <w:gridCol w:w="771"/>
        <w:gridCol w:w="1251"/>
        <w:gridCol w:w="1310"/>
      </w:tblGrid>
      <w:tr w14:paraId="72D83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 w:type="pct"/>
            <w:vMerge w:val="restart"/>
            <w:shd w:val="clear" w:color="auto" w:fill="auto"/>
            <w:vAlign w:val="center"/>
          </w:tcPr>
          <w:p w14:paraId="5C8ED7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序号</w:t>
            </w:r>
          </w:p>
        </w:tc>
        <w:tc>
          <w:tcPr>
            <w:tcW w:w="580" w:type="pct"/>
            <w:vMerge w:val="restart"/>
            <w:shd w:val="clear" w:color="auto" w:fill="auto"/>
            <w:vAlign w:val="center"/>
          </w:tcPr>
          <w:p w14:paraId="042A23A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废水类别</w:t>
            </w:r>
            <w:r>
              <w:rPr>
                <w:rFonts w:hint="default" w:ascii="Times New Roman" w:hAnsi="Times New Roman" w:eastAsia="宋体" w:cs="Times New Roman"/>
                <w:snapToGrid w:val="0"/>
                <w:color w:val="auto"/>
                <w:highlight w:val="none"/>
                <w:vertAlign w:val="superscript"/>
              </w:rPr>
              <w:t>（a）</w:t>
            </w:r>
          </w:p>
        </w:tc>
        <w:tc>
          <w:tcPr>
            <w:tcW w:w="555" w:type="pct"/>
            <w:vMerge w:val="restart"/>
            <w:shd w:val="clear" w:color="auto" w:fill="auto"/>
            <w:vAlign w:val="center"/>
          </w:tcPr>
          <w:p w14:paraId="6471B46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p w14:paraId="06A8856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种类</w:t>
            </w:r>
            <w:r>
              <w:rPr>
                <w:rFonts w:hint="default" w:ascii="Times New Roman" w:hAnsi="Times New Roman" w:eastAsia="宋体" w:cs="Times New Roman"/>
                <w:snapToGrid w:val="0"/>
                <w:color w:val="auto"/>
                <w:highlight w:val="none"/>
                <w:vertAlign w:val="superscript"/>
              </w:rPr>
              <w:t>（b）</w:t>
            </w:r>
          </w:p>
        </w:tc>
        <w:tc>
          <w:tcPr>
            <w:tcW w:w="402" w:type="pct"/>
            <w:vMerge w:val="restart"/>
            <w:shd w:val="clear" w:color="auto" w:fill="auto"/>
            <w:vAlign w:val="center"/>
          </w:tcPr>
          <w:p w14:paraId="32A28A0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排放去向</w:t>
            </w:r>
            <w:r>
              <w:rPr>
                <w:rFonts w:hint="default" w:ascii="Times New Roman" w:hAnsi="Times New Roman" w:eastAsia="宋体" w:cs="Times New Roman"/>
                <w:snapToGrid w:val="0"/>
                <w:color w:val="auto"/>
                <w:highlight w:val="none"/>
                <w:vertAlign w:val="superscript"/>
              </w:rPr>
              <w:t>（c）</w:t>
            </w:r>
          </w:p>
        </w:tc>
        <w:tc>
          <w:tcPr>
            <w:tcW w:w="519" w:type="pct"/>
            <w:vMerge w:val="restart"/>
            <w:shd w:val="clear" w:color="auto" w:fill="auto"/>
            <w:vAlign w:val="center"/>
          </w:tcPr>
          <w:p w14:paraId="7DAA32C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排放规律</w:t>
            </w:r>
            <w:r>
              <w:rPr>
                <w:rFonts w:hint="default" w:ascii="Times New Roman" w:hAnsi="Times New Roman" w:eastAsia="宋体" w:cs="Times New Roman"/>
                <w:snapToGrid w:val="0"/>
                <w:color w:val="auto"/>
                <w:highlight w:val="none"/>
                <w:vertAlign w:val="superscript"/>
              </w:rPr>
              <w:t>（d）</w:t>
            </w:r>
          </w:p>
        </w:tc>
        <w:tc>
          <w:tcPr>
            <w:tcW w:w="1478" w:type="pct"/>
            <w:gridSpan w:val="3"/>
            <w:shd w:val="clear" w:color="auto" w:fill="auto"/>
            <w:vAlign w:val="center"/>
          </w:tcPr>
          <w:p w14:paraId="579B7E0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污染治理设施</w:t>
            </w:r>
          </w:p>
        </w:tc>
        <w:tc>
          <w:tcPr>
            <w:tcW w:w="301" w:type="pct"/>
            <w:vMerge w:val="restart"/>
            <w:shd w:val="clear" w:color="auto" w:fill="auto"/>
            <w:vAlign w:val="center"/>
          </w:tcPr>
          <w:p w14:paraId="2DBC93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排放口编号</w:t>
            </w:r>
            <w:r>
              <w:rPr>
                <w:rFonts w:hint="default" w:ascii="Times New Roman" w:hAnsi="Times New Roman" w:eastAsia="宋体" w:cs="Times New Roman"/>
                <w:snapToGrid w:val="0"/>
                <w:color w:val="auto"/>
                <w:highlight w:val="none"/>
                <w:vertAlign w:val="superscript"/>
              </w:rPr>
              <w:t>（f）</w:t>
            </w:r>
          </w:p>
        </w:tc>
        <w:tc>
          <w:tcPr>
            <w:tcW w:w="488" w:type="pct"/>
            <w:vMerge w:val="restart"/>
            <w:shd w:val="clear" w:color="auto" w:fill="auto"/>
            <w:vAlign w:val="center"/>
          </w:tcPr>
          <w:p w14:paraId="5AA8DE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排放口设置是否符合要求</w:t>
            </w:r>
            <w:r>
              <w:rPr>
                <w:rFonts w:hint="default" w:ascii="Times New Roman" w:hAnsi="Times New Roman" w:eastAsia="宋体" w:cs="Times New Roman"/>
                <w:snapToGrid w:val="0"/>
                <w:color w:val="auto"/>
                <w:highlight w:val="none"/>
                <w:vertAlign w:val="superscript"/>
              </w:rPr>
              <w:t>（g）</w:t>
            </w:r>
          </w:p>
        </w:tc>
        <w:tc>
          <w:tcPr>
            <w:tcW w:w="506" w:type="pct"/>
            <w:vMerge w:val="restart"/>
            <w:shd w:val="clear" w:color="auto" w:fill="auto"/>
            <w:vAlign w:val="center"/>
          </w:tcPr>
          <w:p w14:paraId="78E13E7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排放口</w:t>
            </w:r>
          </w:p>
          <w:p w14:paraId="5B62D33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r>
      <w:tr w14:paraId="277C3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66" w:type="pct"/>
            <w:vMerge w:val="continue"/>
            <w:shd w:val="clear" w:color="auto" w:fill="auto"/>
            <w:vAlign w:val="center"/>
          </w:tcPr>
          <w:p w14:paraId="0B14671B">
            <w:pPr>
              <w:pStyle w:val="146"/>
              <w:rPr>
                <w:rFonts w:hint="default" w:ascii="Times New Roman" w:hAnsi="Times New Roman" w:eastAsia="宋体" w:cs="Times New Roman"/>
                <w:snapToGrid w:val="0"/>
                <w:color w:val="auto"/>
                <w:highlight w:val="none"/>
              </w:rPr>
            </w:pPr>
          </w:p>
        </w:tc>
        <w:tc>
          <w:tcPr>
            <w:tcW w:w="580" w:type="pct"/>
            <w:vMerge w:val="continue"/>
            <w:shd w:val="clear" w:color="auto" w:fill="auto"/>
            <w:vAlign w:val="center"/>
          </w:tcPr>
          <w:p w14:paraId="62A32188">
            <w:pPr>
              <w:pStyle w:val="146"/>
              <w:rPr>
                <w:rFonts w:hint="default" w:ascii="Times New Roman" w:hAnsi="Times New Roman" w:eastAsia="宋体" w:cs="Times New Roman"/>
                <w:snapToGrid w:val="0"/>
                <w:color w:val="auto"/>
                <w:highlight w:val="none"/>
              </w:rPr>
            </w:pPr>
          </w:p>
        </w:tc>
        <w:tc>
          <w:tcPr>
            <w:tcW w:w="555" w:type="pct"/>
            <w:vMerge w:val="continue"/>
            <w:shd w:val="clear" w:color="auto" w:fill="auto"/>
            <w:vAlign w:val="center"/>
          </w:tcPr>
          <w:p w14:paraId="28F75991">
            <w:pPr>
              <w:pStyle w:val="146"/>
              <w:rPr>
                <w:rFonts w:hint="default" w:ascii="Times New Roman" w:hAnsi="Times New Roman" w:eastAsia="宋体" w:cs="Times New Roman"/>
                <w:snapToGrid w:val="0"/>
                <w:color w:val="auto"/>
                <w:highlight w:val="none"/>
              </w:rPr>
            </w:pPr>
          </w:p>
        </w:tc>
        <w:tc>
          <w:tcPr>
            <w:tcW w:w="402" w:type="pct"/>
            <w:vMerge w:val="continue"/>
            <w:shd w:val="clear" w:color="auto" w:fill="auto"/>
            <w:vAlign w:val="center"/>
          </w:tcPr>
          <w:p w14:paraId="25161AD4">
            <w:pPr>
              <w:pStyle w:val="146"/>
              <w:rPr>
                <w:rFonts w:hint="default" w:ascii="Times New Roman" w:hAnsi="Times New Roman" w:eastAsia="宋体" w:cs="Times New Roman"/>
                <w:snapToGrid w:val="0"/>
                <w:color w:val="auto"/>
                <w:highlight w:val="none"/>
              </w:rPr>
            </w:pPr>
          </w:p>
        </w:tc>
        <w:tc>
          <w:tcPr>
            <w:tcW w:w="519" w:type="pct"/>
            <w:vMerge w:val="continue"/>
            <w:shd w:val="clear" w:color="auto" w:fill="auto"/>
            <w:vAlign w:val="center"/>
          </w:tcPr>
          <w:p w14:paraId="633ADF17">
            <w:pPr>
              <w:pStyle w:val="146"/>
              <w:rPr>
                <w:rFonts w:hint="default" w:ascii="Times New Roman" w:hAnsi="Times New Roman" w:eastAsia="宋体" w:cs="Times New Roman"/>
                <w:snapToGrid w:val="0"/>
                <w:color w:val="auto"/>
                <w:highlight w:val="none"/>
              </w:rPr>
            </w:pPr>
          </w:p>
        </w:tc>
        <w:tc>
          <w:tcPr>
            <w:tcW w:w="438" w:type="pct"/>
            <w:shd w:val="clear" w:color="auto" w:fill="auto"/>
            <w:vAlign w:val="center"/>
          </w:tcPr>
          <w:p w14:paraId="4149B52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污染治理设施编号</w:t>
            </w:r>
          </w:p>
        </w:tc>
        <w:tc>
          <w:tcPr>
            <w:tcW w:w="536" w:type="pct"/>
            <w:shd w:val="clear" w:color="auto" w:fill="auto"/>
            <w:vAlign w:val="center"/>
          </w:tcPr>
          <w:p w14:paraId="65DF75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污染治理设施名称</w:t>
            </w:r>
            <w:r>
              <w:rPr>
                <w:rFonts w:hint="default" w:ascii="Times New Roman" w:hAnsi="Times New Roman" w:eastAsia="宋体" w:cs="Times New Roman"/>
                <w:snapToGrid w:val="0"/>
                <w:color w:val="auto"/>
                <w:highlight w:val="none"/>
                <w:vertAlign w:val="superscript"/>
              </w:rPr>
              <w:t>（e）</w:t>
            </w:r>
          </w:p>
        </w:tc>
        <w:tc>
          <w:tcPr>
            <w:tcW w:w="503" w:type="pct"/>
            <w:shd w:val="clear" w:color="auto" w:fill="auto"/>
            <w:vAlign w:val="center"/>
          </w:tcPr>
          <w:p w14:paraId="16BE418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污染治理设施工艺</w:t>
            </w:r>
          </w:p>
        </w:tc>
        <w:tc>
          <w:tcPr>
            <w:tcW w:w="301" w:type="pct"/>
            <w:vMerge w:val="continue"/>
            <w:shd w:val="clear" w:color="auto" w:fill="auto"/>
            <w:vAlign w:val="center"/>
          </w:tcPr>
          <w:p w14:paraId="0E63488C">
            <w:pPr>
              <w:pStyle w:val="146"/>
              <w:rPr>
                <w:rFonts w:hint="default" w:ascii="Times New Roman" w:hAnsi="Times New Roman" w:eastAsia="宋体" w:cs="Times New Roman"/>
                <w:snapToGrid w:val="0"/>
                <w:color w:val="auto"/>
                <w:highlight w:val="none"/>
              </w:rPr>
            </w:pPr>
          </w:p>
        </w:tc>
        <w:tc>
          <w:tcPr>
            <w:tcW w:w="488" w:type="pct"/>
            <w:vMerge w:val="continue"/>
            <w:shd w:val="clear" w:color="auto" w:fill="auto"/>
            <w:vAlign w:val="center"/>
          </w:tcPr>
          <w:p w14:paraId="3E0D72F5">
            <w:pPr>
              <w:pStyle w:val="146"/>
              <w:rPr>
                <w:rFonts w:hint="default" w:ascii="Times New Roman" w:hAnsi="Times New Roman" w:eastAsia="宋体" w:cs="Times New Roman"/>
                <w:snapToGrid w:val="0"/>
                <w:color w:val="auto"/>
                <w:highlight w:val="none"/>
              </w:rPr>
            </w:pPr>
          </w:p>
        </w:tc>
        <w:tc>
          <w:tcPr>
            <w:tcW w:w="506" w:type="pct"/>
            <w:vMerge w:val="continue"/>
            <w:shd w:val="clear" w:color="auto" w:fill="auto"/>
            <w:vAlign w:val="center"/>
          </w:tcPr>
          <w:p w14:paraId="0539BB25">
            <w:pPr>
              <w:pStyle w:val="146"/>
              <w:rPr>
                <w:rFonts w:hint="default" w:ascii="Times New Roman" w:hAnsi="Times New Roman" w:eastAsia="宋体" w:cs="Times New Roman"/>
                <w:snapToGrid w:val="0"/>
                <w:color w:val="auto"/>
                <w:highlight w:val="none"/>
              </w:rPr>
            </w:pPr>
          </w:p>
        </w:tc>
      </w:tr>
      <w:tr w14:paraId="262E5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 w:type="pct"/>
            <w:shd w:val="clear" w:color="auto" w:fill="auto"/>
            <w:vAlign w:val="center"/>
          </w:tcPr>
          <w:p w14:paraId="4E566A1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c>
          <w:tcPr>
            <w:tcW w:w="580" w:type="pct"/>
            <w:shd w:val="clear" w:color="auto" w:fill="auto"/>
            <w:vAlign w:val="center"/>
          </w:tcPr>
          <w:p w14:paraId="085FFD9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highlight w:val="none"/>
                <w:lang w:val="en-US" w:eastAsia="zh-CN"/>
              </w:rPr>
              <w:t>生活污水</w:t>
            </w:r>
          </w:p>
        </w:tc>
        <w:tc>
          <w:tcPr>
            <w:tcW w:w="555" w:type="pct"/>
            <w:vMerge w:val="restart"/>
            <w:shd w:val="clear" w:color="auto" w:fill="auto"/>
            <w:vAlign w:val="center"/>
          </w:tcPr>
          <w:p w14:paraId="3CCE30A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w:t>
            </w:r>
          </w:p>
        </w:tc>
        <w:tc>
          <w:tcPr>
            <w:tcW w:w="402" w:type="pct"/>
            <w:shd w:val="clear" w:color="auto" w:fill="auto"/>
            <w:vAlign w:val="center"/>
          </w:tcPr>
          <w:p w14:paraId="43E207B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w:t>
            </w:r>
          </w:p>
        </w:tc>
        <w:tc>
          <w:tcPr>
            <w:tcW w:w="519" w:type="pct"/>
            <w:shd w:val="clear" w:color="auto" w:fill="auto"/>
            <w:vAlign w:val="center"/>
          </w:tcPr>
          <w:p w14:paraId="46D8B6A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438" w:type="pct"/>
            <w:shd w:val="clear" w:color="auto" w:fill="auto"/>
            <w:vAlign w:val="center"/>
          </w:tcPr>
          <w:p w14:paraId="061EA50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36" w:type="pct"/>
            <w:shd w:val="clear" w:color="auto" w:fill="auto"/>
            <w:vAlign w:val="center"/>
          </w:tcPr>
          <w:p w14:paraId="5294EC58">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化粪池</w:t>
            </w:r>
          </w:p>
        </w:tc>
        <w:tc>
          <w:tcPr>
            <w:tcW w:w="503" w:type="pct"/>
            <w:shd w:val="clear" w:color="auto" w:fill="auto"/>
            <w:vAlign w:val="center"/>
          </w:tcPr>
          <w:p w14:paraId="47DC3C87">
            <w:pPr>
              <w:pStyle w:val="146"/>
              <w:rPr>
                <w:rFonts w:hint="eastAsia" w:ascii="Times New Roman" w:hAnsi="Times New Roman" w:eastAsia="宋体" w:cs="Times New Roman"/>
                <w:snapToGrid w:val="0"/>
                <w:color w:val="auto"/>
                <w:highlight w:val="none"/>
                <w:lang w:eastAsia="zh-CN"/>
              </w:rPr>
            </w:pPr>
            <w:r>
              <w:rPr>
                <w:rFonts w:hint="eastAsia" w:eastAsia="宋体" w:cs="Times New Roman"/>
                <w:snapToGrid w:val="0"/>
                <w:color w:val="auto"/>
                <w:highlight w:val="none"/>
                <w:lang w:val="en-US" w:eastAsia="zh-CN"/>
              </w:rPr>
              <w:t>/</w:t>
            </w:r>
          </w:p>
        </w:tc>
        <w:tc>
          <w:tcPr>
            <w:tcW w:w="301" w:type="pct"/>
            <w:shd w:val="clear" w:color="auto" w:fill="auto"/>
            <w:vAlign w:val="center"/>
          </w:tcPr>
          <w:p w14:paraId="5F1B7D8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488" w:type="pct"/>
            <w:shd w:val="clear" w:color="auto" w:fill="auto"/>
            <w:vAlign w:val="center"/>
          </w:tcPr>
          <w:p w14:paraId="3FC35E9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06" w:type="pct"/>
            <w:shd w:val="clear" w:color="auto" w:fill="auto"/>
            <w:vAlign w:val="center"/>
          </w:tcPr>
          <w:p w14:paraId="18E725B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3811D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 w:type="pct"/>
            <w:shd w:val="clear" w:color="auto" w:fill="auto"/>
            <w:vAlign w:val="center"/>
          </w:tcPr>
          <w:p w14:paraId="782A2E43">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w:t>
            </w:r>
          </w:p>
        </w:tc>
        <w:tc>
          <w:tcPr>
            <w:tcW w:w="580" w:type="pct"/>
            <w:shd w:val="clear" w:color="auto" w:fill="auto"/>
            <w:vAlign w:val="center"/>
          </w:tcPr>
          <w:p w14:paraId="638F37B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养殖废水</w:t>
            </w:r>
          </w:p>
        </w:tc>
        <w:tc>
          <w:tcPr>
            <w:tcW w:w="555" w:type="pct"/>
            <w:vMerge w:val="continue"/>
            <w:shd w:val="clear" w:color="auto" w:fill="auto"/>
            <w:vAlign w:val="center"/>
          </w:tcPr>
          <w:p w14:paraId="499979D8">
            <w:pPr>
              <w:pStyle w:val="146"/>
              <w:rPr>
                <w:rFonts w:hint="default" w:ascii="Times New Roman" w:hAnsi="Times New Roman" w:eastAsia="宋体" w:cs="Times New Roman"/>
                <w:snapToGrid w:val="0"/>
                <w:color w:val="auto"/>
                <w:highlight w:val="none"/>
              </w:rPr>
            </w:pPr>
          </w:p>
        </w:tc>
        <w:tc>
          <w:tcPr>
            <w:tcW w:w="402" w:type="pct"/>
            <w:shd w:val="clear" w:color="auto" w:fill="auto"/>
            <w:vAlign w:val="center"/>
          </w:tcPr>
          <w:p w14:paraId="188497E5">
            <w:pPr>
              <w:pStyle w:val="146"/>
              <w:rPr>
                <w:rFonts w:hint="eastAsia"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不外排</w:t>
            </w:r>
          </w:p>
        </w:tc>
        <w:tc>
          <w:tcPr>
            <w:tcW w:w="519" w:type="pct"/>
            <w:shd w:val="clear" w:color="auto" w:fill="auto"/>
            <w:vAlign w:val="center"/>
          </w:tcPr>
          <w:p w14:paraId="0B21B5BB">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38" w:type="pct"/>
            <w:shd w:val="clear" w:color="auto" w:fill="auto"/>
            <w:vAlign w:val="center"/>
          </w:tcPr>
          <w:p w14:paraId="6142BCAD">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36" w:type="pct"/>
            <w:shd w:val="clear" w:color="auto" w:fill="auto"/>
            <w:vAlign w:val="center"/>
          </w:tcPr>
          <w:p w14:paraId="615DE648">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进入生物垫料</w:t>
            </w:r>
          </w:p>
        </w:tc>
        <w:tc>
          <w:tcPr>
            <w:tcW w:w="503" w:type="pct"/>
            <w:shd w:val="clear" w:color="auto" w:fill="auto"/>
            <w:vAlign w:val="center"/>
          </w:tcPr>
          <w:p w14:paraId="172FB7F5">
            <w:pPr>
              <w:pStyle w:val="146"/>
              <w:ind w:left="0" w:leftChars="0" w:firstLine="0" w:firstLineChars="0"/>
              <w:rPr>
                <w:rFonts w:hint="eastAsia"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w:t>
            </w:r>
          </w:p>
        </w:tc>
        <w:tc>
          <w:tcPr>
            <w:tcW w:w="301" w:type="pct"/>
            <w:shd w:val="clear" w:color="auto" w:fill="auto"/>
            <w:vAlign w:val="center"/>
          </w:tcPr>
          <w:p w14:paraId="08984E70">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88" w:type="pct"/>
            <w:shd w:val="clear" w:color="auto" w:fill="auto"/>
            <w:vAlign w:val="center"/>
          </w:tcPr>
          <w:p w14:paraId="4E470C4E">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06" w:type="pct"/>
            <w:shd w:val="clear" w:color="auto" w:fill="auto"/>
            <w:vAlign w:val="center"/>
          </w:tcPr>
          <w:p w14:paraId="69FA2B11">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r>
      <w:tr w14:paraId="3BD84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 w:type="pct"/>
            <w:shd w:val="clear" w:color="auto" w:fill="auto"/>
            <w:vAlign w:val="center"/>
          </w:tcPr>
          <w:p w14:paraId="1301505E">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w:t>
            </w:r>
          </w:p>
        </w:tc>
        <w:tc>
          <w:tcPr>
            <w:tcW w:w="580" w:type="pct"/>
            <w:shd w:val="clear" w:color="auto" w:fill="auto"/>
            <w:vAlign w:val="center"/>
          </w:tcPr>
          <w:p w14:paraId="6CFA0158">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堆肥间渗滤液</w:t>
            </w:r>
          </w:p>
        </w:tc>
        <w:tc>
          <w:tcPr>
            <w:tcW w:w="555" w:type="pct"/>
            <w:vMerge w:val="continue"/>
            <w:shd w:val="clear" w:color="auto" w:fill="auto"/>
            <w:vAlign w:val="center"/>
          </w:tcPr>
          <w:p w14:paraId="1C2A0030">
            <w:pPr>
              <w:pStyle w:val="146"/>
              <w:rPr>
                <w:rFonts w:hint="default" w:ascii="Times New Roman" w:hAnsi="Times New Roman" w:eastAsia="宋体" w:cs="Times New Roman"/>
                <w:snapToGrid w:val="0"/>
                <w:color w:val="auto"/>
                <w:highlight w:val="none"/>
              </w:rPr>
            </w:pPr>
          </w:p>
        </w:tc>
        <w:tc>
          <w:tcPr>
            <w:tcW w:w="402" w:type="pct"/>
            <w:shd w:val="clear" w:color="auto" w:fill="auto"/>
            <w:vAlign w:val="center"/>
          </w:tcPr>
          <w:p w14:paraId="2FE98FE2">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不外排</w:t>
            </w:r>
          </w:p>
        </w:tc>
        <w:tc>
          <w:tcPr>
            <w:tcW w:w="519" w:type="pct"/>
            <w:shd w:val="clear" w:color="auto" w:fill="auto"/>
            <w:vAlign w:val="center"/>
          </w:tcPr>
          <w:p w14:paraId="09EBA349">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38" w:type="pct"/>
            <w:shd w:val="clear" w:color="auto" w:fill="auto"/>
            <w:vAlign w:val="center"/>
          </w:tcPr>
          <w:p w14:paraId="64721A46">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36" w:type="pct"/>
            <w:shd w:val="clear" w:color="auto" w:fill="auto"/>
            <w:vAlign w:val="center"/>
          </w:tcPr>
          <w:p w14:paraId="09257BD2">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渗滤液收集池</w:t>
            </w:r>
          </w:p>
        </w:tc>
        <w:tc>
          <w:tcPr>
            <w:tcW w:w="503" w:type="pct"/>
            <w:shd w:val="clear" w:color="auto" w:fill="auto"/>
            <w:vAlign w:val="center"/>
          </w:tcPr>
          <w:p w14:paraId="4A0738D2">
            <w:pPr>
              <w:pStyle w:val="146"/>
              <w:ind w:left="0" w:leftChars="0" w:firstLine="0" w:firstLineChars="0"/>
              <w:rPr>
                <w:rFonts w:hint="eastAsia"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w:t>
            </w:r>
          </w:p>
        </w:tc>
        <w:tc>
          <w:tcPr>
            <w:tcW w:w="301" w:type="pct"/>
            <w:shd w:val="clear" w:color="auto" w:fill="auto"/>
            <w:vAlign w:val="center"/>
          </w:tcPr>
          <w:p w14:paraId="3780E9C6">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88" w:type="pct"/>
            <w:shd w:val="clear" w:color="auto" w:fill="auto"/>
            <w:vAlign w:val="center"/>
          </w:tcPr>
          <w:p w14:paraId="14857748">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06" w:type="pct"/>
            <w:shd w:val="clear" w:color="auto" w:fill="auto"/>
            <w:vAlign w:val="center"/>
          </w:tcPr>
          <w:p w14:paraId="374F8529">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r>
      <w:tr w14:paraId="5C141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 w:type="pct"/>
            <w:shd w:val="clear" w:color="auto" w:fill="auto"/>
            <w:vAlign w:val="center"/>
          </w:tcPr>
          <w:p w14:paraId="7C6D6668">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4</w:t>
            </w:r>
          </w:p>
        </w:tc>
        <w:tc>
          <w:tcPr>
            <w:tcW w:w="580" w:type="pct"/>
            <w:shd w:val="clear" w:color="auto" w:fill="auto"/>
            <w:vAlign w:val="center"/>
          </w:tcPr>
          <w:p w14:paraId="17D6098C">
            <w:pPr>
              <w:pStyle w:val="146"/>
              <w:rPr>
                <w:rFonts w:hint="default" w:eastAsia="宋体" w:cs="Times New Roman"/>
                <w:color w:val="auto"/>
                <w:highlight w:val="none"/>
                <w:lang w:val="en-US" w:eastAsia="zh-CN"/>
              </w:rPr>
            </w:pPr>
            <w:r>
              <w:rPr>
                <w:rFonts w:hint="eastAsia" w:eastAsia="宋体" w:cs="Times New Roman"/>
                <w:color w:val="auto"/>
                <w:highlight w:val="none"/>
                <w:lang w:val="en-US" w:eastAsia="zh-CN"/>
              </w:rPr>
              <w:t>青储窖渗滤液</w:t>
            </w:r>
          </w:p>
        </w:tc>
        <w:tc>
          <w:tcPr>
            <w:tcW w:w="555" w:type="pct"/>
            <w:vMerge w:val="continue"/>
            <w:shd w:val="clear" w:color="auto" w:fill="auto"/>
            <w:vAlign w:val="center"/>
          </w:tcPr>
          <w:p w14:paraId="2F0D1D41">
            <w:pPr>
              <w:pStyle w:val="146"/>
              <w:rPr>
                <w:rFonts w:hint="default" w:ascii="Times New Roman" w:hAnsi="Times New Roman" w:eastAsia="宋体" w:cs="Times New Roman"/>
                <w:snapToGrid w:val="0"/>
                <w:color w:val="auto"/>
                <w:highlight w:val="none"/>
              </w:rPr>
            </w:pPr>
          </w:p>
        </w:tc>
        <w:tc>
          <w:tcPr>
            <w:tcW w:w="402" w:type="pct"/>
            <w:shd w:val="clear" w:color="auto" w:fill="auto"/>
            <w:vAlign w:val="center"/>
          </w:tcPr>
          <w:p w14:paraId="4FCCD6A4">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不外排</w:t>
            </w:r>
          </w:p>
        </w:tc>
        <w:tc>
          <w:tcPr>
            <w:tcW w:w="519" w:type="pct"/>
            <w:shd w:val="clear" w:color="auto" w:fill="auto"/>
            <w:vAlign w:val="center"/>
          </w:tcPr>
          <w:p w14:paraId="2BC429D9">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38" w:type="pct"/>
            <w:shd w:val="clear" w:color="auto" w:fill="auto"/>
            <w:vAlign w:val="center"/>
          </w:tcPr>
          <w:p w14:paraId="31CE105B">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36" w:type="pct"/>
            <w:shd w:val="clear" w:color="auto" w:fill="auto"/>
            <w:vAlign w:val="center"/>
          </w:tcPr>
          <w:p w14:paraId="020B88A5">
            <w:pPr>
              <w:pStyle w:val="146"/>
              <w:rPr>
                <w:rFonts w:hint="default"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混合饲料饲养肉牛</w:t>
            </w:r>
          </w:p>
        </w:tc>
        <w:tc>
          <w:tcPr>
            <w:tcW w:w="503" w:type="pct"/>
            <w:shd w:val="clear" w:color="auto" w:fill="auto"/>
            <w:vAlign w:val="center"/>
          </w:tcPr>
          <w:p w14:paraId="0D720CEA">
            <w:pPr>
              <w:pStyle w:val="146"/>
              <w:ind w:left="0" w:leftChars="0" w:firstLine="0" w:firstLineChars="0"/>
              <w:rPr>
                <w:rFonts w:hint="eastAsia"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w:t>
            </w:r>
          </w:p>
        </w:tc>
        <w:tc>
          <w:tcPr>
            <w:tcW w:w="301" w:type="pct"/>
            <w:shd w:val="clear" w:color="auto" w:fill="auto"/>
            <w:vAlign w:val="center"/>
          </w:tcPr>
          <w:p w14:paraId="7F76A186">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488" w:type="pct"/>
            <w:shd w:val="clear" w:color="auto" w:fill="auto"/>
            <w:vAlign w:val="center"/>
          </w:tcPr>
          <w:p w14:paraId="31509FF3">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c>
          <w:tcPr>
            <w:tcW w:w="506" w:type="pct"/>
            <w:shd w:val="clear" w:color="auto" w:fill="auto"/>
            <w:vAlign w:val="center"/>
          </w:tcPr>
          <w:p w14:paraId="0531ED2B">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w:t>
            </w:r>
          </w:p>
        </w:tc>
      </w:tr>
      <w:tr w14:paraId="41D6D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000" w:type="pct"/>
            <w:gridSpan w:val="11"/>
            <w:shd w:val="clear" w:color="auto" w:fill="auto"/>
            <w:vAlign w:val="center"/>
          </w:tcPr>
          <w:p w14:paraId="6E362B1C">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a </w:t>
            </w:r>
            <w:r>
              <w:rPr>
                <w:rFonts w:hint="default" w:ascii="Times New Roman" w:hAnsi="Times New Roman" w:eastAsia="宋体" w:cs="Times New Roman"/>
                <w:snapToGrid w:val="0"/>
                <w:color w:val="auto"/>
                <w:highlight w:val="none"/>
              </w:rPr>
              <w:t>指产生废水的工艺、工序，或废水类型的名称。</w:t>
            </w:r>
          </w:p>
          <w:p w14:paraId="2B88C993">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b </w:t>
            </w:r>
            <w:r>
              <w:rPr>
                <w:rFonts w:hint="default" w:ascii="Times New Roman" w:hAnsi="Times New Roman" w:eastAsia="宋体" w:cs="Times New Roman"/>
                <w:snapToGrid w:val="0"/>
                <w:color w:val="auto"/>
                <w:highlight w:val="none"/>
              </w:rPr>
              <w:t>指产生的主要污染物类型，以相应排放标准中确定的污染因子为准。</w:t>
            </w:r>
          </w:p>
          <w:p w14:paraId="109B26FD">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c </w:t>
            </w:r>
            <w:r>
              <w:rPr>
                <w:rFonts w:hint="default" w:ascii="Times New Roman" w:hAnsi="Times New Roman" w:eastAsia="宋体" w:cs="Times New Roman"/>
                <w:snapToGrid w:val="0"/>
                <w:color w:val="auto"/>
                <w:highlight w:val="none"/>
              </w:rPr>
              <w:t>包括不外排；排至厂内综合污水处理站；直接进入海域；直接进入江河、湖、库等水环境；进入城市下水道（再入江河、湖、库）；进入城市下水道（再入沿海海域）；进入城市污水处理厂；直接进入污灌农田；进入地渗或蒸发地；进入其他单位；工业废水集中处理厂；其他（包括回用等）。对于工艺、工序产生的废水，“不外排”指全部在工序内部循环使用，“排至厂内综合污水处理站”指工序废水经处理后排至综合处理站。对于综合污水处理站，“不外排”指全厂废水经处理后全部回用不排放。</w:t>
            </w:r>
          </w:p>
          <w:p w14:paraId="3F3AB0A7">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d </w:t>
            </w:r>
            <w:r>
              <w:rPr>
                <w:rFonts w:hint="default" w:ascii="Times New Roman" w:hAnsi="Times New Roman" w:eastAsia="宋体" w:cs="Times New Roman"/>
                <w:snapToGrid w:val="0"/>
                <w:color w:val="auto"/>
                <w:highlight w:val="none"/>
              </w:rPr>
              <w:t>包括连续排放，流量稳定；连续排放，流量不稳定，但有周期性规律；连续排放，流量不稳定，但有规律，且不属于周期性规律；连续排放，流量不稳定，属于冲击型排放；连续排放，流量不稳定且无规律，但不属于冲击型排放；间断排放，排放期间流量稳定；间断排放，排放期间流量不稳定，但有周期性规律；间断排放，排放期间流量不稳定，但有规律，且不属于非周期性规律；间断排放，排放期间流量不稳定，属于冲击型排放；间断排放，排放期间流量不稳定且无规律，但不属于冲击型排放。</w:t>
            </w:r>
          </w:p>
          <w:p w14:paraId="45656A4C">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e </w:t>
            </w:r>
            <w:r>
              <w:rPr>
                <w:rFonts w:hint="default" w:ascii="Times New Roman" w:hAnsi="Times New Roman" w:eastAsia="宋体" w:cs="Times New Roman"/>
                <w:snapToGrid w:val="0"/>
                <w:color w:val="auto"/>
                <w:highlight w:val="none"/>
              </w:rPr>
              <w:t>指主要污水处理设施名称，如“综合污水处理站”“生活污水处理系统”等。</w:t>
            </w:r>
          </w:p>
          <w:p w14:paraId="5DA11DDF">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f </w:t>
            </w:r>
            <w:r>
              <w:rPr>
                <w:rFonts w:hint="default" w:ascii="Times New Roman" w:hAnsi="Times New Roman" w:eastAsia="宋体" w:cs="Times New Roman"/>
                <w:snapToGrid w:val="0"/>
                <w:color w:val="auto"/>
                <w:highlight w:val="none"/>
              </w:rPr>
              <w:t>排放口编号可按地方环境管理部门现有编号进行填写或由企业根据国家相关规范进行编制。</w:t>
            </w:r>
          </w:p>
          <w:p w14:paraId="29DBE615">
            <w:pPr>
              <w:pStyle w:val="146"/>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vertAlign w:val="superscript"/>
              </w:rPr>
              <w:t xml:space="preserve">g </w:t>
            </w:r>
            <w:r>
              <w:rPr>
                <w:rFonts w:hint="default" w:ascii="Times New Roman" w:hAnsi="Times New Roman" w:eastAsia="宋体" w:cs="Times New Roman"/>
                <w:snapToGrid w:val="0"/>
                <w:color w:val="auto"/>
                <w:highlight w:val="none"/>
              </w:rPr>
              <w:t>指排放口设置是否符合排放口规范化整治技术要求等相关文件的规定。</w:t>
            </w:r>
          </w:p>
        </w:tc>
      </w:tr>
    </w:tbl>
    <w:p w14:paraId="0A58FD40">
      <w:pPr>
        <w:spacing w:line="500" w:lineRule="exact"/>
        <w:jc w:val="center"/>
        <w:rPr>
          <w:rFonts w:hint="default" w:ascii="Times New Roman" w:hAnsi="Times New Roman" w:cs="Times New Roman"/>
          <w:snapToGrid w:val="0"/>
          <w:color w:val="auto"/>
          <w:kern w:val="0"/>
          <w:highlight w:val="none"/>
        </w:rPr>
      </w:pPr>
    </w:p>
    <w:p w14:paraId="5F4DC8A6">
      <w:pPr>
        <w:spacing w:line="500" w:lineRule="exact"/>
        <w:jc w:val="center"/>
        <w:rPr>
          <w:rFonts w:hint="default" w:ascii="Times New Roman" w:hAnsi="Times New Roman" w:cs="Times New Roman"/>
          <w:snapToGrid w:val="0"/>
          <w:color w:val="auto"/>
          <w:kern w:val="0"/>
          <w:highlight w:val="none"/>
        </w:rPr>
      </w:pPr>
    </w:p>
    <w:p w14:paraId="6F65B120">
      <w:pPr>
        <w:spacing w:line="500" w:lineRule="exact"/>
        <w:jc w:val="center"/>
        <w:rPr>
          <w:rFonts w:hint="default" w:ascii="Times New Roman" w:hAnsi="Times New Roman" w:cs="Times New Roman"/>
          <w:snapToGrid w:val="0"/>
          <w:color w:val="auto"/>
          <w:kern w:val="0"/>
          <w:highlight w:val="none"/>
        </w:rPr>
      </w:pPr>
    </w:p>
    <w:p w14:paraId="1EF8C8F2">
      <w:pPr>
        <w:adjustRightInd/>
        <w:snapToGrid/>
        <w:spacing w:line="500" w:lineRule="exact"/>
        <w:rPr>
          <w:rFonts w:hint="default" w:ascii="Times New Roman" w:hAnsi="Times New Roman" w:cs="Times New Roman"/>
          <w:snapToGrid w:val="0"/>
          <w:color w:val="auto"/>
          <w:kern w:val="0"/>
          <w:highlight w:val="none"/>
        </w:rPr>
        <w:sectPr>
          <w:pgSz w:w="16838" w:h="11906" w:orient="landscape"/>
          <w:pgMar w:top="1440" w:right="1800" w:bottom="1440" w:left="1800" w:header="851" w:footer="907" w:gutter="0"/>
          <w:pgBorders>
            <w:top w:val="none" w:sz="0" w:space="0"/>
            <w:left w:val="none" w:sz="0" w:space="0"/>
            <w:bottom w:val="none" w:sz="0" w:space="0"/>
            <w:right w:val="none" w:sz="0" w:space="0"/>
          </w:pgBorders>
          <w:cols w:space="425" w:num="1"/>
          <w:docGrid w:type="lines" w:linePitch="326" w:charSpace="0"/>
        </w:sectPr>
      </w:pPr>
    </w:p>
    <w:bookmarkEnd w:id="434"/>
    <w:p w14:paraId="53D5E8E1">
      <w:pPr>
        <w:pStyle w:val="5"/>
        <w:spacing w:line="500" w:lineRule="exact"/>
        <w:rPr>
          <w:rFonts w:hint="default" w:ascii="Times New Roman" w:hAnsi="Times New Roman" w:cs="Times New Roman"/>
          <w:color w:val="auto"/>
          <w:highlight w:val="none"/>
        </w:rPr>
      </w:pPr>
      <w:bookmarkStart w:id="435" w:name="_Toc7315"/>
      <w:bookmarkStart w:id="436" w:name="_Toc57713681"/>
      <w:r>
        <w:rPr>
          <w:rFonts w:hint="default" w:ascii="Times New Roman" w:hAnsi="Times New Roman" w:cs="Times New Roman"/>
          <w:color w:val="auto"/>
          <w:highlight w:val="none"/>
        </w:rPr>
        <w:t>5.2.2运行期地下水环境影响预测与评价</w:t>
      </w:r>
      <w:bookmarkEnd w:id="435"/>
      <w:bookmarkEnd w:id="436"/>
    </w:p>
    <w:p w14:paraId="3DF16C61">
      <w:pPr>
        <w:pStyle w:val="5"/>
        <w:rPr>
          <w:rFonts w:hint="default" w:ascii="Times New Roman" w:hAnsi="Times New Roman" w:cs="Times New Roman"/>
          <w:color w:val="auto"/>
          <w:highlight w:val="none"/>
        </w:rPr>
      </w:pPr>
      <w:bookmarkStart w:id="437" w:name="_Toc20030"/>
      <w:r>
        <w:rPr>
          <w:rFonts w:hint="default" w:ascii="Times New Roman" w:hAnsi="Times New Roman" w:cs="Times New Roman"/>
          <w:color w:val="auto"/>
          <w:highlight w:val="none"/>
        </w:rPr>
        <w:t>5.2.2.1项目对地下水影响预测</w:t>
      </w:r>
      <w:bookmarkEnd w:id="437"/>
    </w:p>
    <w:p w14:paraId="55162E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1、预测范围</w:t>
      </w:r>
    </w:p>
    <w:p w14:paraId="33D2B4B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地下水环境》（HJ610-2016）的要求，本次地下水环境影响评价预测范围与地下水现状调查范围一致（边界上游1000m、下游2000m、两侧各1000m范围的矩形），预测层位为地下水的潜水含水层。</w:t>
      </w:r>
    </w:p>
    <w:p w14:paraId="7643430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2、预测时段</w:t>
      </w:r>
    </w:p>
    <w:p w14:paraId="35C87F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结合地下水跟踪监测的频率（1次/季度），预测时段设定为</w:t>
      </w:r>
      <w:r>
        <w:rPr>
          <w:rFonts w:hint="eastAsia" w:eastAsia="宋体" w:cs="Times New Roman"/>
          <w:color w:val="auto"/>
          <w:highlight w:val="none"/>
          <w:lang w:val="en-US" w:eastAsia="zh-CN"/>
        </w:rPr>
        <w:t>堆肥间渗滤液收集池</w:t>
      </w:r>
      <w:r>
        <w:rPr>
          <w:rFonts w:hint="default" w:ascii="Times New Roman" w:hAnsi="Times New Roman" w:eastAsia="宋体" w:cs="Times New Roman"/>
          <w:color w:val="auto"/>
          <w:highlight w:val="none"/>
        </w:rPr>
        <w:t>泄漏后的100天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1000天</w:t>
      </w:r>
      <w:r>
        <w:rPr>
          <w:rFonts w:hint="default" w:ascii="Times New Roman" w:hAnsi="Times New Roman" w:eastAsia="宋体" w:cs="Times New Roman"/>
          <w:color w:val="auto"/>
          <w:highlight w:val="none"/>
          <w:lang w:val="en-US" w:eastAsia="zh-CN"/>
        </w:rPr>
        <w:t>和</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0a</w:t>
      </w:r>
      <w:r>
        <w:rPr>
          <w:rFonts w:hint="default" w:ascii="Times New Roman" w:hAnsi="Times New Roman" w:eastAsia="宋体" w:cs="Times New Roman"/>
          <w:color w:val="auto"/>
          <w:highlight w:val="none"/>
        </w:rPr>
        <w:t>。</w:t>
      </w:r>
    </w:p>
    <w:p w14:paraId="206D1340">
      <w:pPr>
        <w:pStyle w:val="67"/>
        <w:ind w:firstLine="480"/>
        <w:rPr>
          <w:rFonts w:hint="default" w:ascii="Times New Roman" w:hAnsi="Times New Roman" w:eastAsia="宋体" w:cs="Times New Roman"/>
          <w:b/>
          <w:color w:val="auto"/>
          <w:highlight w:val="none"/>
        </w:rPr>
      </w:pPr>
      <w:r>
        <w:rPr>
          <w:rFonts w:hint="default" w:ascii="Times New Roman" w:hAnsi="Times New Roman" w:eastAsia="宋体" w:cs="Times New Roman"/>
          <w:color w:val="auto"/>
          <w:highlight w:val="none"/>
        </w:rPr>
        <w:t>3、情景设置</w:t>
      </w:r>
    </w:p>
    <w:p w14:paraId="741F970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（1）运营期正常工况下地下水环境影响分析</w:t>
      </w:r>
    </w:p>
    <w:p w14:paraId="5685964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有可能存在污染因子入渗而影响地下水的可能，在按照《给水排水工程构筑物结构设计规范》（GB50069-2002）中有关防渗要求构筑前提下，认真落实报告书中提出的地下水污染防治措施的基础上，项目运行期间产生的废水不会渗入地下，不会对地下水产生影响。</w:t>
      </w:r>
    </w:p>
    <w:p w14:paraId="4419E9C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（2）运营期非正常工况下地下水环境影响预测</w:t>
      </w:r>
    </w:p>
    <w:p w14:paraId="1E05437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非正常工况是指违反操作规程和有关规定或由于设备和管道的损坏，使正常生产秩序被破坏，造成环境污染的状态。污染来源于埋在地下不可视部分的破损、管线泄漏等。</w:t>
      </w:r>
    </w:p>
    <w:p w14:paraId="186DF3F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1）泄漏点的设定</w:t>
      </w:r>
    </w:p>
    <w:p w14:paraId="5A5855A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根据设计方案，</w:t>
      </w:r>
      <w:r>
        <w:rPr>
          <w:rFonts w:hint="eastAsia" w:eastAsia="宋体" w:cs="Times New Roman"/>
          <w:color w:val="auto"/>
          <w:highlight w:val="none"/>
          <w:lang w:val="en-US" w:eastAsia="zh-CN"/>
        </w:rPr>
        <w:t>储粪间地面</w:t>
      </w:r>
      <w:r>
        <w:rPr>
          <w:rFonts w:hint="default" w:ascii="Times New Roman" w:hAnsi="Times New Roman" w:eastAsia="宋体" w:cs="Times New Roman"/>
          <w:color w:val="auto"/>
          <w:highlight w:val="none"/>
        </w:rPr>
        <w:t>非可视部位发生小面积渗漏时，可能有少量污水通过泄漏点，渗入土壤通过包气带进入地下水。</w:t>
      </w:r>
    </w:p>
    <w:p w14:paraId="3FD7ED1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综合考虑本项目废水的特性，以及所在区域的水文地质条件，本次评价中假设项目在非正常工况下的泄漏点是，</w:t>
      </w:r>
      <w:r>
        <w:rPr>
          <w:rFonts w:hint="eastAsia" w:eastAsia="宋体" w:cs="Times New Roman"/>
          <w:color w:val="auto"/>
          <w:highlight w:val="none"/>
          <w:lang w:val="en-US" w:eastAsia="zh-CN"/>
        </w:rPr>
        <w:t>堆肥间渗滤液收集池</w:t>
      </w:r>
      <w:r>
        <w:rPr>
          <w:rFonts w:hint="default" w:ascii="Times New Roman" w:hAnsi="Times New Roman" w:eastAsia="宋体" w:cs="Times New Roman"/>
          <w:color w:val="auto"/>
          <w:highlight w:val="none"/>
        </w:rPr>
        <w:t>发生泄漏</w:t>
      </w:r>
      <w:r>
        <w:rPr>
          <w:rFonts w:hint="eastAsia" w:eastAsia="宋体" w:cs="Times New Roman"/>
          <w:color w:val="auto"/>
          <w:highlight w:val="none"/>
          <w:lang w:val="en-US" w:eastAsia="zh-CN"/>
        </w:rPr>
        <w:t>，</w:t>
      </w:r>
      <w:r>
        <w:rPr>
          <w:rFonts w:hint="default" w:ascii="Times New Roman" w:hAnsi="Times New Roman" w:eastAsia="宋体" w:cs="Times New Roman"/>
          <w:color w:val="auto"/>
          <w:highlight w:val="none"/>
        </w:rPr>
        <w:t>该点也比较隐蔽，对地下水影响较大，不易被发现。</w:t>
      </w:r>
    </w:p>
    <w:p w14:paraId="6853ACF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2）预测时段</w:t>
      </w:r>
    </w:p>
    <w:p w14:paraId="00FCC9A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结合地下水跟踪监测的频率（1次/季度），预测时段设定为发生泄漏后的100天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1000天</w:t>
      </w:r>
      <w:r>
        <w:rPr>
          <w:rFonts w:hint="default" w:ascii="Times New Roman" w:hAnsi="Times New Roman" w:eastAsia="宋体" w:cs="Times New Roman"/>
          <w:color w:val="auto"/>
          <w:highlight w:val="none"/>
          <w:lang w:val="en-US" w:eastAsia="zh-CN"/>
        </w:rPr>
        <w:t>和</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0a</w:t>
      </w:r>
      <w:r>
        <w:rPr>
          <w:rFonts w:hint="default" w:ascii="Times New Roman" w:hAnsi="Times New Roman" w:eastAsia="宋体" w:cs="Times New Roman"/>
          <w:color w:val="auto"/>
          <w:highlight w:val="none"/>
        </w:rPr>
        <w:t>。</w:t>
      </w:r>
    </w:p>
    <w:p w14:paraId="6DD6761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3）预测因子</w:t>
      </w:r>
    </w:p>
    <w:p w14:paraId="7D383190">
      <w:pPr>
        <w:spacing w:line="500" w:lineRule="exact"/>
        <w:rPr>
          <w:rFonts w:hint="default" w:ascii="Times New Roman" w:hAnsi="Times New Roman" w:eastAsia="宋体" w:cs="Times New Roman"/>
          <w:snapToGrid w:val="0"/>
          <w:color w:val="auto"/>
          <w:kern w:val="0"/>
          <w:sz w:val="24"/>
          <w:szCs w:val="22"/>
          <w:highlight w:val="none"/>
          <w:lang w:val="en-US" w:eastAsia="zh-CN" w:bidi="ar-SA"/>
        </w:rPr>
      </w:pPr>
      <w:r>
        <w:rPr>
          <w:rFonts w:hint="default" w:ascii="Times New Roman" w:hAnsi="Times New Roman" w:eastAsia="宋体" w:cs="Times New Roman"/>
          <w:snapToGrid w:val="0"/>
          <w:color w:val="auto"/>
          <w:kern w:val="0"/>
          <w:sz w:val="24"/>
          <w:szCs w:val="22"/>
          <w:highlight w:val="none"/>
          <w:lang w:val="en-US" w:eastAsia="zh-CN" w:bidi="ar-SA"/>
        </w:rPr>
        <w:t>本项目不涉及重金属，污水中主要污染物因子为COD、氨氮、总氮、总磷、BOD</w:t>
      </w:r>
      <w:r>
        <w:rPr>
          <w:rFonts w:hint="default" w:ascii="Times New Roman" w:hAnsi="Times New Roman" w:eastAsia="宋体" w:cs="Times New Roman"/>
          <w:snapToGrid w:val="0"/>
          <w:color w:val="auto"/>
          <w:kern w:val="0"/>
          <w:sz w:val="24"/>
          <w:szCs w:val="22"/>
          <w:highlight w:val="none"/>
          <w:vertAlign w:val="subscript"/>
          <w:lang w:val="en-US" w:eastAsia="zh-CN" w:bidi="ar-SA"/>
        </w:rPr>
        <w:t>5</w:t>
      </w:r>
      <w:r>
        <w:rPr>
          <w:rFonts w:hint="default" w:ascii="Times New Roman" w:hAnsi="Times New Roman" w:eastAsia="宋体" w:cs="Times New Roman"/>
          <w:snapToGrid w:val="0"/>
          <w:color w:val="auto"/>
          <w:kern w:val="0"/>
          <w:sz w:val="24"/>
          <w:szCs w:val="22"/>
          <w:highlight w:val="none"/>
          <w:lang w:val="en-US" w:eastAsia="zh-CN" w:bidi="ar-SA"/>
        </w:rPr>
        <w:t>，根据《环境影响评价技术导则 地下水环境》（HJ610-2016），预测因子的选取应采用标准指数法进行排序，取标准指数最大的因子作为预测因子，以氨氮、COD作为特征污染物进行预测。</w:t>
      </w:r>
    </w:p>
    <w:p w14:paraId="22D1CEE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预测因子源强、标准限值及最低检出限</w:t>
      </w:r>
    </w:p>
    <w:tbl>
      <w:tblPr>
        <w:tblStyle w:val="47"/>
        <w:tblW w:w="474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98"/>
        <w:gridCol w:w="2487"/>
        <w:gridCol w:w="1653"/>
        <w:gridCol w:w="1653"/>
      </w:tblGrid>
      <w:tr w14:paraId="3B46A1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1329" w:type="pct"/>
            <w:tcBorders>
              <w:top w:val="single" w:color="auto" w:sz="12" w:space="0"/>
              <w:left w:val="nil"/>
              <w:bottom w:val="single" w:color="auto" w:sz="6" w:space="0"/>
              <w:right w:val="single" w:color="auto" w:sz="6" w:space="0"/>
            </w:tcBorders>
            <w:vAlign w:val="center"/>
          </w:tcPr>
          <w:p w14:paraId="2EFCA63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主要污染因子</w:t>
            </w:r>
          </w:p>
        </w:tc>
        <w:tc>
          <w:tcPr>
            <w:tcW w:w="1575" w:type="pct"/>
            <w:tcBorders>
              <w:top w:val="single" w:color="auto" w:sz="12" w:space="0"/>
              <w:left w:val="single" w:color="auto" w:sz="6" w:space="0"/>
              <w:bottom w:val="single" w:color="auto" w:sz="6" w:space="0"/>
              <w:right w:val="single" w:color="auto" w:sz="6" w:space="0"/>
            </w:tcBorders>
            <w:vAlign w:val="center"/>
          </w:tcPr>
          <w:p w14:paraId="657D38C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泄漏浓度mg/L</w:t>
            </w:r>
          </w:p>
        </w:tc>
        <w:tc>
          <w:tcPr>
            <w:tcW w:w="1047" w:type="pct"/>
            <w:tcBorders>
              <w:top w:val="single" w:color="auto" w:sz="12" w:space="0"/>
              <w:left w:val="single" w:color="auto" w:sz="6" w:space="0"/>
              <w:bottom w:val="single" w:color="auto" w:sz="6" w:space="0"/>
              <w:right w:val="single" w:color="auto" w:sz="6" w:space="0"/>
            </w:tcBorders>
            <w:vAlign w:val="center"/>
          </w:tcPr>
          <w:p w14:paraId="54C7CEA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标准限值</w:t>
            </w:r>
          </w:p>
        </w:tc>
        <w:tc>
          <w:tcPr>
            <w:tcW w:w="1047" w:type="pct"/>
            <w:tcBorders>
              <w:top w:val="single" w:color="auto" w:sz="12" w:space="0"/>
              <w:left w:val="single" w:color="auto" w:sz="6" w:space="0"/>
              <w:bottom w:val="single" w:color="auto" w:sz="6" w:space="0"/>
              <w:right w:val="nil"/>
            </w:tcBorders>
          </w:tcPr>
          <w:p w14:paraId="466178C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最低检出限</w:t>
            </w:r>
          </w:p>
        </w:tc>
      </w:tr>
      <w:tr w14:paraId="05CB84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329" w:type="pct"/>
            <w:tcBorders>
              <w:top w:val="single" w:color="auto" w:sz="6" w:space="0"/>
              <w:left w:val="nil"/>
              <w:bottom w:val="single" w:color="auto" w:sz="6" w:space="0"/>
              <w:right w:val="single" w:color="auto" w:sz="6" w:space="0"/>
            </w:tcBorders>
            <w:vAlign w:val="center"/>
          </w:tcPr>
          <w:p w14:paraId="464155D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p>
        </w:tc>
        <w:tc>
          <w:tcPr>
            <w:tcW w:w="1575" w:type="pct"/>
            <w:tcBorders>
              <w:top w:val="single" w:color="auto" w:sz="6" w:space="0"/>
              <w:left w:val="single" w:color="auto" w:sz="6" w:space="0"/>
              <w:bottom w:val="single" w:color="auto" w:sz="6" w:space="0"/>
              <w:right w:val="single" w:color="auto" w:sz="6" w:space="0"/>
            </w:tcBorders>
            <w:shd w:val="clear" w:color="auto" w:fill="auto"/>
            <w:vAlign w:val="center"/>
          </w:tcPr>
          <w:p w14:paraId="42C80E59">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38000</w:t>
            </w:r>
          </w:p>
        </w:tc>
        <w:tc>
          <w:tcPr>
            <w:tcW w:w="1047" w:type="pct"/>
            <w:tcBorders>
              <w:top w:val="single" w:color="auto" w:sz="6" w:space="0"/>
              <w:left w:val="single" w:color="auto" w:sz="6" w:space="0"/>
              <w:bottom w:val="single" w:color="auto" w:sz="6" w:space="0"/>
              <w:right w:val="single" w:color="auto" w:sz="6" w:space="0"/>
            </w:tcBorders>
            <w:vAlign w:val="center"/>
          </w:tcPr>
          <w:p w14:paraId="0BA3FDF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20mg/L</w:t>
            </w:r>
          </w:p>
        </w:tc>
        <w:tc>
          <w:tcPr>
            <w:tcW w:w="1047" w:type="pct"/>
            <w:tcBorders>
              <w:top w:val="single" w:color="auto" w:sz="6" w:space="0"/>
              <w:left w:val="single" w:color="auto" w:sz="6" w:space="0"/>
              <w:bottom w:val="single" w:color="auto" w:sz="6" w:space="0"/>
              <w:right w:val="nil"/>
            </w:tcBorders>
          </w:tcPr>
          <w:p w14:paraId="6E828797">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mg/L</w:t>
            </w:r>
          </w:p>
        </w:tc>
      </w:tr>
      <w:tr w14:paraId="5F2576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 w:hRule="atLeast"/>
          <w:jc w:val="center"/>
        </w:trPr>
        <w:tc>
          <w:tcPr>
            <w:tcW w:w="1329" w:type="pct"/>
            <w:tcBorders>
              <w:top w:val="single" w:color="auto" w:sz="6" w:space="0"/>
              <w:left w:val="nil"/>
              <w:bottom w:val="single" w:color="auto" w:sz="6" w:space="0"/>
              <w:right w:val="single" w:color="auto" w:sz="6" w:space="0"/>
            </w:tcBorders>
            <w:vAlign w:val="center"/>
          </w:tcPr>
          <w:p w14:paraId="4B7C08D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575" w:type="pct"/>
            <w:tcBorders>
              <w:top w:val="single" w:color="auto" w:sz="6" w:space="0"/>
              <w:left w:val="single" w:color="auto" w:sz="6" w:space="0"/>
              <w:bottom w:val="single" w:color="auto" w:sz="6" w:space="0"/>
              <w:right w:val="single" w:color="auto" w:sz="6" w:space="0"/>
            </w:tcBorders>
            <w:shd w:val="clear" w:color="auto" w:fill="auto"/>
            <w:vAlign w:val="center"/>
          </w:tcPr>
          <w:p w14:paraId="685D50EC">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2800</w:t>
            </w:r>
          </w:p>
        </w:tc>
        <w:tc>
          <w:tcPr>
            <w:tcW w:w="1047" w:type="pct"/>
            <w:tcBorders>
              <w:top w:val="single" w:color="auto" w:sz="6" w:space="0"/>
              <w:left w:val="single" w:color="auto" w:sz="6" w:space="0"/>
              <w:bottom w:val="single" w:color="auto" w:sz="6" w:space="0"/>
              <w:right w:val="single" w:color="auto" w:sz="6" w:space="0"/>
            </w:tcBorders>
            <w:vAlign w:val="center"/>
          </w:tcPr>
          <w:p w14:paraId="5E684C4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0.5mg/L</w:t>
            </w:r>
          </w:p>
        </w:tc>
        <w:tc>
          <w:tcPr>
            <w:tcW w:w="1047" w:type="pct"/>
            <w:tcBorders>
              <w:top w:val="single" w:color="auto" w:sz="6" w:space="0"/>
              <w:left w:val="single" w:color="auto" w:sz="6" w:space="0"/>
              <w:bottom w:val="single" w:color="auto" w:sz="6" w:space="0"/>
              <w:right w:val="nil"/>
            </w:tcBorders>
          </w:tcPr>
          <w:p w14:paraId="56E8CDD5">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0.025</w:t>
            </w:r>
            <w:r>
              <w:rPr>
                <w:rFonts w:hint="default" w:ascii="Times New Roman" w:hAnsi="Times New Roman" w:eastAsia="宋体" w:cs="Times New Roman"/>
                <w:color w:val="auto"/>
                <w:highlight w:val="none"/>
              </w:rPr>
              <w:t>mg/L</w:t>
            </w:r>
          </w:p>
        </w:tc>
      </w:tr>
    </w:tbl>
    <w:p w14:paraId="45B0900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4）评价标准</w:t>
      </w:r>
    </w:p>
    <w:p w14:paraId="650CFDCA">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氨氮评价标准参照《地下水质量标准》（GB/T14848-2017）Ш类标准，COD不属于《地下水质量标准》（GB/T14848-2017）水质指标的评价因子，因此COD评价标准参照《地表水环境质量标准》（GB3838-2002）Ш类标准。</w:t>
      </w:r>
    </w:p>
    <w:p w14:paraId="01EDC28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5）预测模式</w:t>
      </w:r>
    </w:p>
    <w:p w14:paraId="239E0A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①预测模型</w:t>
      </w:r>
    </w:p>
    <w:p w14:paraId="146B9B5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地下水环境》（HJ610-2016）要求，地下水环境影响评价三级评价预测方法可以选用解析法。根据本项目地下水的污染特性选用</w:t>
      </w:r>
      <w:r>
        <w:rPr>
          <w:rFonts w:hint="default" w:ascii="Times New Roman" w:hAnsi="Times New Roman" w:eastAsia="宋体" w:cs="Times New Roman"/>
          <w:color w:val="auto"/>
          <w:szCs w:val="24"/>
          <w:highlight w:val="none"/>
        </w:rPr>
        <w:t>“一维半无限长多孔介质柱体，一端为定浓度边界”预测模型</w:t>
      </w:r>
      <w:r>
        <w:rPr>
          <w:rFonts w:hint="default" w:ascii="Times New Roman" w:hAnsi="Times New Roman" w:eastAsia="宋体" w:cs="Times New Roman"/>
          <w:color w:val="auto"/>
          <w:highlight w:val="none"/>
        </w:rPr>
        <w:t>，公式如下。</w:t>
      </w:r>
    </w:p>
    <w:p w14:paraId="71776521">
      <w:pPr>
        <w:pStyle w:val="67"/>
        <w:spacing w:line="240" w:lineRule="auto"/>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2314575" cy="5429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314575" cy="542925"/>
                    </a:xfrm>
                    <a:prstGeom prst="rect">
                      <a:avLst/>
                    </a:prstGeom>
                    <a:noFill/>
                    <a:ln>
                      <a:noFill/>
                    </a:ln>
                  </pic:spPr>
                </pic:pic>
              </a:graphicData>
            </a:graphic>
          </wp:inline>
        </w:drawing>
      </w:r>
    </w:p>
    <w:p w14:paraId="2DEB6DF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color w:val="auto"/>
          <w:highlight w:val="none"/>
        </w:rPr>
        <w:t>x</w:t>
      </w:r>
      <w:r>
        <w:rPr>
          <w:rFonts w:hint="default" w:ascii="Times New Roman" w:hAnsi="Times New Roman" w:eastAsia="宋体" w:cs="Times New Roman"/>
          <w:color w:val="auto"/>
          <w:highlight w:val="none"/>
        </w:rPr>
        <w:t>—距注入点的距离，m；</w:t>
      </w:r>
    </w:p>
    <w:p w14:paraId="22CF35A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t</w:t>
      </w:r>
      <w:r>
        <w:rPr>
          <w:rFonts w:hint="default" w:ascii="Times New Roman" w:hAnsi="Times New Roman" w:eastAsia="宋体" w:cs="Times New Roman"/>
          <w:color w:val="auto"/>
          <w:highlight w:val="none"/>
        </w:rPr>
        <w:t>—时间，d；</w:t>
      </w:r>
    </w:p>
    <w:p w14:paraId="21F7765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C</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x</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t</w:t>
      </w:r>
      <w:r>
        <w:rPr>
          <w:rFonts w:hint="default" w:ascii="Times New Roman" w:hAnsi="Times New Roman" w:eastAsia="宋体" w:cs="Times New Roman"/>
          <w:color w:val="auto"/>
          <w:highlight w:val="none"/>
        </w:rPr>
        <w:t>)—t时刻点x处的示踪剂浓度，g/L；</w:t>
      </w:r>
    </w:p>
    <w:p w14:paraId="69D60F6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C</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—注入示踪剂浓度，g/L；</w:t>
      </w:r>
    </w:p>
    <w:p w14:paraId="15FA932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u</w:t>
      </w:r>
      <w:r>
        <w:rPr>
          <w:rFonts w:hint="default" w:ascii="Times New Roman" w:hAnsi="Times New Roman" w:eastAsia="宋体" w:cs="Times New Roman"/>
          <w:color w:val="auto"/>
          <w:highlight w:val="none"/>
        </w:rPr>
        <w:t>—水流速度，m/d；</w:t>
      </w:r>
      <w:bookmarkStart w:id="721" w:name="_GoBack"/>
      <w:bookmarkEnd w:id="721"/>
    </w:p>
    <w:p w14:paraId="2ACABF0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D</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—纵向弥散系数，m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199B531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erfc()—余差数函数；</w:t>
      </w:r>
    </w:p>
    <w:p w14:paraId="1185476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②模式中参数的确定</w:t>
      </w:r>
    </w:p>
    <w:p w14:paraId="6158B76E">
      <w:pPr>
        <w:pStyle w:val="6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lang w:eastAsia="zh-CN"/>
        </w:rPr>
        <w:t>黑龙江省黑河市孙吴县疾病预防控制中心建设项目</w:t>
      </w:r>
      <w:r>
        <w:rPr>
          <w:rFonts w:hint="default" w:ascii="Times New Roman" w:hAnsi="Times New Roman" w:eastAsia="宋体" w:cs="Times New Roman"/>
          <w:bCs/>
          <w:color w:val="auto"/>
          <w:highlight w:val="none"/>
        </w:rPr>
        <w:t>环境影响报告书</w:t>
      </w:r>
      <w:r>
        <w:rPr>
          <w:rFonts w:hint="eastAsia" w:ascii="Times New Roman" w:hAnsi="Times New Roman" w:eastAsia="宋体" w:cs="Times New Roman"/>
          <w:bCs/>
          <w:color w:val="auto"/>
          <w:highlight w:val="none"/>
          <w:lang w:eastAsia="zh-CN"/>
        </w:rPr>
        <w:t>（</w:t>
      </w:r>
      <w:r>
        <w:rPr>
          <w:rFonts w:hint="eastAsia" w:ascii="Times New Roman" w:hAnsi="Times New Roman" w:eastAsia="宋体" w:cs="Times New Roman"/>
          <w:bCs/>
          <w:color w:val="auto"/>
          <w:highlight w:val="none"/>
          <w:lang w:val="en-US" w:eastAsia="zh-CN"/>
        </w:rPr>
        <w:t>2024年</w:t>
      </w:r>
      <w:r>
        <w:rPr>
          <w:rFonts w:hint="eastAsia" w:ascii="Times New Roman" w:hAnsi="Times New Roman" w:eastAsia="宋体" w:cs="Times New Roman"/>
          <w:bCs/>
          <w:color w:val="auto"/>
          <w:highlight w:val="none"/>
          <w:lang w:eastAsia="zh-CN"/>
        </w:rPr>
        <w:t>）》</w:t>
      </w:r>
      <w:r>
        <w:rPr>
          <w:rFonts w:hint="default" w:ascii="Times New Roman" w:hAnsi="Times New Roman" w:eastAsia="宋体" w:cs="Times New Roman"/>
          <w:color w:val="auto"/>
          <w:highlight w:val="none"/>
        </w:rPr>
        <w:t>水流速度（u）：根据达西定律u=含水层渗透系数×地下水水力坡度，</w:t>
      </w:r>
      <w:r>
        <w:rPr>
          <w:rFonts w:hint="default" w:ascii="Times New Roman" w:hAnsi="Times New Roman" w:eastAsia="宋体" w:cs="Times New Roman"/>
          <w:bCs/>
          <w:color w:val="auto"/>
          <w:highlight w:val="none"/>
        </w:rPr>
        <w:t>根据地下水概况分析，含水层渗透系数K=</w:t>
      </w:r>
      <w:r>
        <w:rPr>
          <w:rFonts w:hint="eastAsia" w:eastAsia="宋体" w:cs="Times New Roman"/>
          <w:color w:val="auto"/>
          <w:highlight w:val="none"/>
          <w:lang w:val="en-US" w:eastAsia="zh-CN"/>
        </w:rPr>
        <w:t>26.6</w:t>
      </w:r>
      <w:r>
        <w:rPr>
          <w:rFonts w:hint="default" w:ascii="Times New Roman" w:hAnsi="Times New Roman" w:eastAsia="宋体" w:cs="Times New Roman"/>
          <w:color w:val="auto"/>
          <w:highlight w:val="none"/>
        </w:rPr>
        <w:t>m/d</w:t>
      </w:r>
      <w:r>
        <w:rPr>
          <w:rFonts w:hint="default" w:ascii="Times New Roman" w:hAnsi="Times New Roman" w:eastAsia="宋体" w:cs="Times New Roman"/>
          <w:bCs/>
          <w:color w:val="auto"/>
          <w:highlight w:val="none"/>
        </w:rPr>
        <w:t>，水力坡度I=</w:t>
      </w:r>
      <w:r>
        <w:rPr>
          <w:rFonts w:hint="eastAsia" w:eastAsia="宋体" w:cs="Times New Roman"/>
          <w:color w:val="auto"/>
          <w:highlight w:val="none"/>
          <w:lang w:val="en-US" w:eastAsia="zh-CN"/>
        </w:rPr>
        <w:t>2‰</w:t>
      </w:r>
      <w:r>
        <w:rPr>
          <w:rFonts w:hint="default" w:ascii="Times New Roman" w:hAnsi="Times New Roman" w:eastAsia="宋体" w:cs="Times New Roman"/>
          <w:bCs/>
          <w:color w:val="auto"/>
          <w:highlight w:val="none"/>
        </w:rPr>
        <w:t>。即u取</w:t>
      </w:r>
      <w:r>
        <w:rPr>
          <w:rFonts w:hint="default" w:ascii="Times New Roman" w:hAnsi="Times New Roman" w:eastAsia="宋体" w:cs="Times New Roman"/>
          <w:color w:val="auto"/>
          <w:highlight w:val="none"/>
        </w:rPr>
        <w:t>0.</w:t>
      </w:r>
      <w:r>
        <w:rPr>
          <w:rFonts w:hint="eastAsia" w:eastAsia="宋体" w:cs="Times New Roman"/>
          <w:color w:val="auto"/>
          <w:highlight w:val="none"/>
          <w:lang w:val="en-US" w:eastAsia="zh-CN"/>
        </w:rPr>
        <w:t>053</w:t>
      </w:r>
      <w:r>
        <w:rPr>
          <w:rFonts w:hint="default" w:ascii="Times New Roman" w:hAnsi="Times New Roman" w:eastAsia="宋体" w:cs="Times New Roman"/>
          <w:bCs/>
          <w:color w:val="auto"/>
          <w:highlight w:val="none"/>
        </w:rPr>
        <w:t>m/d</w:t>
      </w:r>
      <w:r>
        <w:rPr>
          <w:rFonts w:hint="default" w:ascii="Times New Roman" w:hAnsi="Times New Roman" w:eastAsia="宋体" w:cs="Times New Roman"/>
          <w:color w:val="auto"/>
          <w:highlight w:val="none"/>
        </w:rPr>
        <w:t>。弥散系数：纵向弥散系数根据含水层岩性及渗透系数、水力坡度等因素，参照相同地区的经验值确定。D</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=0.</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7A715A3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6）预测结果</w:t>
      </w:r>
    </w:p>
    <w:p w14:paraId="44849E2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模拟中采用以养殖废水中COD、氨氮污染物泄漏进行预测。分别预测100d、1000d和</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a该地区地下水的污染状况。</w:t>
      </w:r>
    </w:p>
    <w:p w14:paraId="116686DE">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表5-2-3污染物超标扩散距离</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3364"/>
        <w:gridCol w:w="1393"/>
        <w:gridCol w:w="1428"/>
        <w:gridCol w:w="1219"/>
      </w:tblGrid>
      <w:tr w14:paraId="7C650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4" w:type="pct"/>
            <w:vAlign w:val="center"/>
          </w:tcPr>
          <w:p w14:paraId="76FFCD3A">
            <w:pPr>
              <w:pStyle w:val="146"/>
              <w:rPr>
                <w:rFonts w:hint="default" w:ascii="Times New Roman" w:hAnsi="Times New Roman" w:eastAsia="宋体" w:cs="Times New Roman"/>
                <w:color w:val="auto"/>
                <w:highlight w:val="none"/>
              </w:rPr>
            </w:pPr>
            <w:bookmarkStart w:id="438" w:name="_Hlk522485844"/>
            <w:r>
              <w:rPr>
                <w:rFonts w:hint="default" w:ascii="Times New Roman" w:hAnsi="Times New Roman" w:eastAsia="宋体" w:cs="Times New Roman"/>
                <w:color w:val="auto"/>
                <w:highlight w:val="none"/>
              </w:rPr>
              <w:t>污染物</w:t>
            </w:r>
          </w:p>
        </w:tc>
        <w:tc>
          <w:tcPr>
            <w:tcW w:w="2023" w:type="pct"/>
            <w:vAlign w:val="center"/>
          </w:tcPr>
          <w:p w14:paraId="6D4FF17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w:t>
            </w:r>
          </w:p>
        </w:tc>
        <w:tc>
          <w:tcPr>
            <w:tcW w:w="838" w:type="pct"/>
            <w:vAlign w:val="center"/>
          </w:tcPr>
          <w:p w14:paraId="2BEED32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时间</w:t>
            </w:r>
          </w:p>
        </w:tc>
        <w:tc>
          <w:tcPr>
            <w:tcW w:w="859" w:type="pct"/>
            <w:vAlign w:val="center"/>
          </w:tcPr>
          <w:p w14:paraId="05E604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污染物超标扩散距离（m）</w:t>
            </w:r>
          </w:p>
        </w:tc>
        <w:tc>
          <w:tcPr>
            <w:tcW w:w="733" w:type="pct"/>
            <w:vAlign w:val="center"/>
          </w:tcPr>
          <w:p w14:paraId="5A658FD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r>
              <w:rPr>
                <w:rFonts w:hint="default" w:ascii="Times New Roman" w:hAnsi="Times New Roman" w:eastAsia="宋体" w:cs="Times New Roman"/>
                <w:color w:val="auto"/>
                <w:highlight w:val="none"/>
                <w:lang w:val="en-US" w:eastAsia="zh-CN"/>
              </w:rPr>
              <w:t>影响</w:t>
            </w:r>
            <w:r>
              <w:rPr>
                <w:rFonts w:hint="default" w:ascii="Times New Roman" w:hAnsi="Times New Roman" w:eastAsia="宋体" w:cs="Times New Roman"/>
                <w:color w:val="auto"/>
                <w:highlight w:val="none"/>
              </w:rPr>
              <w:t>距离（m）</w:t>
            </w:r>
          </w:p>
        </w:tc>
      </w:tr>
      <w:tr w14:paraId="4335EB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544" w:type="pct"/>
            <w:vMerge w:val="restart"/>
            <w:vAlign w:val="center"/>
          </w:tcPr>
          <w:p w14:paraId="081C4D0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p>
        </w:tc>
        <w:tc>
          <w:tcPr>
            <w:tcW w:w="2023" w:type="pct"/>
            <w:vMerge w:val="restart"/>
            <w:vAlign w:val="center"/>
          </w:tcPr>
          <w:p w14:paraId="5E14577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《地表水质量标准》（</w:t>
            </w:r>
            <w:r>
              <w:rPr>
                <w:rFonts w:hint="default" w:ascii="Times New Roman" w:hAnsi="Times New Roman" w:eastAsia="宋体" w:cs="Times New Roman"/>
                <w:snapToGrid w:val="0"/>
                <w:color w:val="auto"/>
                <w:kern w:val="0"/>
                <w:highlight w:val="none"/>
              </w:rPr>
              <w:t>GB3838-2002</w:t>
            </w:r>
            <w:r>
              <w:rPr>
                <w:rFonts w:hint="default" w:ascii="Times New Roman" w:hAnsi="Times New Roman" w:eastAsia="宋体" w:cs="Times New Roman"/>
                <w:color w:val="auto"/>
                <w:highlight w:val="none"/>
              </w:rPr>
              <w:t>）中III类水质标准，20mg/L</w:t>
            </w:r>
          </w:p>
        </w:tc>
        <w:tc>
          <w:tcPr>
            <w:tcW w:w="838" w:type="pct"/>
            <w:vAlign w:val="center"/>
          </w:tcPr>
          <w:p w14:paraId="68FCF26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100d</w:t>
            </w:r>
          </w:p>
        </w:tc>
        <w:tc>
          <w:tcPr>
            <w:tcW w:w="859" w:type="pct"/>
            <w:vAlign w:val="center"/>
          </w:tcPr>
          <w:p w14:paraId="0D7235F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20</w:t>
            </w:r>
          </w:p>
        </w:tc>
        <w:tc>
          <w:tcPr>
            <w:tcW w:w="733" w:type="pct"/>
            <w:vAlign w:val="center"/>
          </w:tcPr>
          <w:p w14:paraId="41D7F9D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22</w:t>
            </w:r>
          </w:p>
        </w:tc>
      </w:tr>
      <w:tr w14:paraId="076B1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4" w:type="pct"/>
            <w:vMerge w:val="continue"/>
            <w:vAlign w:val="center"/>
          </w:tcPr>
          <w:p w14:paraId="4FF5EB3D">
            <w:pPr>
              <w:pStyle w:val="146"/>
              <w:rPr>
                <w:rFonts w:hint="default" w:ascii="Times New Roman" w:hAnsi="Times New Roman" w:eastAsia="宋体" w:cs="Times New Roman"/>
                <w:color w:val="auto"/>
                <w:highlight w:val="none"/>
              </w:rPr>
            </w:pPr>
          </w:p>
        </w:tc>
        <w:tc>
          <w:tcPr>
            <w:tcW w:w="2023" w:type="pct"/>
            <w:vMerge w:val="continue"/>
            <w:vAlign w:val="center"/>
          </w:tcPr>
          <w:p w14:paraId="7940D663">
            <w:pPr>
              <w:pStyle w:val="146"/>
              <w:rPr>
                <w:rFonts w:hint="default" w:ascii="Times New Roman" w:hAnsi="Times New Roman" w:eastAsia="宋体" w:cs="Times New Roman"/>
                <w:color w:val="auto"/>
                <w:highlight w:val="none"/>
              </w:rPr>
            </w:pPr>
          </w:p>
        </w:tc>
        <w:tc>
          <w:tcPr>
            <w:tcW w:w="838" w:type="pct"/>
            <w:vAlign w:val="center"/>
          </w:tcPr>
          <w:p w14:paraId="7A5D36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1000d</w:t>
            </w:r>
          </w:p>
        </w:tc>
        <w:tc>
          <w:tcPr>
            <w:tcW w:w="859" w:type="pct"/>
            <w:vAlign w:val="center"/>
          </w:tcPr>
          <w:p w14:paraId="0DEA34F1">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99</w:t>
            </w:r>
          </w:p>
        </w:tc>
        <w:tc>
          <w:tcPr>
            <w:tcW w:w="733" w:type="pct"/>
            <w:vAlign w:val="center"/>
          </w:tcPr>
          <w:p w14:paraId="3E5C4E69">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105</w:t>
            </w:r>
          </w:p>
        </w:tc>
      </w:tr>
      <w:tr w14:paraId="39400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4" w:type="pct"/>
            <w:vMerge w:val="continue"/>
            <w:vAlign w:val="center"/>
          </w:tcPr>
          <w:p w14:paraId="1194E7F8">
            <w:pPr>
              <w:pStyle w:val="146"/>
              <w:rPr>
                <w:rFonts w:hint="default" w:ascii="Times New Roman" w:hAnsi="Times New Roman" w:eastAsia="宋体" w:cs="Times New Roman"/>
                <w:color w:val="auto"/>
                <w:highlight w:val="none"/>
              </w:rPr>
            </w:pPr>
          </w:p>
        </w:tc>
        <w:tc>
          <w:tcPr>
            <w:tcW w:w="2023" w:type="pct"/>
            <w:vMerge w:val="continue"/>
            <w:vAlign w:val="center"/>
          </w:tcPr>
          <w:p w14:paraId="0FD6722A">
            <w:pPr>
              <w:pStyle w:val="146"/>
              <w:rPr>
                <w:rFonts w:hint="default" w:ascii="Times New Roman" w:hAnsi="Times New Roman" w:eastAsia="宋体" w:cs="Times New Roman"/>
                <w:color w:val="auto"/>
                <w:highlight w:val="none"/>
              </w:rPr>
            </w:pPr>
          </w:p>
        </w:tc>
        <w:tc>
          <w:tcPr>
            <w:tcW w:w="838" w:type="pct"/>
            <w:vAlign w:val="center"/>
          </w:tcPr>
          <w:p w14:paraId="4BDD550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p>
        </w:tc>
        <w:tc>
          <w:tcPr>
            <w:tcW w:w="859" w:type="pct"/>
            <w:vAlign w:val="center"/>
          </w:tcPr>
          <w:p w14:paraId="087AB6C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281</w:t>
            </w:r>
          </w:p>
        </w:tc>
        <w:tc>
          <w:tcPr>
            <w:tcW w:w="733" w:type="pct"/>
            <w:vAlign w:val="center"/>
          </w:tcPr>
          <w:p w14:paraId="2867643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293</w:t>
            </w:r>
          </w:p>
        </w:tc>
      </w:tr>
      <w:tr w14:paraId="4D9B4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4" w:type="pct"/>
            <w:vMerge w:val="restart"/>
            <w:vAlign w:val="center"/>
          </w:tcPr>
          <w:p w14:paraId="60A859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2023" w:type="pct"/>
            <w:vMerge w:val="restart"/>
            <w:vAlign w:val="center"/>
          </w:tcPr>
          <w:p w14:paraId="43A3621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《地下水质量标准》（GB/T14848-2017）Ш类标准，0.5mg/L</w:t>
            </w:r>
          </w:p>
        </w:tc>
        <w:tc>
          <w:tcPr>
            <w:tcW w:w="838" w:type="pct"/>
            <w:vAlign w:val="center"/>
          </w:tcPr>
          <w:p w14:paraId="3B2F9B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100d</w:t>
            </w:r>
          </w:p>
        </w:tc>
        <w:tc>
          <w:tcPr>
            <w:tcW w:w="859" w:type="pct"/>
            <w:vAlign w:val="center"/>
          </w:tcPr>
          <w:p w14:paraId="42EE294B">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21</w:t>
            </w:r>
          </w:p>
        </w:tc>
        <w:tc>
          <w:tcPr>
            <w:tcW w:w="733" w:type="pct"/>
            <w:vAlign w:val="center"/>
          </w:tcPr>
          <w:p w14:paraId="16DC854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24</w:t>
            </w:r>
          </w:p>
        </w:tc>
      </w:tr>
      <w:tr w14:paraId="313F7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4" w:type="pct"/>
            <w:vMerge w:val="continue"/>
            <w:vAlign w:val="center"/>
          </w:tcPr>
          <w:p w14:paraId="3F5A13FC">
            <w:pPr>
              <w:pStyle w:val="146"/>
              <w:rPr>
                <w:rFonts w:hint="default" w:ascii="Times New Roman" w:hAnsi="Times New Roman" w:eastAsia="宋体" w:cs="Times New Roman"/>
                <w:color w:val="auto"/>
                <w:highlight w:val="none"/>
              </w:rPr>
            </w:pPr>
          </w:p>
        </w:tc>
        <w:tc>
          <w:tcPr>
            <w:tcW w:w="2023" w:type="pct"/>
            <w:vMerge w:val="continue"/>
            <w:vAlign w:val="center"/>
          </w:tcPr>
          <w:p w14:paraId="0C2B5893">
            <w:pPr>
              <w:pStyle w:val="146"/>
              <w:rPr>
                <w:rFonts w:hint="default" w:ascii="Times New Roman" w:hAnsi="Times New Roman" w:eastAsia="宋体" w:cs="Times New Roman"/>
                <w:color w:val="auto"/>
                <w:highlight w:val="none"/>
              </w:rPr>
            </w:pPr>
          </w:p>
        </w:tc>
        <w:tc>
          <w:tcPr>
            <w:tcW w:w="838" w:type="pct"/>
            <w:vAlign w:val="center"/>
          </w:tcPr>
          <w:p w14:paraId="18E751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1000d</w:t>
            </w:r>
          </w:p>
        </w:tc>
        <w:tc>
          <w:tcPr>
            <w:tcW w:w="859" w:type="pct"/>
            <w:vAlign w:val="center"/>
          </w:tcPr>
          <w:p w14:paraId="13BFB0D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103</w:t>
            </w:r>
          </w:p>
        </w:tc>
        <w:tc>
          <w:tcPr>
            <w:tcW w:w="733" w:type="pct"/>
            <w:vAlign w:val="center"/>
          </w:tcPr>
          <w:p w14:paraId="217BAB87">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113</w:t>
            </w:r>
          </w:p>
        </w:tc>
      </w:tr>
      <w:tr w14:paraId="6007D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4" w:type="pct"/>
            <w:vMerge w:val="continue"/>
            <w:vAlign w:val="center"/>
          </w:tcPr>
          <w:p w14:paraId="56512449">
            <w:pPr>
              <w:pStyle w:val="146"/>
              <w:rPr>
                <w:rFonts w:hint="default" w:ascii="Times New Roman" w:hAnsi="Times New Roman" w:eastAsia="宋体" w:cs="Times New Roman"/>
                <w:color w:val="auto"/>
                <w:highlight w:val="none"/>
              </w:rPr>
            </w:pPr>
          </w:p>
        </w:tc>
        <w:tc>
          <w:tcPr>
            <w:tcW w:w="2023" w:type="pct"/>
            <w:vMerge w:val="continue"/>
            <w:vAlign w:val="center"/>
          </w:tcPr>
          <w:p w14:paraId="2B4EA4DF">
            <w:pPr>
              <w:pStyle w:val="146"/>
              <w:rPr>
                <w:rFonts w:hint="default" w:ascii="Times New Roman" w:hAnsi="Times New Roman" w:eastAsia="宋体" w:cs="Times New Roman"/>
                <w:color w:val="auto"/>
                <w:highlight w:val="none"/>
              </w:rPr>
            </w:pPr>
          </w:p>
        </w:tc>
        <w:tc>
          <w:tcPr>
            <w:tcW w:w="838" w:type="pct"/>
            <w:vAlign w:val="center"/>
          </w:tcPr>
          <w:p w14:paraId="7B70F22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p>
        </w:tc>
        <w:tc>
          <w:tcPr>
            <w:tcW w:w="859" w:type="pct"/>
            <w:vAlign w:val="center"/>
          </w:tcPr>
          <w:p w14:paraId="3FC4C4F3">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289</w:t>
            </w:r>
          </w:p>
        </w:tc>
        <w:tc>
          <w:tcPr>
            <w:tcW w:w="733" w:type="pct"/>
            <w:vAlign w:val="center"/>
          </w:tcPr>
          <w:p w14:paraId="11042FBE">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309</w:t>
            </w:r>
          </w:p>
        </w:tc>
      </w:tr>
      <w:bookmarkEnd w:id="438"/>
    </w:tbl>
    <w:p w14:paraId="6F1F5BFB">
      <w:pPr>
        <w:pStyle w:val="210"/>
        <w:rPr>
          <w:rFonts w:hint="default" w:ascii="Times New Roman" w:hAnsi="Times New Roman" w:eastAsia="黑体" w:cs="Times New Roman"/>
          <w:color w:val="auto"/>
          <w:highlight w:val="none"/>
          <w:lang w:val="en-US" w:eastAsia="zh-CN"/>
        </w:rPr>
      </w:pPr>
      <w:r>
        <w:rPr>
          <w:rFonts w:hint="default" w:ascii="Times New Roman" w:hAnsi="Times New Roman" w:cs="Times New Roman"/>
          <w:color w:val="auto"/>
          <w:highlight w:val="none"/>
        </w:rPr>
        <w:t>表5-2-</w:t>
      </w:r>
      <w:r>
        <w:rPr>
          <w:rFonts w:hint="eastAsia" w:ascii="Times New Roman" w:hAnsi="Times New Roman" w:cs="Times New Roman"/>
          <w:color w:val="auto"/>
          <w:highlight w:val="none"/>
          <w:lang w:val="en-US" w:eastAsia="zh-CN"/>
        </w:rPr>
        <w:t>4污染物至厂界扩散浓度</w:t>
      </w:r>
    </w:p>
    <w:tbl>
      <w:tblPr>
        <w:tblStyle w:val="47"/>
        <w:tblW w:w="474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3197"/>
        <w:gridCol w:w="1323"/>
        <w:gridCol w:w="1356"/>
        <w:gridCol w:w="1157"/>
      </w:tblGrid>
      <w:tr w14:paraId="688A4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3" w:type="pct"/>
            <w:vAlign w:val="center"/>
          </w:tcPr>
          <w:p w14:paraId="78AB670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2025" w:type="pct"/>
            <w:vAlign w:val="center"/>
          </w:tcPr>
          <w:p w14:paraId="18B17C1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w:t>
            </w:r>
          </w:p>
        </w:tc>
        <w:tc>
          <w:tcPr>
            <w:tcW w:w="838" w:type="pct"/>
            <w:vAlign w:val="center"/>
          </w:tcPr>
          <w:p w14:paraId="670071AB">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污染物超标天数（d）</w:t>
            </w:r>
          </w:p>
        </w:tc>
        <w:tc>
          <w:tcPr>
            <w:tcW w:w="859" w:type="pct"/>
            <w:vAlign w:val="center"/>
          </w:tcPr>
          <w:p w14:paraId="6D54D9AD">
            <w:pPr>
              <w:pStyle w:val="146"/>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与地下水流向下游厂界距离（m）</w:t>
            </w:r>
          </w:p>
        </w:tc>
        <w:tc>
          <w:tcPr>
            <w:tcW w:w="733" w:type="pct"/>
            <w:vAlign w:val="center"/>
          </w:tcPr>
          <w:p w14:paraId="38900F1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污染物超标扩散</w:t>
            </w:r>
            <w:r>
              <w:rPr>
                <w:rFonts w:hint="eastAsia" w:ascii="Times New Roman" w:hAnsi="Times New Roman" w:eastAsia="宋体" w:cs="Times New Roman"/>
                <w:color w:val="auto"/>
                <w:highlight w:val="none"/>
                <w:lang w:val="en-US" w:eastAsia="zh-CN"/>
              </w:rPr>
              <w:t>浓度</w:t>
            </w:r>
            <w:r>
              <w:rPr>
                <w:rFonts w:hint="default" w:ascii="Times New Roman" w:hAnsi="Times New Roman" w:eastAsia="宋体" w:cs="Times New Roman"/>
                <w:color w:val="auto"/>
                <w:highlight w:val="none"/>
              </w:rPr>
              <w:t>（m</w:t>
            </w:r>
            <w:r>
              <w:rPr>
                <w:rFonts w:hint="eastAsia" w:ascii="Times New Roman" w:hAnsi="Times New Roman" w:eastAsia="宋体" w:cs="Times New Roman"/>
                <w:color w:val="auto"/>
                <w:highlight w:val="none"/>
                <w:lang w:val="en-US" w:eastAsia="zh-CN"/>
              </w:rPr>
              <w:t>g/L</w:t>
            </w:r>
            <w:r>
              <w:rPr>
                <w:rFonts w:hint="default" w:ascii="Times New Roman" w:hAnsi="Times New Roman" w:eastAsia="宋体" w:cs="Times New Roman"/>
                <w:color w:val="auto"/>
                <w:highlight w:val="none"/>
              </w:rPr>
              <w:t>）</w:t>
            </w:r>
          </w:p>
        </w:tc>
      </w:tr>
      <w:tr w14:paraId="1256A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543" w:type="pct"/>
            <w:vAlign w:val="center"/>
          </w:tcPr>
          <w:p w14:paraId="576E8F1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p>
        </w:tc>
        <w:tc>
          <w:tcPr>
            <w:tcW w:w="2025" w:type="pct"/>
            <w:vAlign w:val="center"/>
          </w:tcPr>
          <w:p w14:paraId="2414D4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《地表水质量标准》（</w:t>
            </w:r>
            <w:r>
              <w:rPr>
                <w:rFonts w:hint="default" w:ascii="Times New Roman" w:hAnsi="Times New Roman" w:eastAsia="宋体" w:cs="Times New Roman"/>
                <w:snapToGrid w:val="0"/>
                <w:color w:val="auto"/>
                <w:kern w:val="0"/>
                <w:highlight w:val="none"/>
              </w:rPr>
              <w:t>GB3838-2002</w:t>
            </w:r>
            <w:r>
              <w:rPr>
                <w:rFonts w:hint="default" w:ascii="Times New Roman" w:hAnsi="Times New Roman" w:eastAsia="宋体" w:cs="Times New Roman"/>
                <w:color w:val="auto"/>
                <w:highlight w:val="none"/>
              </w:rPr>
              <w:t>）中III类水质标准，20mg/L</w:t>
            </w:r>
          </w:p>
        </w:tc>
        <w:tc>
          <w:tcPr>
            <w:tcW w:w="838" w:type="pct"/>
            <w:vAlign w:val="center"/>
          </w:tcPr>
          <w:p w14:paraId="109A2CB2">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3928</w:t>
            </w:r>
            <w:r>
              <w:rPr>
                <w:rFonts w:hint="default" w:ascii="Times New Roman" w:hAnsi="Times New Roman" w:eastAsia="宋体" w:cs="Times New Roman"/>
                <w:color w:val="auto"/>
                <w:highlight w:val="none"/>
              </w:rPr>
              <w:t>d</w:t>
            </w:r>
          </w:p>
        </w:tc>
        <w:tc>
          <w:tcPr>
            <w:tcW w:w="859" w:type="pct"/>
            <w:vAlign w:val="center"/>
          </w:tcPr>
          <w:p w14:paraId="2E13D87C">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300</w:t>
            </w:r>
          </w:p>
        </w:tc>
        <w:tc>
          <w:tcPr>
            <w:tcW w:w="733" w:type="pct"/>
            <w:vAlign w:val="center"/>
          </w:tcPr>
          <w:p w14:paraId="03FB6B37">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E+01</w:t>
            </w:r>
          </w:p>
        </w:tc>
      </w:tr>
      <w:tr w14:paraId="47EF4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543" w:type="pct"/>
            <w:vAlign w:val="center"/>
          </w:tcPr>
          <w:p w14:paraId="7D78D99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2025" w:type="pct"/>
            <w:vAlign w:val="center"/>
          </w:tcPr>
          <w:p w14:paraId="2EFBB0A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《地下水质量标准》（GB/T14848-2017）Ш类标准，0.5mg/L</w:t>
            </w:r>
          </w:p>
        </w:tc>
        <w:tc>
          <w:tcPr>
            <w:tcW w:w="838" w:type="pct"/>
            <w:vAlign w:val="center"/>
          </w:tcPr>
          <w:p w14:paraId="2DA4AB9D">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3803</w:t>
            </w:r>
            <w:r>
              <w:rPr>
                <w:rFonts w:hint="default" w:ascii="Times New Roman" w:hAnsi="Times New Roman" w:eastAsia="宋体" w:cs="Times New Roman"/>
                <w:color w:val="auto"/>
                <w:highlight w:val="none"/>
              </w:rPr>
              <w:t>d</w:t>
            </w:r>
          </w:p>
        </w:tc>
        <w:tc>
          <w:tcPr>
            <w:tcW w:w="859" w:type="pct"/>
            <w:vAlign w:val="center"/>
          </w:tcPr>
          <w:p w14:paraId="4A1A725E">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300</w:t>
            </w:r>
          </w:p>
        </w:tc>
        <w:tc>
          <w:tcPr>
            <w:tcW w:w="733" w:type="pct"/>
            <w:vAlign w:val="center"/>
          </w:tcPr>
          <w:p w14:paraId="638E4B5B">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w:t>
            </w:r>
            <w:r>
              <w:rPr>
                <w:rFonts w:hint="eastAsia"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E-01</w:t>
            </w:r>
          </w:p>
        </w:tc>
      </w:tr>
    </w:tbl>
    <w:p w14:paraId="0F28FB9E">
      <w:pPr>
        <w:ind w:left="0" w:leftChars="0" w:firstLine="0" w:firstLineChars="0"/>
        <w:jc w:val="center"/>
        <w:rPr>
          <w:rFonts w:hint="default" w:ascii="Times New Roman" w:hAnsi="Times New Roman" w:cs="Times New Roman"/>
          <w:color w:val="auto"/>
          <w:highlight w:val="none"/>
          <w:lang w:val="en-US" w:eastAsia="zh-CN"/>
        </w:rPr>
      </w:pPr>
    </w:p>
    <w:p w14:paraId="45595ED2">
      <w:pPr>
        <w:ind w:left="0" w:leftChars="0" w:firstLine="0" w:firstLineChars="0"/>
        <w:jc w:val="center"/>
        <w:rPr>
          <w:rFonts w:hint="default" w:ascii="Times New Roman" w:hAnsi="Times New Roman" w:cs="Times New Roman"/>
          <w:color w:val="auto"/>
          <w:highlight w:val="none"/>
          <w:lang w:val="en-US" w:eastAsia="zh-CN"/>
        </w:rPr>
      </w:pPr>
    </w:p>
    <w:p w14:paraId="516BB59C">
      <w:pPr>
        <w:ind w:left="0" w:leftChars="0" w:firstLine="0" w:firstLineChars="0"/>
        <w:jc w:val="center"/>
        <w:rPr>
          <w:rFonts w:hint="default" w:ascii="Times New Roman" w:hAnsi="Times New Roman" w:cs="Times New Roman"/>
          <w:color w:val="auto"/>
          <w:highlight w:val="none"/>
          <w:lang w:val="en-US" w:eastAsia="zh-CN"/>
        </w:rPr>
      </w:pPr>
    </w:p>
    <w:p w14:paraId="3BD7EC03">
      <w:pPr>
        <w:ind w:left="0" w:leftChars="0" w:firstLine="0" w:firstLineChars="0"/>
        <w:jc w:val="center"/>
        <w:rPr>
          <w:rFonts w:hint="default" w:ascii="Times New Roman" w:hAnsi="Times New Roman" w:cs="Times New Roman"/>
          <w:color w:val="auto"/>
          <w:highlight w:val="none"/>
          <w:lang w:val="en-US" w:eastAsia="zh-CN"/>
        </w:rPr>
      </w:pPr>
    </w:p>
    <w:p w14:paraId="6022AE85">
      <w:pPr>
        <w:ind w:left="0" w:leftChars="0" w:firstLine="0" w:firstLineChars="0"/>
        <w:jc w:val="center"/>
        <w:rPr>
          <w:rFonts w:hint="default" w:ascii="Times New Roman" w:hAnsi="Times New Roman" w:eastAsia="宋体" w:cs="Times New Roman"/>
          <w:color w:val="auto"/>
          <w:highlight w:val="none"/>
          <w:lang w:eastAsia="zh-CN"/>
        </w:rPr>
      </w:pPr>
      <w:r>
        <w:rPr>
          <w:color w:val="auto"/>
          <w:highlight w:val="none"/>
        </w:rPr>
        <w:drawing>
          <wp:inline distT="0" distB="0" distL="114300" distR="114300">
            <wp:extent cx="5276215" cy="3474720"/>
            <wp:effectExtent l="0" t="0" r="635" b="11430"/>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65"/>
                    <a:stretch>
                      <a:fillRect/>
                    </a:stretch>
                  </pic:blipFill>
                  <pic:spPr>
                    <a:xfrm>
                      <a:off x="0" y="0"/>
                      <a:ext cx="5276215" cy="3474720"/>
                    </a:xfrm>
                    <a:prstGeom prst="rect">
                      <a:avLst/>
                    </a:prstGeom>
                    <a:noFill/>
                    <a:ln>
                      <a:noFill/>
                    </a:ln>
                  </pic:spPr>
                </pic:pic>
              </a:graphicData>
            </a:graphic>
          </wp:inline>
        </w:drawing>
      </w:r>
      <w:r>
        <w:rPr>
          <w:rFonts w:hint="default" w:ascii="Times New Roman" w:hAnsi="Times New Roman" w:cs="Times New Roman"/>
          <w:color w:val="auto"/>
          <w:highlight w:val="none"/>
          <w:lang w:val="en-US" w:eastAsia="zh-CN"/>
        </w:rPr>
        <w:t xml:space="preserve"> </w:t>
      </w:r>
    </w:p>
    <w:p w14:paraId="2CC0E458">
      <w:pPr>
        <w:pStyle w:val="210"/>
        <w:spacing w:line="240" w:lineRule="auto"/>
        <w:rPr>
          <w:rFonts w:hint="eastAsia" w:ascii="Times New Roman" w:hAnsi="Times New Roman" w:eastAsia="黑体" w:cs="Times New Roman"/>
          <w:color w:val="auto"/>
          <w:highlight w:val="none"/>
          <w:lang w:eastAsia="zh-CN"/>
        </w:rPr>
      </w:pPr>
      <w:r>
        <w:rPr>
          <w:rFonts w:hint="default" w:ascii="Times New Roman" w:hAnsi="Times New Roman" w:cs="Times New Roman"/>
          <w:color w:val="auto"/>
          <w:highlight w:val="none"/>
        </w:rPr>
        <w:t>图5</w:t>
      </w:r>
      <w:r>
        <w:rPr>
          <w:rFonts w:hint="eastAsia" w:cs="Times New Roman"/>
          <w:color w:val="auto"/>
          <w:highlight w:val="none"/>
          <w:lang w:val="en-US" w:eastAsia="zh-CN"/>
        </w:rPr>
        <w:t>.</w:t>
      </w:r>
      <w:r>
        <w:rPr>
          <w:rFonts w:hint="default" w:ascii="Times New Roman" w:hAnsi="Times New Roman" w:cs="Times New Roman"/>
          <w:color w:val="auto"/>
          <w:highlight w:val="none"/>
        </w:rPr>
        <w:t>2-</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堆肥间渗滤液收集池COD</w:t>
      </w:r>
      <w:r>
        <w:rPr>
          <w:rFonts w:hint="default" w:ascii="Times New Roman" w:hAnsi="Times New Roman" w:cs="Times New Roman"/>
          <w:color w:val="auto"/>
          <w:highlight w:val="none"/>
          <w:lang w:val="en-US" w:eastAsia="zh-CN"/>
        </w:rPr>
        <w:t>泄</w:t>
      </w:r>
      <w:r>
        <w:rPr>
          <w:rFonts w:hint="eastAsia" w:cs="Times New Roman"/>
          <w:color w:val="auto"/>
          <w:highlight w:val="none"/>
          <w:lang w:val="en-US" w:eastAsia="zh-CN"/>
        </w:rPr>
        <w:t>漏</w:t>
      </w:r>
      <w:r>
        <w:rPr>
          <w:rFonts w:hint="default" w:ascii="Times New Roman" w:hAnsi="Times New Roman" w:cs="Times New Roman"/>
          <w:color w:val="auto"/>
          <w:highlight w:val="none"/>
        </w:rPr>
        <w:t>预测</w:t>
      </w:r>
      <w:r>
        <w:rPr>
          <w:rFonts w:hint="eastAsia" w:cs="Times New Roman"/>
          <w:color w:val="auto"/>
          <w:highlight w:val="none"/>
          <w:lang w:val="en-US" w:eastAsia="zh-CN"/>
        </w:rPr>
        <w:t>图</w:t>
      </w:r>
    </w:p>
    <w:p w14:paraId="309FA652">
      <w:pPr>
        <w:pStyle w:val="21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黑体" w:cs="Times New Roman"/>
          <w:color w:val="auto"/>
          <w:highlight w:val="none"/>
          <w:lang w:eastAsia="zh-CN"/>
        </w:rPr>
      </w:pPr>
      <w:r>
        <w:rPr>
          <w:color w:val="auto"/>
          <w:highlight w:val="none"/>
        </w:rPr>
        <w:drawing>
          <wp:inline distT="0" distB="0" distL="114300" distR="114300">
            <wp:extent cx="5273675" cy="3491865"/>
            <wp:effectExtent l="0" t="0" r="3175" b="13335"/>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66"/>
                    <a:stretch>
                      <a:fillRect/>
                    </a:stretch>
                  </pic:blipFill>
                  <pic:spPr>
                    <a:xfrm>
                      <a:off x="0" y="0"/>
                      <a:ext cx="5273675" cy="3491865"/>
                    </a:xfrm>
                    <a:prstGeom prst="rect">
                      <a:avLst/>
                    </a:prstGeom>
                    <a:noFill/>
                    <a:ln>
                      <a:noFill/>
                    </a:ln>
                  </pic:spPr>
                </pic:pic>
              </a:graphicData>
            </a:graphic>
          </wp:inline>
        </w:drawing>
      </w:r>
    </w:p>
    <w:p w14:paraId="0BDABC62">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图5</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w:t>
      </w:r>
      <w:r>
        <w:rPr>
          <w:rFonts w:hint="eastAsia" w:cs="Times New Roman"/>
          <w:color w:val="auto"/>
          <w:highlight w:val="none"/>
          <w:lang w:val="en-US" w:eastAsia="zh-CN"/>
        </w:rPr>
        <w:t>堆肥间渗滤液收集池</w:t>
      </w:r>
      <w:r>
        <w:rPr>
          <w:rFonts w:hint="default" w:ascii="Times New Roman" w:hAnsi="Times New Roman" w:cs="Times New Roman"/>
          <w:color w:val="auto"/>
          <w:highlight w:val="none"/>
          <w:lang w:val="en-US" w:eastAsia="zh-CN"/>
        </w:rPr>
        <w:t>氨氮</w:t>
      </w:r>
      <w:r>
        <w:rPr>
          <w:rFonts w:hint="default" w:ascii="Times New Roman" w:hAnsi="Times New Roman" w:cs="Times New Roman"/>
          <w:color w:val="auto"/>
          <w:highlight w:val="none"/>
          <w:lang w:val="en-US" w:eastAsia="zh-CN"/>
        </w:rPr>
        <w:t>泄</w:t>
      </w:r>
      <w:r>
        <w:rPr>
          <w:rFonts w:hint="eastAsia" w:ascii="Times New Roman" w:hAnsi="Times New Roman" w:cs="Times New Roman"/>
          <w:color w:val="auto"/>
          <w:highlight w:val="none"/>
          <w:lang w:val="en-US" w:eastAsia="zh-CN"/>
        </w:rPr>
        <w:t>漏</w:t>
      </w:r>
      <w:r>
        <w:rPr>
          <w:rFonts w:hint="default" w:ascii="Times New Roman" w:hAnsi="Times New Roman" w:cs="Times New Roman"/>
          <w:color w:val="auto"/>
          <w:highlight w:val="none"/>
        </w:rPr>
        <w:t>预测</w:t>
      </w:r>
      <w:r>
        <w:rPr>
          <w:rFonts w:hint="eastAsia" w:cs="Times New Roman"/>
          <w:color w:val="auto"/>
          <w:highlight w:val="none"/>
          <w:lang w:val="en-US" w:eastAsia="zh-CN"/>
        </w:rPr>
        <w:t>图</w:t>
      </w:r>
    </w:p>
    <w:p w14:paraId="61A406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根据表5-2-3可知，</w:t>
      </w:r>
      <w:bookmarkStart w:id="439" w:name="_Hlk505951667"/>
      <w:r>
        <w:rPr>
          <w:rFonts w:hint="default" w:ascii="Times New Roman" w:hAnsi="Times New Roman" w:eastAsia="宋体" w:cs="Times New Roman"/>
          <w:color w:val="auto"/>
          <w:highlight w:val="none"/>
        </w:rPr>
        <w:t>本项目发生渗漏情况下</w:t>
      </w:r>
      <w:bookmarkEnd w:id="439"/>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COD：</w:t>
      </w:r>
      <w:r>
        <w:rPr>
          <w:rFonts w:hint="default" w:ascii="Times New Roman" w:hAnsi="Times New Roman" w:eastAsia="宋体" w:cs="Times New Roman"/>
          <w:color w:val="auto"/>
          <w:highlight w:val="none"/>
        </w:rPr>
        <w:t>预测时间100天时，达标距离为地下水下游</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22</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22</w:t>
      </w:r>
      <w:r>
        <w:rPr>
          <w:rFonts w:hint="default" w:ascii="Times New Roman" w:hAnsi="Times New Roman" w:eastAsia="宋体" w:cs="Times New Roman"/>
          <w:color w:val="auto"/>
          <w:highlight w:val="none"/>
        </w:rPr>
        <w:t>m处污染物的浓度值低于检出下限；预测时间1000天时，达标距离为地下水下游</w:t>
      </w:r>
      <w:r>
        <w:rPr>
          <w:rFonts w:hint="eastAsia" w:eastAsia="宋体" w:cs="Times New Roman"/>
          <w:color w:val="auto"/>
          <w:highlight w:val="none"/>
          <w:lang w:val="en-US" w:eastAsia="zh-CN"/>
        </w:rPr>
        <w:t>99</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105</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105</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预测时间</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r>
        <w:rPr>
          <w:rFonts w:hint="default" w:ascii="Times New Roman" w:hAnsi="Times New Roman" w:eastAsia="宋体" w:cs="Times New Roman"/>
          <w:color w:val="auto"/>
          <w:highlight w:val="none"/>
        </w:rPr>
        <w:t>时，达标距离为地下水下游</w:t>
      </w:r>
      <w:r>
        <w:rPr>
          <w:rFonts w:hint="eastAsia" w:eastAsia="宋体" w:cs="Times New Roman"/>
          <w:color w:val="auto"/>
          <w:highlight w:val="none"/>
          <w:lang w:val="en-US" w:eastAsia="zh-CN"/>
        </w:rPr>
        <w:t>281</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293</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293</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val="en-US" w:eastAsia="zh-CN"/>
        </w:rPr>
        <w:t>氨氮：</w:t>
      </w:r>
      <w:r>
        <w:rPr>
          <w:rFonts w:hint="default" w:ascii="Times New Roman" w:hAnsi="Times New Roman" w:eastAsia="宋体" w:cs="Times New Roman"/>
          <w:color w:val="auto"/>
          <w:highlight w:val="none"/>
        </w:rPr>
        <w:t>预测时间100天时，达标距离为地下水下游</w:t>
      </w:r>
      <w:r>
        <w:rPr>
          <w:rFonts w:hint="eastAsia" w:eastAsia="宋体" w:cs="Times New Roman"/>
          <w:color w:val="auto"/>
          <w:highlight w:val="none"/>
          <w:lang w:val="en-US" w:eastAsia="zh-CN"/>
        </w:rPr>
        <w:t>21</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24</w:t>
      </w:r>
      <w:r>
        <w:rPr>
          <w:rFonts w:hint="default" w:ascii="Times New Roman" w:hAnsi="Times New Roman" w:eastAsia="宋体" w:cs="Times New Roman"/>
          <w:color w:val="auto"/>
          <w:highlight w:val="none"/>
        </w:rPr>
        <w:t>m处污染物的浓度值低于检出下限；预测时间1000天时，达标距离为地下水下游</w:t>
      </w:r>
      <w:r>
        <w:rPr>
          <w:rFonts w:hint="eastAsia" w:eastAsia="宋体" w:cs="Times New Roman"/>
          <w:color w:val="auto"/>
          <w:highlight w:val="none"/>
          <w:lang w:val="en-US" w:eastAsia="zh-CN"/>
        </w:rPr>
        <w:t>103</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113</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113</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预测时间</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r>
        <w:rPr>
          <w:rFonts w:hint="default" w:ascii="Times New Roman" w:hAnsi="Times New Roman" w:eastAsia="宋体" w:cs="Times New Roman"/>
          <w:color w:val="auto"/>
          <w:highlight w:val="none"/>
        </w:rPr>
        <w:t>时，达标距离为地下水下游</w:t>
      </w:r>
      <w:r>
        <w:rPr>
          <w:rFonts w:hint="eastAsia" w:eastAsia="宋体" w:cs="Times New Roman"/>
          <w:color w:val="auto"/>
          <w:highlight w:val="none"/>
          <w:lang w:val="en-US" w:eastAsia="zh-CN"/>
        </w:rPr>
        <w:t>289</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309</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309</w:t>
      </w:r>
      <w:r>
        <w:rPr>
          <w:rFonts w:hint="default" w:ascii="Times New Roman" w:hAnsi="Times New Roman" w:eastAsia="宋体" w:cs="Times New Roman"/>
          <w:color w:val="auto"/>
          <w:highlight w:val="none"/>
        </w:rPr>
        <w:t>m处污染物的浓度值低于检出下限。</w:t>
      </w:r>
    </w:p>
    <w:p w14:paraId="480A40E5">
      <w:pPr>
        <w:pStyle w:val="67"/>
        <w:ind w:firstLine="48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本项目地下水流向由西南至东北，渗滤液收集池距离地下水流向下游厂界距离约300米，根据表5-2-4可知，在污染物泄漏后第3928天，预测COD污染物浓度超标，浓度为</w:t>
      </w:r>
      <w:r>
        <w:rPr>
          <w:rFonts w:hint="eastAsia" w:ascii="Times New Roman" w:hAnsi="Times New Roman" w:eastAsia="宋体" w:cs="Times New Roman"/>
          <w:color w:val="auto"/>
          <w:highlight w:val="none"/>
          <w:lang w:val="en-US" w:eastAsia="zh-CN"/>
        </w:rPr>
        <w:t>2.0</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E+01mg/L；</w:t>
      </w:r>
      <w:r>
        <w:rPr>
          <w:rFonts w:hint="eastAsia" w:eastAsia="宋体" w:cs="Times New Roman"/>
          <w:color w:val="auto"/>
          <w:highlight w:val="none"/>
          <w:lang w:val="en-US" w:eastAsia="zh-CN"/>
        </w:rPr>
        <w:t>在污染物泄漏后第3803天，预测氨氮污染物浓度超标，浓度为</w:t>
      </w:r>
      <w:r>
        <w:rPr>
          <w:rFonts w:hint="eastAsia" w:ascii="Times New Roman" w:hAnsi="Times New Roman" w:eastAsia="宋体" w:cs="Times New Roman"/>
          <w:color w:val="auto"/>
          <w:highlight w:val="none"/>
          <w:lang w:val="en-US" w:eastAsia="zh-CN"/>
        </w:rPr>
        <w:t>5.0</w:t>
      </w:r>
      <w:r>
        <w:rPr>
          <w:rFonts w:hint="eastAsia"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E-01mg/L。</w:t>
      </w:r>
    </w:p>
    <w:p w14:paraId="5E4065F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项目评价区域地下水流向下游</w:t>
      </w:r>
      <w:r>
        <w:rPr>
          <w:rFonts w:hint="eastAsia" w:eastAsia="宋体" w:cs="Times New Roman"/>
          <w:color w:val="auto"/>
          <w:highlight w:val="none"/>
          <w:lang w:val="en-US" w:eastAsia="zh-CN"/>
        </w:rPr>
        <w:t>5km</w:t>
      </w:r>
      <w:r>
        <w:rPr>
          <w:rFonts w:hint="default" w:ascii="Times New Roman" w:hAnsi="Times New Roman" w:eastAsia="宋体" w:cs="Times New Roman"/>
          <w:color w:val="auto"/>
          <w:highlight w:val="none"/>
        </w:rPr>
        <w:t>米范围内无地下水饮用水井，所以非正常工况下，污水渗漏不会对地下水流向下游居民点地下饮用水造成影响。项目建设对区域地下水环境影响较小。</w:t>
      </w:r>
    </w:p>
    <w:p w14:paraId="7699B714">
      <w:pPr>
        <w:pStyle w:val="5"/>
        <w:spacing w:line="500" w:lineRule="exact"/>
        <w:rPr>
          <w:rFonts w:hint="default" w:ascii="Times New Roman" w:hAnsi="Times New Roman" w:cs="Times New Roman"/>
          <w:color w:val="auto"/>
          <w:highlight w:val="none"/>
        </w:rPr>
      </w:pPr>
      <w:bookmarkStart w:id="440" w:name="_Toc10890"/>
      <w:bookmarkStart w:id="441" w:name="_Toc57713682"/>
      <w:r>
        <w:rPr>
          <w:rFonts w:hint="default" w:ascii="Times New Roman" w:hAnsi="Times New Roman" w:cs="Times New Roman"/>
          <w:color w:val="auto"/>
          <w:highlight w:val="none"/>
        </w:rPr>
        <w:t>5.2.3运行期环境空气影响预测与评价</w:t>
      </w:r>
      <w:bookmarkEnd w:id="440"/>
      <w:bookmarkEnd w:id="441"/>
    </w:p>
    <w:p w14:paraId="0BD38E04">
      <w:pPr>
        <w:pStyle w:val="6"/>
        <w:rPr>
          <w:rFonts w:hint="default" w:ascii="Times New Roman" w:hAnsi="Times New Roman" w:cs="Times New Roman"/>
          <w:color w:val="auto"/>
          <w:highlight w:val="none"/>
        </w:rPr>
      </w:pPr>
      <w:bookmarkStart w:id="442" w:name="_Hlk58259454"/>
      <w:r>
        <w:rPr>
          <w:rFonts w:hint="default" w:ascii="Times New Roman" w:hAnsi="Times New Roman" w:cs="Times New Roman"/>
          <w:color w:val="auto"/>
          <w:highlight w:val="none"/>
        </w:rPr>
        <w:t>5.2.3.1大气环境影响预测与评价</w:t>
      </w:r>
    </w:p>
    <w:p w14:paraId="67753A29">
      <w:pPr>
        <w:pStyle w:val="67"/>
        <w:ind w:firstLine="480"/>
        <w:rPr>
          <w:rFonts w:hint="default" w:ascii="Times New Roman" w:hAnsi="Times New Roman" w:eastAsia="宋体" w:cs="Times New Roman"/>
          <w:color w:val="auto"/>
          <w:kern w:val="2"/>
          <w:sz w:val="24"/>
          <w:szCs w:val="20"/>
          <w:highlight w:val="none"/>
          <w:lang w:val="en-US" w:eastAsia="zh-CN" w:bidi="ar-SA"/>
        </w:rPr>
      </w:pPr>
      <w:bookmarkStart w:id="443" w:name="_Hlk6926034"/>
      <w:r>
        <w:rPr>
          <w:rFonts w:hint="default" w:ascii="Times New Roman" w:hAnsi="Times New Roman" w:eastAsia="宋体" w:cs="Times New Roman"/>
          <w:color w:val="auto"/>
          <w:highlight w:val="none"/>
        </w:rPr>
        <w:t>根据《环境影响评价技术导则 大气环境》（HJ2.2-2018）中附录A推荐的估算模式进行计算，由估算模式计算结果可知，本项目排放污染物</w:t>
      </w:r>
      <w:r>
        <w:rPr>
          <w:rFonts w:hint="default" w:ascii="Times New Roman" w:hAnsi="Times New Roman" w:eastAsia="宋体" w:cs="Times New Roman"/>
          <w:color w:val="auto"/>
          <w:highlight w:val="none"/>
          <w:lang w:val="zh-CN"/>
        </w:rPr>
        <w:t>的</w:t>
      </w:r>
      <w:r>
        <w:rPr>
          <w:rFonts w:hint="default" w:ascii="Times New Roman" w:hAnsi="Times New Roman" w:eastAsia="宋体" w:cs="Times New Roman"/>
          <w:color w:val="auto"/>
          <w:highlight w:val="none"/>
        </w:rPr>
        <w:t>最大地面空气质量浓度占标率</w:t>
      </w:r>
      <w:r>
        <w:rPr>
          <w:rFonts w:hint="eastAsia" w:eastAsia="宋体" w:cs="Times New Roman"/>
          <w:color w:val="auto"/>
          <w:highlight w:val="none"/>
          <w:lang w:val="en-US" w:eastAsia="zh-CN"/>
        </w:rPr>
        <w:t>17.26%，</w:t>
      </w:r>
      <w:r>
        <w:rPr>
          <w:rFonts w:hint="default" w:ascii="Times New Roman" w:hAnsi="Times New Roman" w:eastAsia="宋体" w:cs="Times New Roman"/>
          <w:color w:val="auto"/>
          <w:highlight w:val="none"/>
          <w:lang w:val="zh-CN"/>
        </w:rPr>
        <w:t>Pmax＞1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zh-CN"/>
        </w:rPr>
        <w:t>%</w:t>
      </w:r>
      <w:r>
        <w:rPr>
          <w:rFonts w:hint="default" w:ascii="Times New Roman" w:hAnsi="Times New Roman" w:eastAsia="宋体" w:cs="Times New Roman"/>
          <w:color w:val="auto"/>
          <w:highlight w:val="none"/>
        </w:rPr>
        <w:t>。因此，本项目大气环境影响评价等级为</w:t>
      </w:r>
      <w:r>
        <w:rPr>
          <w:rFonts w:hint="eastAsia" w:eastAsia="宋体" w:cs="Times New Roman"/>
          <w:color w:val="auto"/>
          <w:highlight w:val="none"/>
          <w:lang w:val="en-US" w:eastAsia="zh-CN"/>
        </w:rPr>
        <w:t>一</w:t>
      </w:r>
      <w:r>
        <w:rPr>
          <w:rFonts w:hint="default" w:ascii="Times New Roman" w:hAnsi="Times New Roman" w:eastAsia="宋体" w:cs="Times New Roman"/>
          <w:color w:val="auto"/>
          <w:highlight w:val="none"/>
        </w:rPr>
        <w:t>级。</w:t>
      </w:r>
      <w:bookmarkEnd w:id="442"/>
      <w:bookmarkEnd w:id="443"/>
      <w:bookmarkStart w:id="444" w:name="_Hlk58259401"/>
      <w:r>
        <w:rPr>
          <w:rFonts w:hint="default" w:ascii="Times New Roman" w:hAnsi="Times New Roman" w:eastAsia="宋体" w:cs="Times New Roman"/>
          <w:color w:val="auto"/>
          <w:kern w:val="2"/>
          <w:sz w:val="24"/>
          <w:szCs w:val="20"/>
          <w:highlight w:val="none"/>
          <w:lang w:val="en-US" w:eastAsia="zh-CN" w:bidi="ar-SA"/>
        </w:rPr>
        <w:t>根据《环境影响评价技术导则-大气环境》（HJ2.2-2018）中的规定要求，一级评价项目需要采用进一步预测模型开展大气环境影响预测与分析。</w:t>
      </w:r>
    </w:p>
    <w:bookmarkEnd w:id="444"/>
    <w:p w14:paraId="5F6DDA13">
      <w:pPr>
        <w:pStyle w:val="6"/>
        <w:rPr>
          <w:rFonts w:hint="eastAsia" w:cs="Times New Roman"/>
          <w:color w:val="auto"/>
          <w:highlight w:val="none"/>
          <w:lang w:val="en-US" w:eastAsia="zh-CN"/>
        </w:rPr>
      </w:pPr>
      <w:r>
        <w:rPr>
          <w:rFonts w:hint="default" w:ascii="Times New Roman" w:hAnsi="Times New Roman" w:cs="Times New Roman"/>
          <w:color w:val="auto"/>
          <w:highlight w:val="none"/>
        </w:rPr>
        <w:t>5.2.3.2</w:t>
      </w:r>
      <w:r>
        <w:rPr>
          <w:rFonts w:hint="eastAsia" w:cs="Times New Roman"/>
          <w:color w:val="auto"/>
          <w:highlight w:val="none"/>
          <w:lang w:val="en-US" w:eastAsia="zh-CN"/>
        </w:rPr>
        <w:t>评价区气象资料</w:t>
      </w:r>
    </w:p>
    <w:p w14:paraId="411C438B">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黑河</w:t>
      </w:r>
      <w:r>
        <w:rPr>
          <w:rFonts w:hint="default" w:ascii="Times New Roman" w:hAnsi="Times New Roman" w:eastAsia="宋体" w:cs="Times New Roman"/>
          <w:color w:val="auto"/>
          <w:kern w:val="2"/>
          <w:sz w:val="24"/>
          <w:szCs w:val="20"/>
          <w:highlight w:val="none"/>
          <w:lang w:val="en-US" w:eastAsia="zh-CN" w:bidi="ar-SA"/>
        </w:rPr>
        <w:t>市（2006~2025年）年主要气象要素统计结果见表</w:t>
      </w:r>
      <w:r>
        <w:rPr>
          <w:rFonts w:hint="eastAsia" w:eastAsia="宋体" w:cs="Times New Roman"/>
          <w:color w:val="auto"/>
          <w:kern w:val="2"/>
          <w:sz w:val="24"/>
          <w:szCs w:val="20"/>
          <w:highlight w:val="none"/>
          <w:lang w:val="en-US" w:eastAsia="zh-CN" w:bidi="ar-SA"/>
        </w:rPr>
        <w:t>5-</w:t>
      </w:r>
      <w:r>
        <w:rPr>
          <w:rFonts w:hint="default" w:ascii="Times New Roman" w:hAnsi="Times New Roman" w:eastAsia="宋体" w:cs="Times New Roman"/>
          <w:color w:val="auto"/>
          <w:kern w:val="2"/>
          <w:sz w:val="24"/>
          <w:szCs w:val="20"/>
          <w:highlight w:val="none"/>
          <w:lang w:val="en-US" w:eastAsia="zh-CN" w:bidi="ar-SA"/>
        </w:rPr>
        <w:t>2-</w:t>
      </w:r>
      <w:r>
        <w:rPr>
          <w:rFonts w:hint="eastAsia" w:eastAsia="宋体" w:cs="Times New Roman"/>
          <w:color w:val="auto"/>
          <w:kern w:val="2"/>
          <w:sz w:val="24"/>
          <w:szCs w:val="20"/>
          <w:highlight w:val="none"/>
          <w:lang w:val="en-US" w:eastAsia="zh-CN" w:bidi="ar-SA"/>
        </w:rPr>
        <w:t>5</w:t>
      </w:r>
      <w:r>
        <w:rPr>
          <w:rFonts w:hint="default" w:ascii="Times New Roman" w:hAnsi="Times New Roman" w:eastAsia="宋体"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黑河市</w:t>
      </w:r>
      <w:r>
        <w:rPr>
          <w:rFonts w:hint="default" w:ascii="Times New Roman" w:hAnsi="Times New Roman" w:eastAsia="宋体" w:cs="Times New Roman"/>
          <w:color w:val="auto"/>
          <w:kern w:val="2"/>
          <w:sz w:val="24"/>
          <w:szCs w:val="20"/>
          <w:highlight w:val="none"/>
          <w:lang w:val="en-US" w:eastAsia="zh-CN" w:bidi="ar-SA"/>
        </w:rPr>
        <w:t>（2006~2025年）年风向频率见表</w:t>
      </w:r>
      <w:r>
        <w:rPr>
          <w:rFonts w:hint="eastAsia" w:eastAsia="宋体" w:cs="Times New Roman"/>
          <w:color w:val="auto"/>
          <w:kern w:val="2"/>
          <w:sz w:val="24"/>
          <w:szCs w:val="20"/>
          <w:highlight w:val="none"/>
          <w:lang w:val="en-US" w:eastAsia="zh-CN" w:bidi="ar-SA"/>
        </w:rPr>
        <w:t>5-</w:t>
      </w:r>
      <w:r>
        <w:rPr>
          <w:rFonts w:hint="default" w:ascii="Times New Roman" w:hAnsi="Times New Roman" w:eastAsia="宋体" w:cs="Times New Roman"/>
          <w:color w:val="auto"/>
          <w:kern w:val="2"/>
          <w:sz w:val="24"/>
          <w:szCs w:val="20"/>
          <w:highlight w:val="none"/>
          <w:lang w:val="en-US" w:eastAsia="zh-CN" w:bidi="ar-SA"/>
        </w:rPr>
        <w:t>2-</w:t>
      </w:r>
      <w:r>
        <w:rPr>
          <w:rFonts w:hint="eastAsia" w:eastAsia="宋体" w:cs="Times New Roman"/>
          <w:color w:val="auto"/>
          <w:kern w:val="2"/>
          <w:sz w:val="24"/>
          <w:szCs w:val="20"/>
          <w:highlight w:val="none"/>
          <w:lang w:val="en-US" w:eastAsia="zh-CN" w:bidi="ar-SA"/>
        </w:rPr>
        <w:t>6</w:t>
      </w:r>
      <w:r>
        <w:rPr>
          <w:rFonts w:hint="default" w:ascii="Times New Roman" w:hAnsi="Times New Roman" w:eastAsia="宋体"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黑河市</w:t>
      </w:r>
      <w:r>
        <w:rPr>
          <w:rFonts w:hint="default" w:ascii="Times New Roman" w:hAnsi="Times New Roman" w:eastAsia="宋体" w:cs="Times New Roman"/>
          <w:color w:val="auto"/>
          <w:kern w:val="2"/>
          <w:sz w:val="24"/>
          <w:szCs w:val="20"/>
          <w:highlight w:val="none"/>
          <w:lang w:val="en-US" w:eastAsia="zh-CN" w:bidi="ar-SA"/>
        </w:rPr>
        <w:t>（2006~2025年）各月风向频率见表</w:t>
      </w:r>
      <w:r>
        <w:rPr>
          <w:rFonts w:hint="eastAsia" w:eastAsia="宋体" w:cs="Times New Roman"/>
          <w:color w:val="auto"/>
          <w:kern w:val="2"/>
          <w:sz w:val="24"/>
          <w:szCs w:val="20"/>
          <w:highlight w:val="none"/>
          <w:lang w:val="en-US" w:eastAsia="zh-CN" w:bidi="ar-SA"/>
        </w:rPr>
        <w:t>5-2-7</w:t>
      </w:r>
      <w:r>
        <w:rPr>
          <w:rFonts w:hint="default" w:ascii="Times New Roman" w:hAnsi="Times New Roman" w:eastAsia="宋体" w:cs="Times New Roman"/>
          <w:color w:val="auto"/>
          <w:kern w:val="2"/>
          <w:sz w:val="24"/>
          <w:szCs w:val="20"/>
          <w:highlight w:val="none"/>
          <w:lang w:val="en-US" w:eastAsia="zh-CN" w:bidi="ar-SA"/>
        </w:rPr>
        <w:t>。</w:t>
      </w:r>
    </w:p>
    <w:p w14:paraId="798BF30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5</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黑河</w:t>
      </w:r>
      <w:r>
        <w:rPr>
          <w:rFonts w:hint="eastAsia" w:cs="Times New Roman"/>
          <w:color w:val="auto"/>
          <w:highlight w:val="none"/>
          <w:lang w:val="en-US" w:eastAsia="zh-CN"/>
        </w:rPr>
        <w:t>市</w:t>
      </w:r>
      <w:r>
        <w:rPr>
          <w:rFonts w:hint="default" w:ascii="Times New Roman" w:hAnsi="Times New Roman" w:cs="Times New Roman"/>
          <w:color w:val="auto"/>
          <w:highlight w:val="none"/>
        </w:rPr>
        <w:t>【50</w:t>
      </w:r>
      <w:r>
        <w:rPr>
          <w:rFonts w:hint="eastAsia" w:ascii="Times New Roman" w:hAnsi="Times New Roman" w:cs="Times New Roman"/>
          <w:color w:val="auto"/>
          <w:highlight w:val="none"/>
          <w:lang w:val="en-US" w:eastAsia="zh-CN"/>
        </w:rPr>
        <w:t>564</w:t>
      </w:r>
      <w:r>
        <w:rPr>
          <w:rFonts w:hint="default" w:ascii="Times New Roman" w:hAnsi="Times New Roman" w:cs="Times New Roman"/>
          <w:color w:val="auto"/>
          <w:highlight w:val="none"/>
        </w:rPr>
        <w:t>】近20年(2006-2025)主要气候特征统计表</w:t>
      </w:r>
    </w:p>
    <w:tbl>
      <w:tblPr>
        <w:tblStyle w:val="486"/>
        <w:tblW w:w="8384" w:type="dxa"/>
        <w:tblInd w:w="1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93"/>
        <w:gridCol w:w="1637"/>
        <w:gridCol w:w="1076"/>
        <w:gridCol w:w="760"/>
        <w:gridCol w:w="679"/>
        <w:gridCol w:w="1715"/>
        <w:gridCol w:w="1128"/>
        <w:gridCol w:w="696"/>
      </w:tblGrid>
      <w:tr w14:paraId="5F2A0B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693" w:type="dxa"/>
            <w:tcBorders>
              <w:tl2br w:val="nil"/>
              <w:tr2bl w:val="nil"/>
            </w:tcBorders>
            <w:vAlign w:val="center"/>
          </w:tcPr>
          <w:p w14:paraId="64395B0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1637" w:type="dxa"/>
            <w:tcBorders>
              <w:tl2br w:val="nil"/>
              <w:tr2bl w:val="nil"/>
            </w:tcBorders>
            <w:vAlign w:val="center"/>
          </w:tcPr>
          <w:p w14:paraId="78015A4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p>
        </w:tc>
        <w:tc>
          <w:tcPr>
            <w:tcW w:w="1076" w:type="dxa"/>
            <w:tcBorders>
              <w:tl2br w:val="nil"/>
              <w:tr2bl w:val="nil"/>
            </w:tcBorders>
            <w:vAlign w:val="center"/>
          </w:tcPr>
          <w:p w14:paraId="4D0B94B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统计结果</w:t>
            </w:r>
          </w:p>
        </w:tc>
        <w:tc>
          <w:tcPr>
            <w:tcW w:w="760" w:type="dxa"/>
            <w:tcBorders>
              <w:tl2br w:val="nil"/>
              <w:tr2bl w:val="nil"/>
            </w:tcBorders>
            <w:vAlign w:val="center"/>
          </w:tcPr>
          <w:p w14:paraId="31C291E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单位</w:t>
            </w:r>
          </w:p>
        </w:tc>
        <w:tc>
          <w:tcPr>
            <w:tcW w:w="679" w:type="dxa"/>
            <w:tcBorders>
              <w:tl2br w:val="nil"/>
              <w:tr2bl w:val="nil"/>
            </w:tcBorders>
            <w:vAlign w:val="center"/>
          </w:tcPr>
          <w:p w14:paraId="261A79F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1715" w:type="dxa"/>
            <w:tcBorders>
              <w:tl2br w:val="nil"/>
              <w:tr2bl w:val="nil"/>
            </w:tcBorders>
            <w:vAlign w:val="center"/>
          </w:tcPr>
          <w:p w14:paraId="456B237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p>
        </w:tc>
        <w:tc>
          <w:tcPr>
            <w:tcW w:w="1128" w:type="dxa"/>
            <w:tcBorders>
              <w:tl2br w:val="nil"/>
              <w:tr2bl w:val="nil"/>
            </w:tcBorders>
            <w:vAlign w:val="center"/>
          </w:tcPr>
          <w:p w14:paraId="1009C2C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统计结果</w:t>
            </w:r>
          </w:p>
        </w:tc>
        <w:tc>
          <w:tcPr>
            <w:tcW w:w="696" w:type="dxa"/>
            <w:tcBorders>
              <w:tl2br w:val="nil"/>
              <w:tr2bl w:val="nil"/>
            </w:tcBorders>
            <w:vAlign w:val="center"/>
          </w:tcPr>
          <w:p w14:paraId="06D2736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单位</w:t>
            </w:r>
          </w:p>
        </w:tc>
      </w:tr>
      <w:tr w14:paraId="34E3F9E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693" w:type="dxa"/>
            <w:tcBorders>
              <w:tl2br w:val="nil"/>
              <w:tr2bl w:val="nil"/>
            </w:tcBorders>
            <w:vAlign w:val="center"/>
          </w:tcPr>
          <w:p w14:paraId="2219B4C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637" w:type="dxa"/>
            <w:tcBorders>
              <w:tl2br w:val="nil"/>
              <w:tr2bl w:val="nil"/>
            </w:tcBorders>
            <w:vAlign w:val="center"/>
          </w:tcPr>
          <w:p w14:paraId="2AB655C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年平均风速</w:t>
            </w:r>
          </w:p>
        </w:tc>
        <w:tc>
          <w:tcPr>
            <w:tcW w:w="1076" w:type="dxa"/>
            <w:tcBorders>
              <w:tl2br w:val="nil"/>
              <w:tr2bl w:val="nil"/>
            </w:tcBorders>
            <w:vAlign w:val="center"/>
          </w:tcPr>
          <w:p w14:paraId="64B9212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2.08</w:t>
            </w:r>
          </w:p>
        </w:tc>
        <w:tc>
          <w:tcPr>
            <w:tcW w:w="760" w:type="dxa"/>
            <w:tcBorders>
              <w:tl2br w:val="nil"/>
              <w:tr2bl w:val="nil"/>
            </w:tcBorders>
            <w:vAlign w:val="center"/>
          </w:tcPr>
          <w:p w14:paraId="3A91937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m/s</w:t>
            </w:r>
          </w:p>
        </w:tc>
        <w:tc>
          <w:tcPr>
            <w:tcW w:w="679" w:type="dxa"/>
            <w:tcBorders>
              <w:tl2br w:val="nil"/>
              <w:tr2bl w:val="nil"/>
            </w:tcBorders>
            <w:vAlign w:val="center"/>
          </w:tcPr>
          <w:p w14:paraId="4FA4EC9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w:t>
            </w:r>
          </w:p>
        </w:tc>
        <w:tc>
          <w:tcPr>
            <w:tcW w:w="1715" w:type="dxa"/>
            <w:tcBorders>
              <w:tl2br w:val="nil"/>
              <w:tr2bl w:val="nil"/>
            </w:tcBorders>
            <w:vAlign w:val="center"/>
          </w:tcPr>
          <w:p w14:paraId="31A057B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年平均降水量</w:t>
            </w:r>
          </w:p>
        </w:tc>
        <w:tc>
          <w:tcPr>
            <w:tcW w:w="1128" w:type="dxa"/>
            <w:tcBorders>
              <w:tl2br w:val="nil"/>
              <w:tr2bl w:val="nil"/>
            </w:tcBorders>
            <w:vAlign w:val="center"/>
          </w:tcPr>
          <w:p w14:paraId="46418F5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576.53</w:t>
            </w:r>
          </w:p>
        </w:tc>
        <w:tc>
          <w:tcPr>
            <w:tcW w:w="696" w:type="dxa"/>
            <w:tcBorders>
              <w:tl2br w:val="nil"/>
              <w:tr2bl w:val="nil"/>
            </w:tcBorders>
            <w:vAlign w:val="center"/>
          </w:tcPr>
          <w:p w14:paraId="3250368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mm</w:t>
            </w:r>
          </w:p>
        </w:tc>
      </w:tr>
      <w:tr w14:paraId="703FE40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693" w:type="dxa"/>
            <w:tcBorders>
              <w:tl2br w:val="nil"/>
              <w:tr2bl w:val="nil"/>
            </w:tcBorders>
            <w:vAlign w:val="center"/>
          </w:tcPr>
          <w:p w14:paraId="43576FA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637" w:type="dxa"/>
            <w:tcBorders>
              <w:tl2br w:val="nil"/>
              <w:tr2bl w:val="nil"/>
            </w:tcBorders>
            <w:vAlign w:val="center"/>
          </w:tcPr>
          <w:p w14:paraId="1848F04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近五年平均风速</w:t>
            </w:r>
          </w:p>
        </w:tc>
        <w:tc>
          <w:tcPr>
            <w:tcW w:w="1076" w:type="dxa"/>
            <w:tcBorders>
              <w:tl2br w:val="nil"/>
              <w:tr2bl w:val="nil"/>
            </w:tcBorders>
            <w:vAlign w:val="center"/>
          </w:tcPr>
          <w:p w14:paraId="404C341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2.21</w:t>
            </w:r>
          </w:p>
        </w:tc>
        <w:tc>
          <w:tcPr>
            <w:tcW w:w="760" w:type="dxa"/>
            <w:tcBorders>
              <w:tl2br w:val="nil"/>
              <w:tr2bl w:val="nil"/>
            </w:tcBorders>
            <w:vAlign w:val="center"/>
          </w:tcPr>
          <w:p w14:paraId="5F3FDC2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m/s</w:t>
            </w:r>
          </w:p>
        </w:tc>
        <w:tc>
          <w:tcPr>
            <w:tcW w:w="679" w:type="dxa"/>
            <w:tcBorders>
              <w:tl2br w:val="nil"/>
              <w:tr2bl w:val="nil"/>
            </w:tcBorders>
            <w:vAlign w:val="center"/>
          </w:tcPr>
          <w:p w14:paraId="56CF45B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w:t>
            </w:r>
          </w:p>
        </w:tc>
        <w:tc>
          <w:tcPr>
            <w:tcW w:w="1715" w:type="dxa"/>
            <w:tcBorders>
              <w:tl2br w:val="nil"/>
              <w:tr2bl w:val="nil"/>
            </w:tcBorders>
            <w:vAlign w:val="center"/>
          </w:tcPr>
          <w:p w14:paraId="793404A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年平均降雨日数</w:t>
            </w:r>
          </w:p>
        </w:tc>
        <w:tc>
          <w:tcPr>
            <w:tcW w:w="1128" w:type="dxa"/>
            <w:tcBorders>
              <w:tl2br w:val="nil"/>
              <w:tr2bl w:val="nil"/>
            </w:tcBorders>
            <w:vAlign w:val="center"/>
          </w:tcPr>
          <w:p w14:paraId="7DF2187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115.35</w:t>
            </w:r>
          </w:p>
        </w:tc>
        <w:tc>
          <w:tcPr>
            <w:tcW w:w="696" w:type="dxa"/>
            <w:tcBorders>
              <w:tl2br w:val="nil"/>
              <w:tr2bl w:val="nil"/>
            </w:tcBorders>
            <w:vAlign w:val="center"/>
          </w:tcPr>
          <w:p w14:paraId="2F37483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天</w:t>
            </w:r>
          </w:p>
        </w:tc>
      </w:tr>
      <w:tr w14:paraId="0992D6C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693" w:type="dxa"/>
            <w:tcBorders>
              <w:tl2br w:val="nil"/>
              <w:tr2bl w:val="nil"/>
            </w:tcBorders>
            <w:vAlign w:val="center"/>
          </w:tcPr>
          <w:p w14:paraId="161C5C4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1637" w:type="dxa"/>
            <w:tcBorders>
              <w:tl2br w:val="nil"/>
              <w:tr2bl w:val="nil"/>
            </w:tcBorders>
            <w:vAlign w:val="center"/>
          </w:tcPr>
          <w:p w14:paraId="79D4A32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年平均气压</w:t>
            </w:r>
          </w:p>
        </w:tc>
        <w:tc>
          <w:tcPr>
            <w:tcW w:w="1076" w:type="dxa"/>
            <w:tcBorders>
              <w:tl2br w:val="nil"/>
              <w:tr2bl w:val="nil"/>
            </w:tcBorders>
            <w:vAlign w:val="center"/>
          </w:tcPr>
          <w:p w14:paraId="2D679B7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984.67</w:t>
            </w:r>
          </w:p>
        </w:tc>
        <w:tc>
          <w:tcPr>
            <w:tcW w:w="760" w:type="dxa"/>
            <w:tcBorders>
              <w:tl2br w:val="nil"/>
              <w:tr2bl w:val="nil"/>
            </w:tcBorders>
            <w:vAlign w:val="center"/>
          </w:tcPr>
          <w:p w14:paraId="18798BF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hPa</w:t>
            </w:r>
          </w:p>
        </w:tc>
        <w:tc>
          <w:tcPr>
            <w:tcW w:w="679" w:type="dxa"/>
            <w:tcBorders>
              <w:tl2br w:val="nil"/>
              <w:tr2bl w:val="nil"/>
            </w:tcBorders>
            <w:vAlign w:val="center"/>
          </w:tcPr>
          <w:p w14:paraId="584D792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1715" w:type="dxa"/>
            <w:tcBorders>
              <w:tl2br w:val="nil"/>
              <w:tr2bl w:val="nil"/>
            </w:tcBorders>
            <w:vAlign w:val="center"/>
          </w:tcPr>
          <w:p w14:paraId="27DE1F3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年平均相对湿度</w:t>
            </w:r>
          </w:p>
        </w:tc>
        <w:tc>
          <w:tcPr>
            <w:tcW w:w="1128" w:type="dxa"/>
            <w:tcBorders>
              <w:tl2br w:val="nil"/>
              <w:tr2bl w:val="nil"/>
            </w:tcBorders>
            <w:vAlign w:val="center"/>
          </w:tcPr>
          <w:p w14:paraId="21D6BF4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65.96</w:t>
            </w:r>
          </w:p>
        </w:tc>
        <w:tc>
          <w:tcPr>
            <w:tcW w:w="696" w:type="dxa"/>
            <w:tcBorders>
              <w:tl2br w:val="nil"/>
              <w:tr2bl w:val="nil"/>
            </w:tcBorders>
            <w:vAlign w:val="center"/>
          </w:tcPr>
          <w:p w14:paraId="41AD4D3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r>
      <w:tr w14:paraId="1AF2C1E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693" w:type="dxa"/>
            <w:tcBorders>
              <w:tl2br w:val="nil"/>
              <w:tr2bl w:val="nil"/>
            </w:tcBorders>
            <w:vAlign w:val="center"/>
          </w:tcPr>
          <w:p w14:paraId="457A400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1637" w:type="dxa"/>
            <w:tcBorders>
              <w:tl2br w:val="nil"/>
              <w:tr2bl w:val="nil"/>
            </w:tcBorders>
            <w:vAlign w:val="center"/>
          </w:tcPr>
          <w:p w14:paraId="7018B31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年平均气温</w:t>
            </w:r>
          </w:p>
        </w:tc>
        <w:tc>
          <w:tcPr>
            <w:tcW w:w="1076" w:type="dxa"/>
            <w:tcBorders>
              <w:tl2br w:val="nil"/>
              <w:tr2bl w:val="nil"/>
            </w:tcBorders>
            <w:vAlign w:val="center"/>
          </w:tcPr>
          <w:p w14:paraId="165ED8A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1.41</w:t>
            </w:r>
          </w:p>
        </w:tc>
        <w:tc>
          <w:tcPr>
            <w:tcW w:w="760" w:type="dxa"/>
            <w:tcBorders>
              <w:tl2br w:val="nil"/>
              <w:tr2bl w:val="nil"/>
            </w:tcBorders>
            <w:vAlign w:val="center"/>
          </w:tcPr>
          <w:p w14:paraId="5F4DCAF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79" w:type="dxa"/>
            <w:tcBorders>
              <w:tl2br w:val="nil"/>
              <w:tr2bl w:val="nil"/>
            </w:tcBorders>
            <w:vAlign w:val="center"/>
          </w:tcPr>
          <w:p w14:paraId="355E663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1715" w:type="dxa"/>
            <w:tcBorders>
              <w:tl2br w:val="nil"/>
              <w:tr2bl w:val="nil"/>
            </w:tcBorders>
            <w:vAlign w:val="center"/>
          </w:tcPr>
          <w:p w14:paraId="72E790D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多年平均最大日降水量</w:t>
            </w:r>
          </w:p>
        </w:tc>
        <w:tc>
          <w:tcPr>
            <w:tcW w:w="1128" w:type="dxa"/>
            <w:tcBorders>
              <w:tl2br w:val="nil"/>
              <w:tr2bl w:val="nil"/>
            </w:tcBorders>
            <w:vAlign w:val="center"/>
          </w:tcPr>
          <w:p w14:paraId="1CD8779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56.51</w:t>
            </w:r>
          </w:p>
        </w:tc>
        <w:tc>
          <w:tcPr>
            <w:tcW w:w="696" w:type="dxa"/>
            <w:tcBorders>
              <w:tl2br w:val="nil"/>
              <w:tr2bl w:val="nil"/>
            </w:tcBorders>
            <w:vAlign w:val="center"/>
          </w:tcPr>
          <w:p w14:paraId="7482333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mm</w:t>
            </w:r>
          </w:p>
        </w:tc>
      </w:tr>
      <w:tr w14:paraId="4CD25AD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693" w:type="dxa"/>
            <w:tcBorders>
              <w:tl2br w:val="nil"/>
              <w:tr2bl w:val="nil"/>
            </w:tcBorders>
            <w:vAlign w:val="center"/>
          </w:tcPr>
          <w:p w14:paraId="3FD50A6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1637" w:type="dxa"/>
            <w:tcBorders>
              <w:tl2br w:val="nil"/>
              <w:tr2bl w:val="nil"/>
            </w:tcBorders>
            <w:vAlign w:val="center"/>
          </w:tcPr>
          <w:p w14:paraId="0EDD0F6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极端最高气温</w:t>
            </w:r>
          </w:p>
        </w:tc>
        <w:tc>
          <w:tcPr>
            <w:tcW w:w="1076" w:type="dxa"/>
            <w:tcBorders>
              <w:tl2br w:val="nil"/>
              <w:tr2bl w:val="nil"/>
            </w:tcBorders>
            <w:vAlign w:val="center"/>
          </w:tcPr>
          <w:p w14:paraId="300CB99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38.7</w:t>
            </w:r>
          </w:p>
        </w:tc>
        <w:tc>
          <w:tcPr>
            <w:tcW w:w="760" w:type="dxa"/>
            <w:tcBorders>
              <w:tl2br w:val="nil"/>
              <w:tr2bl w:val="nil"/>
            </w:tcBorders>
            <w:vAlign w:val="center"/>
          </w:tcPr>
          <w:p w14:paraId="69B0410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79" w:type="dxa"/>
            <w:tcBorders>
              <w:tl2br w:val="nil"/>
              <w:tr2bl w:val="nil"/>
            </w:tcBorders>
            <w:vAlign w:val="center"/>
          </w:tcPr>
          <w:p w14:paraId="623B2F5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1715" w:type="dxa"/>
            <w:tcBorders>
              <w:tl2br w:val="nil"/>
              <w:tr2bl w:val="nil"/>
            </w:tcBorders>
            <w:vAlign w:val="center"/>
          </w:tcPr>
          <w:p w14:paraId="402340A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多年平均水汽压</w:t>
            </w:r>
          </w:p>
        </w:tc>
        <w:tc>
          <w:tcPr>
            <w:tcW w:w="1128" w:type="dxa"/>
            <w:tcBorders>
              <w:tl2br w:val="nil"/>
              <w:tr2bl w:val="nil"/>
            </w:tcBorders>
            <w:vAlign w:val="center"/>
          </w:tcPr>
          <w:p w14:paraId="5CEBAE4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7.27</w:t>
            </w:r>
          </w:p>
        </w:tc>
        <w:tc>
          <w:tcPr>
            <w:tcW w:w="696" w:type="dxa"/>
            <w:tcBorders>
              <w:tl2br w:val="nil"/>
              <w:tr2bl w:val="nil"/>
            </w:tcBorders>
            <w:vAlign w:val="center"/>
          </w:tcPr>
          <w:p w14:paraId="21013A1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hPa</w:t>
            </w:r>
          </w:p>
        </w:tc>
      </w:tr>
      <w:tr w14:paraId="685251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693" w:type="dxa"/>
            <w:tcBorders>
              <w:tl2br w:val="nil"/>
              <w:tr2bl w:val="nil"/>
            </w:tcBorders>
            <w:vAlign w:val="center"/>
          </w:tcPr>
          <w:p w14:paraId="566A1ED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1637" w:type="dxa"/>
            <w:tcBorders>
              <w:tl2br w:val="nil"/>
              <w:tr2bl w:val="nil"/>
            </w:tcBorders>
            <w:vAlign w:val="center"/>
          </w:tcPr>
          <w:p w14:paraId="0965BBC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极端最低气温</w:t>
            </w:r>
          </w:p>
        </w:tc>
        <w:tc>
          <w:tcPr>
            <w:tcW w:w="1076" w:type="dxa"/>
            <w:tcBorders>
              <w:tl2br w:val="nil"/>
              <w:tr2bl w:val="nil"/>
            </w:tcBorders>
            <w:vAlign w:val="center"/>
          </w:tcPr>
          <w:p w14:paraId="0BB0FBB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-36.6</w:t>
            </w:r>
          </w:p>
        </w:tc>
        <w:tc>
          <w:tcPr>
            <w:tcW w:w="760" w:type="dxa"/>
            <w:tcBorders>
              <w:tl2br w:val="nil"/>
              <w:tr2bl w:val="nil"/>
            </w:tcBorders>
            <w:vAlign w:val="center"/>
          </w:tcPr>
          <w:p w14:paraId="501E22C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79" w:type="dxa"/>
            <w:tcBorders>
              <w:tl2br w:val="nil"/>
              <w:tr2bl w:val="nil"/>
            </w:tcBorders>
            <w:vAlign w:val="center"/>
          </w:tcPr>
          <w:p w14:paraId="056DBB2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w:t>
            </w:r>
          </w:p>
        </w:tc>
        <w:tc>
          <w:tcPr>
            <w:tcW w:w="1715" w:type="dxa"/>
            <w:tcBorders>
              <w:tl2br w:val="nil"/>
              <w:tr2bl w:val="nil"/>
            </w:tcBorders>
            <w:vAlign w:val="center"/>
          </w:tcPr>
          <w:p w14:paraId="5AA0224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年最多风向</w:t>
            </w:r>
          </w:p>
        </w:tc>
        <w:tc>
          <w:tcPr>
            <w:tcW w:w="1128" w:type="dxa"/>
            <w:tcBorders>
              <w:tl2br w:val="nil"/>
              <w:tr2bl w:val="nil"/>
            </w:tcBorders>
            <w:vAlign w:val="center"/>
          </w:tcPr>
          <w:p w14:paraId="4650FCD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r>
              <w:rPr>
                <w:rFonts w:hint="eastAsia" w:ascii="Times New Roman" w:hAnsi="Times New Roman" w:eastAsia="宋体" w:cs="Times New Roman"/>
                <w:color w:val="auto"/>
                <w:highlight w:val="none"/>
                <w:lang w:val="en-US" w:eastAsia="zh-CN"/>
              </w:rPr>
              <w:t>W</w:t>
            </w:r>
          </w:p>
        </w:tc>
        <w:tc>
          <w:tcPr>
            <w:tcW w:w="696" w:type="dxa"/>
            <w:tcBorders>
              <w:tl2br w:val="nil"/>
              <w:tr2bl w:val="nil"/>
            </w:tcBorders>
            <w:vAlign w:val="center"/>
          </w:tcPr>
          <w:p w14:paraId="64345EF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r w14:paraId="67E46D6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693" w:type="dxa"/>
            <w:tcBorders>
              <w:tl2br w:val="nil"/>
              <w:tr2bl w:val="nil"/>
            </w:tcBorders>
            <w:vAlign w:val="center"/>
          </w:tcPr>
          <w:p w14:paraId="1A580EE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p>
        </w:tc>
        <w:tc>
          <w:tcPr>
            <w:tcW w:w="1637" w:type="dxa"/>
            <w:tcBorders>
              <w:tl2br w:val="nil"/>
              <w:tr2bl w:val="nil"/>
            </w:tcBorders>
            <w:vAlign w:val="center"/>
          </w:tcPr>
          <w:p w14:paraId="60921F5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年平均相对湿度</w:t>
            </w:r>
          </w:p>
        </w:tc>
        <w:tc>
          <w:tcPr>
            <w:tcW w:w="1076" w:type="dxa"/>
            <w:tcBorders>
              <w:tl2br w:val="nil"/>
              <w:tr2bl w:val="nil"/>
            </w:tcBorders>
            <w:vAlign w:val="center"/>
          </w:tcPr>
          <w:p w14:paraId="2511A9A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65.96</w:t>
            </w:r>
          </w:p>
        </w:tc>
        <w:tc>
          <w:tcPr>
            <w:tcW w:w="760" w:type="dxa"/>
            <w:tcBorders>
              <w:tl2br w:val="nil"/>
              <w:tr2bl w:val="nil"/>
            </w:tcBorders>
            <w:vAlign w:val="center"/>
          </w:tcPr>
          <w:p w14:paraId="3058B73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679" w:type="dxa"/>
            <w:tcBorders>
              <w:tl2br w:val="nil"/>
              <w:tr2bl w:val="nil"/>
            </w:tcBorders>
            <w:vAlign w:val="center"/>
          </w:tcPr>
          <w:p w14:paraId="42A37D8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w:t>
            </w:r>
          </w:p>
        </w:tc>
        <w:tc>
          <w:tcPr>
            <w:tcW w:w="1715" w:type="dxa"/>
            <w:tcBorders>
              <w:tl2br w:val="nil"/>
              <w:tr2bl w:val="nil"/>
            </w:tcBorders>
            <w:vAlign w:val="center"/>
          </w:tcPr>
          <w:p w14:paraId="2F35D3C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年均静风频率</w:t>
            </w:r>
          </w:p>
        </w:tc>
        <w:tc>
          <w:tcPr>
            <w:tcW w:w="1128" w:type="dxa"/>
            <w:tcBorders>
              <w:tl2br w:val="nil"/>
              <w:tr2bl w:val="nil"/>
            </w:tcBorders>
            <w:vAlign w:val="center"/>
          </w:tcPr>
          <w:p w14:paraId="48B2243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8.22</w:t>
            </w:r>
          </w:p>
        </w:tc>
        <w:tc>
          <w:tcPr>
            <w:tcW w:w="696" w:type="dxa"/>
            <w:tcBorders>
              <w:tl2br w:val="nil"/>
              <w:tr2bl w:val="nil"/>
            </w:tcBorders>
            <w:vAlign w:val="center"/>
          </w:tcPr>
          <w:p w14:paraId="5533201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bl>
    <w:p w14:paraId="19E7533A">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根据</w:t>
      </w:r>
      <w:r>
        <w:rPr>
          <w:rFonts w:hint="eastAsia" w:eastAsia="宋体" w:cs="Times New Roman"/>
          <w:color w:val="auto"/>
          <w:kern w:val="2"/>
          <w:sz w:val="24"/>
          <w:szCs w:val="20"/>
          <w:highlight w:val="none"/>
          <w:lang w:val="en-US" w:eastAsia="zh-CN" w:bidi="ar-SA"/>
        </w:rPr>
        <w:t>黑河</w:t>
      </w:r>
      <w:r>
        <w:rPr>
          <w:rFonts w:hint="default" w:ascii="Times New Roman" w:hAnsi="Times New Roman" w:eastAsia="宋体" w:cs="Times New Roman"/>
          <w:color w:val="auto"/>
          <w:kern w:val="2"/>
          <w:sz w:val="24"/>
          <w:szCs w:val="20"/>
          <w:highlight w:val="none"/>
          <w:lang w:val="en-US" w:eastAsia="zh-CN" w:bidi="ar-SA"/>
        </w:rPr>
        <w:t>市近20年（2006~2025年）的风向频率变化情况可以看出，</w:t>
      </w:r>
      <w:r>
        <w:rPr>
          <w:rFonts w:hint="eastAsia" w:eastAsia="宋体" w:cs="Times New Roman"/>
          <w:color w:val="auto"/>
          <w:kern w:val="2"/>
          <w:sz w:val="24"/>
          <w:szCs w:val="20"/>
          <w:highlight w:val="none"/>
          <w:lang w:val="en-US" w:eastAsia="zh-CN" w:bidi="ar-SA"/>
        </w:rPr>
        <w:t>黑河</w:t>
      </w:r>
      <w:r>
        <w:rPr>
          <w:rFonts w:hint="default" w:ascii="Times New Roman" w:hAnsi="Times New Roman" w:eastAsia="宋体" w:cs="Times New Roman"/>
          <w:color w:val="auto"/>
          <w:kern w:val="2"/>
          <w:sz w:val="24"/>
          <w:szCs w:val="20"/>
          <w:highlight w:val="none"/>
          <w:lang w:val="en-US" w:eastAsia="zh-CN" w:bidi="ar-SA"/>
        </w:rPr>
        <w:t>市多年主要风向为</w:t>
      </w:r>
      <w:r>
        <w:rPr>
          <w:rFonts w:hint="eastAsia" w:eastAsia="宋体" w:cs="Times New Roman"/>
          <w:color w:val="auto"/>
          <w:kern w:val="2"/>
          <w:sz w:val="24"/>
          <w:szCs w:val="20"/>
          <w:highlight w:val="none"/>
          <w:lang w:val="en-US" w:eastAsia="zh-CN" w:bidi="ar-SA"/>
        </w:rPr>
        <w:t>西南</w:t>
      </w:r>
      <w:r>
        <w:rPr>
          <w:rFonts w:hint="default" w:ascii="Times New Roman" w:hAnsi="Times New Roman" w:eastAsia="宋体" w:cs="Times New Roman"/>
          <w:color w:val="auto"/>
          <w:kern w:val="2"/>
          <w:sz w:val="24"/>
          <w:szCs w:val="20"/>
          <w:highlight w:val="none"/>
          <w:lang w:val="en-US" w:eastAsia="zh-CN" w:bidi="ar-SA"/>
        </w:rPr>
        <w:t>风。</w:t>
      </w:r>
    </w:p>
    <w:p w14:paraId="6AB894EB">
      <w:pPr>
        <w:rPr>
          <w:rFonts w:hint="eastAsia" w:cs="Times New Roman"/>
          <w:color w:val="auto"/>
          <w:highlight w:val="none"/>
          <w:lang w:val="en-US" w:eastAsia="zh-CN"/>
        </w:rPr>
      </w:pPr>
    </w:p>
    <w:p w14:paraId="1173CAD7">
      <w:pPr>
        <w:rPr>
          <w:rFonts w:hint="default" w:cs="Times New Roman"/>
          <w:color w:val="auto"/>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4A94E7BE">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6</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eastAsia="zh-CN"/>
        </w:rPr>
        <w:t>黑河</w:t>
      </w:r>
      <w:r>
        <w:rPr>
          <w:rFonts w:hint="eastAsia" w:ascii="Times New Roman" w:hAnsi="Times New Roman" w:cs="Times New Roman"/>
          <w:color w:val="auto"/>
          <w:highlight w:val="none"/>
          <w:lang w:val="en-US" w:eastAsia="zh-CN"/>
        </w:rPr>
        <w:t>市</w:t>
      </w:r>
      <w:r>
        <w:rPr>
          <w:rFonts w:hint="default" w:ascii="Times New Roman" w:hAnsi="Times New Roman" w:cs="Times New Roman"/>
          <w:color w:val="auto"/>
          <w:highlight w:val="none"/>
        </w:rPr>
        <w:t>多年（2006~2025 年）风向频率表（%）</w:t>
      </w:r>
    </w:p>
    <w:tbl>
      <w:tblPr>
        <w:tblStyle w:val="486"/>
        <w:tblW w:w="13438" w:type="dxa"/>
        <w:tblInd w:w="1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07"/>
        <w:gridCol w:w="789"/>
        <w:gridCol w:w="741"/>
        <w:gridCol w:w="653"/>
        <w:gridCol w:w="727"/>
        <w:gridCol w:w="637"/>
        <w:gridCol w:w="728"/>
        <w:gridCol w:w="621"/>
        <w:gridCol w:w="712"/>
        <w:gridCol w:w="653"/>
        <w:gridCol w:w="726"/>
        <w:gridCol w:w="771"/>
        <w:gridCol w:w="981"/>
        <w:gridCol w:w="621"/>
        <w:gridCol w:w="1021"/>
        <w:gridCol w:w="726"/>
        <w:gridCol w:w="1002"/>
        <w:gridCol w:w="622"/>
      </w:tblGrid>
      <w:tr w14:paraId="5A1D25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64" w:hRule="atLeast"/>
        </w:trPr>
        <w:tc>
          <w:tcPr>
            <w:tcW w:w="707" w:type="dxa"/>
            <w:tcBorders>
              <w:tl2br w:val="nil"/>
              <w:tr2bl w:val="nil"/>
            </w:tcBorders>
            <w:vAlign w:val="center"/>
          </w:tcPr>
          <w:p w14:paraId="632060C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风向</w:t>
            </w:r>
          </w:p>
        </w:tc>
        <w:tc>
          <w:tcPr>
            <w:tcW w:w="789" w:type="dxa"/>
            <w:tcBorders>
              <w:tl2br w:val="nil"/>
              <w:tr2bl w:val="nil"/>
            </w:tcBorders>
            <w:vAlign w:val="center"/>
          </w:tcPr>
          <w:p w14:paraId="2BE8DDE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w:t>
            </w:r>
          </w:p>
        </w:tc>
        <w:tc>
          <w:tcPr>
            <w:tcW w:w="741" w:type="dxa"/>
            <w:tcBorders>
              <w:tl2br w:val="nil"/>
              <w:tr2bl w:val="nil"/>
            </w:tcBorders>
            <w:vAlign w:val="center"/>
          </w:tcPr>
          <w:p w14:paraId="0DB2D58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NNE</w:t>
            </w:r>
          </w:p>
        </w:tc>
        <w:tc>
          <w:tcPr>
            <w:tcW w:w="653" w:type="dxa"/>
            <w:tcBorders>
              <w:tl2br w:val="nil"/>
              <w:tr2bl w:val="nil"/>
            </w:tcBorders>
            <w:vAlign w:val="center"/>
          </w:tcPr>
          <w:p w14:paraId="4921818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NE</w:t>
            </w:r>
          </w:p>
        </w:tc>
        <w:tc>
          <w:tcPr>
            <w:tcW w:w="727" w:type="dxa"/>
            <w:tcBorders>
              <w:tl2br w:val="nil"/>
              <w:tr2bl w:val="nil"/>
            </w:tcBorders>
            <w:vAlign w:val="center"/>
          </w:tcPr>
          <w:p w14:paraId="6EBA8E5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ENE</w:t>
            </w:r>
          </w:p>
        </w:tc>
        <w:tc>
          <w:tcPr>
            <w:tcW w:w="637" w:type="dxa"/>
            <w:tcBorders>
              <w:tl2br w:val="nil"/>
              <w:tr2bl w:val="nil"/>
            </w:tcBorders>
            <w:vAlign w:val="center"/>
          </w:tcPr>
          <w:p w14:paraId="201B0AB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w:t>
            </w:r>
          </w:p>
        </w:tc>
        <w:tc>
          <w:tcPr>
            <w:tcW w:w="728" w:type="dxa"/>
            <w:tcBorders>
              <w:tl2br w:val="nil"/>
              <w:tr2bl w:val="nil"/>
            </w:tcBorders>
            <w:vAlign w:val="center"/>
          </w:tcPr>
          <w:p w14:paraId="05E9654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ESE</w:t>
            </w:r>
          </w:p>
        </w:tc>
        <w:tc>
          <w:tcPr>
            <w:tcW w:w="621" w:type="dxa"/>
            <w:tcBorders>
              <w:tl2br w:val="nil"/>
              <w:tr2bl w:val="nil"/>
            </w:tcBorders>
            <w:vAlign w:val="center"/>
          </w:tcPr>
          <w:p w14:paraId="568E6C0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SE</w:t>
            </w:r>
          </w:p>
        </w:tc>
        <w:tc>
          <w:tcPr>
            <w:tcW w:w="712" w:type="dxa"/>
            <w:tcBorders>
              <w:tl2br w:val="nil"/>
              <w:tr2bl w:val="nil"/>
            </w:tcBorders>
            <w:vAlign w:val="center"/>
          </w:tcPr>
          <w:p w14:paraId="1D16751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SSE</w:t>
            </w:r>
          </w:p>
        </w:tc>
        <w:tc>
          <w:tcPr>
            <w:tcW w:w="653" w:type="dxa"/>
            <w:tcBorders>
              <w:tl2br w:val="nil"/>
              <w:tr2bl w:val="nil"/>
            </w:tcBorders>
            <w:vAlign w:val="center"/>
          </w:tcPr>
          <w:p w14:paraId="15D717C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p>
        </w:tc>
        <w:tc>
          <w:tcPr>
            <w:tcW w:w="726" w:type="dxa"/>
            <w:tcBorders>
              <w:tl2br w:val="nil"/>
              <w:tr2bl w:val="nil"/>
            </w:tcBorders>
            <w:vAlign w:val="center"/>
          </w:tcPr>
          <w:p w14:paraId="48606FB8">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SSW</w:t>
            </w:r>
          </w:p>
        </w:tc>
        <w:tc>
          <w:tcPr>
            <w:tcW w:w="771" w:type="dxa"/>
            <w:tcBorders>
              <w:tl2br w:val="nil"/>
              <w:tr2bl w:val="nil"/>
            </w:tcBorders>
            <w:vAlign w:val="center"/>
          </w:tcPr>
          <w:p w14:paraId="02E3589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w:t>
            </w:r>
          </w:p>
        </w:tc>
        <w:tc>
          <w:tcPr>
            <w:tcW w:w="981" w:type="dxa"/>
            <w:tcBorders>
              <w:tl2br w:val="nil"/>
              <w:tr2bl w:val="nil"/>
            </w:tcBorders>
            <w:vAlign w:val="center"/>
          </w:tcPr>
          <w:p w14:paraId="6139D8F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WSW</w:t>
            </w:r>
          </w:p>
        </w:tc>
        <w:tc>
          <w:tcPr>
            <w:tcW w:w="621" w:type="dxa"/>
            <w:tcBorders>
              <w:tl2br w:val="nil"/>
              <w:tr2bl w:val="nil"/>
            </w:tcBorders>
            <w:vAlign w:val="center"/>
          </w:tcPr>
          <w:p w14:paraId="2C3FA1A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w:t>
            </w:r>
          </w:p>
        </w:tc>
        <w:tc>
          <w:tcPr>
            <w:tcW w:w="1021" w:type="dxa"/>
            <w:tcBorders>
              <w:tl2br w:val="nil"/>
              <w:tr2bl w:val="nil"/>
            </w:tcBorders>
            <w:vAlign w:val="center"/>
          </w:tcPr>
          <w:p w14:paraId="51E0F784">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WNW</w:t>
            </w:r>
          </w:p>
        </w:tc>
        <w:tc>
          <w:tcPr>
            <w:tcW w:w="726" w:type="dxa"/>
            <w:tcBorders>
              <w:tl2br w:val="nil"/>
              <w:tr2bl w:val="nil"/>
            </w:tcBorders>
            <w:vAlign w:val="center"/>
          </w:tcPr>
          <w:p w14:paraId="2AF3305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NW</w:t>
            </w:r>
          </w:p>
        </w:tc>
        <w:tc>
          <w:tcPr>
            <w:tcW w:w="1002" w:type="dxa"/>
            <w:tcBorders>
              <w:tl2br w:val="nil"/>
              <w:tr2bl w:val="nil"/>
            </w:tcBorders>
            <w:vAlign w:val="center"/>
          </w:tcPr>
          <w:p w14:paraId="3036211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NNW</w:t>
            </w:r>
          </w:p>
        </w:tc>
        <w:tc>
          <w:tcPr>
            <w:tcW w:w="622" w:type="dxa"/>
            <w:tcBorders>
              <w:tl2br w:val="nil"/>
              <w:tr2bl w:val="nil"/>
            </w:tcBorders>
            <w:vAlign w:val="center"/>
          </w:tcPr>
          <w:p w14:paraId="4A590CA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w:t>
            </w:r>
          </w:p>
        </w:tc>
      </w:tr>
      <w:tr w14:paraId="3F97388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707" w:type="dxa"/>
            <w:tcBorders>
              <w:tl2br w:val="nil"/>
              <w:tr2bl w:val="nil"/>
            </w:tcBorders>
            <w:vAlign w:val="center"/>
          </w:tcPr>
          <w:p w14:paraId="2190748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频率</w:t>
            </w:r>
          </w:p>
        </w:tc>
        <w:tc>
          <w:tcPr>
            <w:tcW w:w="789" w:type="dxa"/>
            <w:tcBorders>
              <w:tl2br w:val="nil"/>
              <w:tr2bl w:val="nil"/>
            </w:tcBorders>
            <w:vAlign w:val="center"/>
          </w:tcPr>
          <w:p w14:paraId="3EDDA3E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3.95</w:t>
            </w:r>
          </w:p>
        </w:tc>
        <w:tc>
          <w:tcPr>
            <w:tcW w:w="741" w:type="dxa"/>
            <w:tcBorders>
              <w:tl2br w:val="nil"/>
              <w:tr2bl w:val="nil"/>
            </w:tcBorders>
            <w:vAlign w:val="center"/>
          </w:tcPr>
          <w:p w14:paraId="309DED9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4.21</w:t>
            </w:r>
          </w:p>
        </w:tc>
        <w:tc>
          <w:tcPr>
            <w:tcW w:w="653" w:type="dxa"/>
            <w:tcBorders>
              <w:tl2br w:val="nil"/>
              <w:tr2bl w:val="nil"/>
            </w:tcBorders>
            <w:vAlign w:val="center"/>
          </w:tcPr>
          <w:p w14:paraId="52699F8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5.01</w:t>
            </w:r>
          </w:p>
        </w:tc>
        <w:tc>
          <w:tcPr>
            <w:tcW w:w="727" w:type="dxa"/>
            <w:tcBorders>
              <w:tl2br w:val="nil"/>
              <w:tr2bl w:val="nil"/>
            </w:tcBorders>
            <w:vAlign w:val="center"/>
          </w:tcPr>
          <w:p w14:paraId="7CFFC29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5.35</w:t>
            </w:r>
          </w:p>
        </w:tc>
        <w:tc>
          <w:tcPr>
            <w:tcW w:w="637" w:type="dxa"/>
            <w:tcBorders>
              <w:tl2br w:val="nil"/>
              <w:tr2bl w:val="nil"/>
            </w:tcBorders>
            <w:vAlign w:val="center"/>
          </w:tcPr>
          <w:p w14:paraId="584143C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3.81</w:t>
            </w:r>
          </w:p>
        </w:tc>
        <w:tc>
          <w:tcPr>
            <w:tcW w:w="728" w:type="dxa"/>
            <w:tcBorders>
              <w:tl2br w:val="nil"/>
              <w:tr2bl w:val="nil"/>
            </w:tcBorders>
            <w:vAlign w:val="center"/>
          </w:tcPr>
          <w:p w14:paraId="6DE99B2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1.99</w:t>
            </w:r>
          </w:p>
        </w:tc>
        <w:tc>
          <w:tcPr>
            <w:tcW w:w="621" w:type="dxa"/>
            <w:tcBorders>
              <w:tl2br w:val="nil"/>
              <w:tr2bl w:val="nil"/>
            </w:tcBorders>
            <w:vAlign w:val="center"/>
          </w:tcPr>
          <w:p w14:paraId="1435D5E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1.47</w:t>
            </w:r>
          </w:p>
        </w:tc>
        <w:tc>
          <w:tcPr>
            <w:tcW w:w="712" w:type="dxa"/>
            <w:tcBorders>
              <w:tl2br w:val="nil"/>
              <w:tr2bl w:val="nil"/>
            </w:tcBorders>
            <w:vAlign w:val="center"/>
          </w:tcPr>
          <w:p w14:paraId="51FF2A9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1.56</w:t>
            </w:r>
          </w:p>
        </w:tc>
        <w:tc>
          <w:tcPr>
            <w:tcW w:w="653" w:type="dxa"/>
            <w:tcBorders>
              <w:tl2br w:val="nil"/>
              <w:tr2bl w:val="nil"/>
            </w:tcBorders>
            <w:vAlign w:val="center"/>
          </w:tcPr>
          <w:p w14:paraId="28A6CF5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3.26</w:t>
            </w:r>
          </w:p>
        </w:tc>
        <w:tc>
          <w:tcPr>
            <w:tcW w:w="726" w:type="dxa"/>
            <w:tcBorders>
              <w:tl2br w:val="nil"/>
              <w:tr2bl w:val="nil"/>
            </w:tcBorders>
            <w:vAlign w:val="center"/>
          </w:tcPr>
          <w:p w14:paraId="76ADDEB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9.09</w:t>
            </w:r>
          </w:p>
        </w:tc>
        <w:tc>
          <w:tcPr>
            <w:tcW w:w="771" w:type="dxa"/>
            <w:tcBorders>
              <w:tl2br w:val="nil"/>
              <w:tr2bl w:val="nil"/>
            </w:tcBorders>
            <w:vAlign w:val="center"/>
          </w:tcPr>
          <w:p w14:paraId="0B3C299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17.68</w:t>
            </w:r>
          </w:p>
        </w:tc>
        <w:tc>
          <w:tcPr>
            <w:tcW w:w="981" w:type="dxa"/>
            <w:tcBorders>
              <w:tl2br w:val="nil"/>
              <w:tr2bl w:val="nil"/>
            </w:tcBorders>
            <w:vAlign w:val="center"/>
          </w:tcPr>
          <w:p w14:paraId="1D651CF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14.53</w:t>
            </w:r>
          </w:p>
        </w:tc>
        <w:tc>
          <w:tcPr>
            <w:tcW w:w="621" w:type="dxa"/>
            <w:tcBorders>
              <w:tl2br w:val="nil"/>
              <w:tr2bl w:val="nil"/>
            </w:tcBorders>
            <w:vAlign w:val="center"/>
          </w:tcPr>
          <w:p w14:paraId="0B82657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8.05</w:t>
            </w:r>
          </w:p>
        </w:tc>
        <w:tc>
          <w:tcPr>
            <w:tcW w:w="1021" w:type="dxa"/>
            <w:tcBorders>
              <w:tl2br w:val="nil"/>
              <w:tr2bl w:val="nil"/>
            </w:tcBorders>
            <w:vAlign w:val="center"/>
          </w:tcPr>
          <w:p w14:paraId="08407BB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5.11</w:t>
            </w:r>
          </w:p>
        </w:tc>
        <w:tc>
          <w:tcPr>
            <w:tcW w:w="726" w:type="dxa"/>
            <w:tcBorders>
              <w:tl2br w:val="nil"/>
              <w:tr2bl w:val="nil"/>
            </w:tcBorders>
            <w:vAlign w:val="center"/>
          </w:tcPr>
          <w:p w14:paraId="7CA1FDF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3.72</w:t>
            </w:r>
          </w:p>
        </w:tc>
        <w:tc>
          <w:tcPr>
            <w:tcW w:w="1002" w:type="dxa"/>
            <w:tcBorders>
              <w:tl2br w:val="nil"/>
              <w:tr2bl w:val="nil"/>
            </w:tcBorders>
            <w:vAlign w:val="center"/>
          </w:tcPr>
          <w:p w14:paraId="2CAD1A9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3.21</w:t>
            </w:r>
          </w:p>
        </w:tc>
        <w:tc>
          <w:tcPr>
            <w:tcW w:w="622" w:type="dxa"/>
            <w:tcBorders>
              <w:tl2br w:val="nil"/>
              <w:tr2bl w:val="nil"/>
            </w:tcBorders>
            <w:vAlign w:val="center"/>
          </w:tcPr>
          <w:p w14:paraId="0326FDF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8.22</w:t>
            </w:r>
          </w:p>
        </w:tc>
      </w:tr>
    </w:tbl>
    <w:p w14:paraId="14E5D512">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7</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eastAsia="zh-CN"/>
        </w:rPr>
        <w:t>黑河</w:t>
      </w:r>
      <w:r>
        <w:rPr>
          <w:rFonts w:hint="default" w:ascii="Times New Roman" w:hAnsi="Times New Roman" w:cs="Times New Roman"/>
          <w:color w:val="auto"/>
          <w:highlight w:val="none"/>
        </w:rPr>
        <w:t>市（2006-2025年）各月风向频率表（%）</w:t>
      </w:r>
    </w:p>
    <w:tbl>
      <w:tblPr>
        <w:tblStyle w:val="486"/>
        <w:tblW w:w="13309" w:type="dxa"/>
        <w:tblInd w:w="77"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68"/>
        <w:gridCol w:w="516"/>
        <w:gridCol w:w="778"/>
        <w:gridCol w:w="677"/>
        <w:gridCol w:w="755"/>
        <w:gridCol w:w="567"/>
        <w:gridCol w:w="851"/>
        <w:gridCol w:w="723"/>
        <w:gridCol w:w="901"/>
        <w:gridCol w:w="608"/>
        <w:gridCol w:w="967"/>
        <w:gridCol w:w="786"/>
        <w:gridCol w:w="935"/>
        <w:gridCol w:w="534"/>
        <w:gridCol w:w="890"/>
        <w:gridCol w:w="661"/>
        <w:gridCol w:w="812"/>
        <w:gridCol w:w="480"/>
      </w:tblGrid>
      <w:tr w14:paraId="682F4BD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5" w:hRule="atLeast"/>
        </w:trPr>
        <w:tc>
          <w:tcPr>
            <w:tcW w:w="868" w:type="dxa"/>
            <w:tcBorders>
              <w:tl2br w:val="nil"/>
              <w:tr2bl w:val="nil"/>
            </w:tcBorders>
            <w:vAlign w:val="center"/>
          </w:tcPr>
          <w:p w14:paraId="351B6AC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月份</w:t>
            </w:r>
          </w:p>
        </w:tc>
        <w:tc>
          <w:tcPr>
            <w:tcW w:w="516" w:type="dxa"/>
            <w:tcBorders>
              <w:tl2br w:val="nil"/>
              <w:tr2bl w:val="nil"/>
            </w:tcBorders>
            <w:vAlign w:val="center"/>
          </w:tcPr>
          <w:p w14:paraId="2BD502B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w:t>
            </w:r>
          </w:p>
        </w:tc>
        <w:tc>
          <w:tcPr>
            <w:tcW w:w="778" w:type="dxa"/>
            <w:tcBorders>
              <w:tl2br w:val="nil"/>
              <w:tr2bl w:val="nil"/>
            </w:tcBorders>
            <w:vAlign w:val="center"/>
          </w:tcPr>
          <w:p w14:paraId="3E77596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NNE</w:t>
            </w:r>
          </w:p>
        </w:tc>
        <w:tc>
          <w:tcPr>
            <w:tcW w:w="677" w:type="dxa"/>
            <w:tcBorders>
              <w:tl2br w:val="nil"/>
              <w:tr2bl w:val="nil"/>
            </w:tcBorders>
            <w:vAlign w:val="center"/>
          </w:tcPr>
          <w:p w14:paraId="7DA1098F">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NE</w:t>
            </w:r>
          </w:p>
        </w:tc>
        <w:tc>
          <w:tcPr>
            <w:tcW w:w="755" w:type="dxa"/>
            <w:tcBorders>
              <w:tl2br w:val="nil"/>
              <w:tr2bl w:val="nil"/>
            </w:tcBorders>
            <w:vAlign w:val="center"/>
          </w:tcPr>
          <w:p w14:paraId="078907D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ENE</w:t>
            </w:r>
          </w:p>
        </w:tc>
        <w:tc>
          <w:tcPr>
            <w:tcW w:w="567" w:type="dxa"/>
            <w:tcBorders>
              <w:tl2br w:val="nil"/>
              <w:tr2bl w:val="nil"/>
            </w:tcBorders>
            <w:vAlign w:val="center"/>
          </w:tcPr>
          <w:p w14:paraId="42DF236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w:t>
            </w:r>
          </w:p>
        </w:tc>
        <w:tc>
          <w:tcPr>
            <w:tcW w:w="851" w:type="dxa"/>
            <w:tcBorders>
              <w:tl2br w:val="nil"/>
              <w:tr2bl w:val="nil"/>
            </w:tcBorders>
            <w:vAlign w:val="center"/>
          </w:tcPr>
          <w:p w14:paraId="111FC28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ESE</w:t>
            </w:r>
          </w:p>
        </w:tc>
        <w:tc>
          <w:tcPr>
            <w:tcW w:w="723" w:type="dxa"/>
            <w:tcBorders>
              <w:tl2br w:val="nil"/>
              <w:tr2bl w:val="nil"/>
            </w:tcBorders>
            <w:vAlign w:val="center"/>
          </w:tcPr>
          <w:p w14:paraId="1F3837C9">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SE</w:t>
            </w:r>
          </w:p>
        </w:tc>
        <w:tc>
          <w:tcPr>
            <w:tcW w:w="901" w:type="dxa"/>
            <w:tcBorders>
              <w:tl2br w:val="nil"/>
              <w:tr2bl w:val="nil"/>
            </w:tcBorders>
            <w:vAlign w:val="center"/>
          </w:tcPr>
          <w:p w14:paraId="6EB6B1F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SSE</w:t>
            </w:r>
          </w:p>
        </w:tc>
        <w:tc>
          <w:tcPr>
            <w:tcW w:w="608" w:type="dxa"/>
            <w:tcBorders>
              <w:tl2br w:val="nil"/>
              <w:tr2bl w:val="nil"/>
            </w:tcBorders>
            <w:vAlign w:val="center"/>
          </w:tcPr>
          <w:p w14:paraId="0B70936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t>
            </w:r>
          </w:p>
        </w:tc>
        <w:tc>
          <w:tcPr>
            <w:tcW w:w="967" w:type="dxa"/>
            <w:tcBorders>
              <w:tl2br w:val="nil"/>
              <w:tr2bl w:val="nil"/>
            </w:tcBorders>
            <w:vAlign w:val="center"/>
          </w:tcPr>
          <w:p w14:paraId="627A23FD">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SSW</w:t>
            </w:r>
          </w:p>
        </w:tc>
        <w:tc>
          <w:tcPr>
            <w:tcW w:w="786" w:type="dxa"/>
            <w:tcBorders>
              <w:tl2br w:val="nil"/>
              <w:tr2bl w:val="nil"/>
            </w:tcBorders>
            <w:vAlign w:val="center"/>
          </w:tcPr>
          <w:p w14:paraId="759FF4F1">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SW</w:t>
            </w:r>
          </w:p>
        </w:tc>
        <w:tc>
          <w:tcPr>
            <w:tcW w:w="935" w:type="dxa"/>
            <w:tcBorders>
              <w:tl2br w:val="nil"/>
              <w:tr2bl w:val="nil"/>
            </w:tcBorders>
            <w:vAlign w:val="center"/>
          </w:tcPr>
          <w:p w14:paraId="6584FEF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WSW</w:t>
            </w:r>
          </w:p>
        </w:tc>
        <w:tc>
          <w:tcPr>
            <w:tcW w:w="534" w:type="dxa"/>
            <w:tcBorders>
              <w:tl2br w:val="nil"/>
              <w:tr2bl w:val="nil"/>
            </w:tcBorders>
            <w:vAlign w:val="center"/>
          </w:tcPr>
          <w:p w14:paraId="3B51864C">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w:t>
            </w:r>
          </w:p>
        </w:tc>
        <w:tc>
          <w:tcPr>
            <w:tcW w:w="890" w:type="dxa"/>
            <w:tcBorders>
              <w:tl2br w:val="nil"/>
              <w:tr2bl w:val="nil"/>
            </w:tcBorders>
            <w:vAlign w:val="center"/>
          </w:tcPr>
          <w:p w14:paraId="668FE36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WNW</w:t>
            </w:r>
          </w:p>
        </w:tc>
        <w:tc>
          <w:tcPr>
            <w:tcW w:w="661" w:type="dxa"/>
            <w:tcBorders>
              <w:tl2br w:val="nil"/>
              <w:tr2bl w:val="nil"/>
            </w:tcBorders>
            <w:vAlign w:val="center"/>
          </w:tcPr>
          <w:p w14:paraId="6056D62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NW</w:t>
            </w:r>
          </w:p>
        </w:tc>
        <w:tc>
          <w:tcPr>
            <w:tcW w:w="812" w:type="dxa"/>
            <w:tcBorders>
              <w:tl2br w:val="nil"/>
              <w:tr2bl w:val="nil"/>
            </w:tcBorders>
            <w:vAlign w:val="center"/>
          </w:tcPr>
          <w:p w14:paraId="427FF5D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NNW</w:t>
            </w:r>
          </w:p>
        </w:tc>
        <w:tc>
          <w:tcPr>
            <w:tcW w:w="480" w:type="dxa"/>
            <w:tcBorders>
              <w:tl2br w:val="nil"/>
              <w:tr2bl w:val="nil"/>
            </w:tcBorders>
            <w:vAlign w:val="center"/>
          </w:tcPr>
          <w:p w14:paraId="4294BCE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w:t>
            </w:r>
          </w:p>
        </w:tc>
      </w:tr>
      <w:tr w14:paraId="6AA1C0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68" w:type="dxa"/>
            <w:tcBorders>
              <w:tl2br w:val="nil"/>
              <w:tr2bl w:val="nil"/>
            </w:tcBorders>
            <w:vAlign w:val="center"/>
          </w:tcPr>
          <w:p w14:paraId="561E5F22">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516" w:type="dxa"/>
            <w:tcBorders>
              <w:tl2br w:val="nil"/>
              <w:tr2bl w:val="nil"/>
            </w:tcBorders>
            <w:vAlign w:val="center"/>
          </w:tcPr>
          <w:p w14:paraId="027FBBB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2.14</w:t>
            </w:r>
          </w:p>
        </w:tc>
        <w:tc>
          <w:tcPr>
            <w:tcW w:w="778" w:type="dxa"/>
            <w:tcBorders>
              <w:tl2br w:val="nil"/>
              <w:tr2bl w:val="nil"/>
            </w:tcBorders>
            <w:vAlign w:val="center"/>
          </w:tcPr>
          <w:p w14:paraId="628758B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w:t>
            </w:r>
          </w:p>
        </w:tc>
        <w:tc>
          <w:tcPr>
            <w:tcW w:w="677" w:type="dxa"/>
            <w:tcBorders>
              <w:tl2br w:val="nil"/>
              <w:tr2bl w:val="nil"/>
            </w:tcBorders>
            <w:vAlign w:val="center"/>
          </w:tcPr>
          <w:p w14:paraId="1D5F5AA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2.68</w:t>
            </w:r>
          </w:p>
        </w:tc>
        <w:tc>
          <w:tcPr>
            <w:tcW w:w="755" w:type="dxa"/>
            <w:tcBorders>
              <w:tl2br w:val="nil"/>
              <w:tr2bl w:val="nil"/>
            </w:tcBorders>
            <w:vAlign w:val="center"/>
          </w:tcPr>
          <w:p w14:paraId="2AE8F73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4.13</w:t>
            </w:r>
          </w:p>
        </w:tc>
        <w:tc>
          <w:tcPr>
            <w:tcW w:w="567" w:type="dxa"/>
            <w:tcBorders>
              <w:tl2br w:val="nil"/>
              <w:tr2bl w:val="nil"/>
            </w:tcBorders>
            <w:vAlign w:val="center"/>
          </w:tcPr>
          <w:p w14:paraId="0B7C631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2.63</w:t>
            </w:r>
          </w:p>
        </w:tc>
        <w:tc>
          <w:tcPr>
            <w:tcW w:w="851" w:type="dxa"/>
            <w:tcBorders>
              <w:tl2br w:val="nil"/>
              <w:tr2bl w:val="nil"/>
            </w:tcBorders>
            <w:vAlign w:val="center"/>
          </w:tcPr>
          <w:p w14:paraId="34B1AD6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1.66</w:t>
            </w:r>
          </w:p>
        </w:tc>
        <w:tc>
          <w:tcPr>
            <w:tcW w:w="723" w:type="dxa"/>
            <w:tcBorders>
              <w:tl2br w:val="nil"/>
              <w:tr2bl w:val="nil"/>
            </w:tcBorders>
            <w:vAlign w:val="center"/>
          </w:tcPr>
          <w:p w14:paraId="6F572D9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0.87</w:t>
            </w:r>
          </w:p>
        </w:tc>
        <w:tc>
          <w:tcPr>
            <w:tcW w:w="901" w:type="dxa"/>
            <w:tcBorders>
              <w:tl2br w:val="nil"/>
              <w:tr2bl w:val="nil"/>
            </w:tcBorders>
            <w:vAlign w:val="center"/>
          </w:tcPr>
          <w:p w14:paraId="547B6F8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0.88</w:t>
            </w:r>
          </w:p>
        </w:tc>
        <w:tc>
          <w:tcPr>
            <w:tcW w:w="608" w:type="dxa"/>
            <w:tcBorders>
              <w:tl2br w:val="nil"/>
              <w:tr2bl w:val="nil"/>
            </w:tcBorders>
            <w:vAlign w:val="center"/>
          </w:tcPr>
          <w:p w14:paraId="3BA076F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1.97</w:t>
            </w:r>
          </w:p>
        </w:tc>
        <w:tc>
          <w:tcPr>
            <w:tcW w:w="967" w:type="dxa"/>
            <w:tcBorders>
              <w:tl2br w:val="nil"/>
              <w:tr2bl w:val="nil"/>
            </w:tcBorders>
            <w:vAlign w:val="center"/>
          </w:tcPr>
          <w:p w14:paraId="3A293CE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6.99</w:t>
            </w:r>
          </w:p>
        </w:tc>
        <w:tc>
          <w:tcPr>
            <w:tcW w:w="786" w:type="dxa"/>
            <w:tcBorders>
              <w:tl2br w:val="nil"/>
              <w:tr2bl w:val="nil"/>
            </w:tcBorders>
            <w:vAlign w:val="center"/>
          </w:tcPr>
          <w:p w14:paraId="4207024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22.32</w:t>
            </w:r>
          </w:p>
        </w:tc>
        <w:tc>
          <w:tcPr>
            <w:tcW w:w="935" w:type="dxa"/>
            <w:tcBorders>
              <w:tl2br w:val="nil"/>
              <w:tr2bl w:val="nil"/>
            </w:tcBorders>
            <w:vAlign w:val="center"/>
          </w:tcPr>
          <w:p w14:paraId="0D952A7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20.75</w:t>
            </w:r>
          </w:p>
        </w:tc>
        <w:tc>
          <w:tcPr>
            <w:tcW w:w="534" w:type="dxa"/>
            <w:tcBorders>
              <w:tl2br w:val="nil"/>
              <w:tr2bl w:val="nil"/>
            </w:tcBorders>
            <w:vAlign w:val="center"/>
          </w:tcPr>
          <w:p w14:paraId="443B239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10.89</w:t>
            </w:r>
          </w:p>
        </w:tc>
        <w:tc>
          <w:tcPr>
            <w:tcW w:w="890" w:type="dxa"/>
            <w:tcBorders>
              <w:tl2br w:val="nil"/>
              <w:tr2bl w:val="nil"/>
            </w:tcBorders>
            <w:vAlign w:val="center"/>
          </w:tcPr>
          <w:p w14:paraId="536A430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3.66</w:t>
            </w:r>
          </w:p>
        </w:tc>
        <w:tc>
          <w:tcPr>
            <w:tcW w:w="661" w:type="dxa"/>
            <w:tcBorders>
              <w:tl2br w:val="nil"/>
              <w:tr2bl w:val="nil"/>
            </w:tcBorders>
            <w:vAlign w:val="center"/>
          </w:tcPr>
          <w:p w14:paraId="6F3B859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2.14</w:t>
            </w:r>
          </w:p>
        </w:tc>
        <w:tc>
          <w:tcPr>
            <w:tcW w:w="812" w:type="dxa"/>
            <w:tcBorders>
              <w:tl2br w:val="nil"/>
              <w:tr2bl w:val="nil"/>
            </w:tcBorders>
            <w:vAlign w:val="center"/>
          </w:tcPr>
          <w:p w14:paraId="3191B96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2.22</w:t>
            </w:r>
          </w:p>
        </w:tc>
        <w:tc>
          <w:tcPr>
            <w:tcW w:w="480" w:type="dxa"/>
            <w:tcBorders>
              <w:tl2br w:val="nil"/>
              <w:tr2bl w:val="nil"/>
            </w:tcBorders>
            <w:vAlign w:val="center"/>
          </w:tcPr>
          <w:p w14:paraId="28C13AF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r>
      <w:tr w14:paraId="41EE496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2AB9EE20">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516" w:type="dxa"/>
            <w:tcBorders>
              <w:tl2br w:val="nil"/>
              <w:tr2bl w:val="nil"/>
            </w:tcBorders>
            <w:vAlign w:val="center"/>
          </w:tcPr>
          <w:p w14:paraId="3EE8524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2.87</w:t>
            </w:r>
          </w:p>
        </w:tc>
        <w:tc>
          <w:tcPr>
            <w:tcW w:w="778" w:type="dxa"/>
            <w:tcBorders>
              <w:tl2br w:val="nil"/>
              <w:tr2bl w:val="nil"/>
            </w:tcBorders>
            <w:vAlign w:val="center"/>
          </w:tcPr>
          <w:p w14:paraId="403F21F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2.55</w:t>
            </w:r>
          </w:p>
        </w:tc>
        <w:tc>
          <w:tcPr>
            <w:tcW w:w="677" w:type="dxa"/>
            <w:tcBorders>
              <w:tl2br w:val="nil"/>
              <w:tr2bl w:val="nil"/>
            </w:tcBorders>
            <w:vAlign w:val="center"/>
          </w:tcPr>
          <w:p w14:paraId="7D38A17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3.01</w:t>
            </w:r>
          </w:p>
        </w:tc>
        <w:tc>
          <w:tcPr>
            <w:tcW w:w="755" w:type="dxa"/>
            <w:tcBorders>
              <w:tl2br w:val="nil"/>
              <w:tr2bl w:val="nil"/>
            </w:tcBorders>
            <w:vAlign w:val="center"/>
          </w:tcPr>
          <w:p w14:paraId="78BAD74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4.26</w:t>
            </w:r>
          </w:p>
        </w:tc>
        <w:tc>
          <w:tcPr>
            <w:tcW w:w="567" w:type="dxa"/>
            <w:tcBorders>
              <w:tl2br w:val="nil"/>
              <w:tr2bl w:val="nil"/>
            </w:tcBorders>
            <w:vAlign w:val="center"/>
          </w:tcPr>
          <w:p w14:paraId="1EA49CE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3.44</w:t>
            </w:r>
          </w:p>
        </w:tc>
        <w:tc>
          <w:tcPr>
            <w:tcW w:w="851" w:type="dxa"/>
            <w:tcBorders>
              <w:tl2br w:val="nil"/>
              <w:tr2bl w:val="nil"/>
            </w:tcBorders>
            <w:vAlign w:val="center"/>
          </w:tcPr>
          <w:p w14:paraId="66A2ED8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1.61</w:t>
            </w:r>
          </w:p>
        </w:tc>
        <w:tc>
          <w:tcPr>
            <w:tcW w:w="723" w:type="dxa"/>
            <w:tcBorders>
              <w:tl2br w:val="nil"/>
              <w:tr2bl w:val="nil"/>
            </w:tcBorders>
            <w:vAlign w:val="center"/>
          </w:tcPr>
          <w:p w14:paraId="73B7AFF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1.04</w:t>
            </w:r>
          </w:p>
        </w:tc>
        <w:tc>
          <w:tcPr>
            <w:tcW w:w="901" w:type="dxa"/>
            <w:tcBorders>
              <w:tl2br w:val="nil"/>
              <w:tr2bl w:val="nil"/>
            </w:tcBorders>
            <w:vAlign w:val="center"/>
          </w:tcPr>
          <w:p w14:paraId="4C0F110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1.06</w:t>
            </w:r>
          </w:p>
        </w:tc>
        <w:tc>
          <w:tcPr>
            <w:tcW w:w="608" w:type="dxa"/>
            <w:tcBorders>
              <w:tl2br w:val="nil"/>
              <w:tr2bl w:val="nil"/>
            </w:tcBorders>
            <w:vAlign w:val="center"/>
          </w:tcPr>
          <w:p w14:paraId="235B606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1.93</w:t>
            </w:r>
          </w:p>
        </w:tc>
        <w:tc>
          <w:tcPr>
            <w:tcW w:w="967" w:type="dxa"/>
            <w:tcBorders>
              <w:tl2br w:val="nil"/>
              <w:tr2bl w:val="nil"/>
            </w:tcBorders>
            <w:vAlign w:val="center"/>
          </w:tcPr>
          <w:p w14:paraId="5DE47BD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7.66</w:t>
            </w:r>
          </w:p>
        </w:tc>
        <w:tc>
          <w:tcPr>
            <w:tcW w:w="786" w:type="dxa"/>
            <w:tcBorders>
              <w:tl2br w:val="nil"/>
              <w:tr2bl w:val="nil"/>
            </w:tcBorders>
            <w:vAlign w:val="center"/>
          </w:tcPr>
          <w:p w14:paraId="0A700E2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20.72</w:t>
            </w:r>
          </w:p>
        </w:tc>
        <w:tc>
          <w:tcPr>
            <w:tcW w:w="935" w:type="dxa"/>
            <w:tcBorders>
              <w:tl2br w:val="nil"/>
              <w:tr2bl w:val="nil"/>
            </w:tcBorders>
            <w:vAlign w:val="center"/>
          </w:tcPr>
          <w:p w14:paraId="7DD242B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19.86</w:t>
            </w:r>
          </w:p>
        </w:tc>
        <w:tc>
          <w:tcPr>
            <w:tcW w:w="534" w:type="dxa"/>
            <w:tcBorders>
              <w:tl2br w:val="nil"/>
              <w:tr2bl w:val="nil"/>
            </w:tcBorders>
            <w:vAlign w:val="center"/>
          </w:tcPr>
          <w:p w14:paraId="140FC4F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10.25</w:t>
            </w:r>
          </w:p>
        </w:tc>
        <w:tc>
          <w:tcPr>
            <w:tcW w:w="890" w:type="dxa"/>
            <w:tcBorders>
              <w:tl2br w:val="nil"/>
              <w:tr2bl w:val="nil"/>
            </w:tcBorders>
            <w:vAlign w:val="center"/>
          </w:tcPr>
          <w:p w14:paraId="75483A4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5.05</w:t>
            </w:r>
          </w:p>
        </w:tc>
        <w:tc>
          <w:tcPr>
            <w:tcW w:w="661" w:type="dxa"/>
            <w:tcBorders>
              <w:tl2br w:val="nil"/>
              <w:tr2bl w:val="nil"/>
            </w:tcBorders>
            <w:vAlign w:val="center"/>
          </w:tcPr>
          <w:p w14:paraId="3FBCAFD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3.35</w:t>
            </w:r>
          </w:p>
        </w:tc>
        <w:tc>
          <w:tcPr>
            <w:tcW w:w="812" w:type="dxa"/>
            <w:tcBorders>
              <w:tl2br w:val="nil"/>
              <w:tr2bl w:val="nil"/>
            </w:tcBorders>
            <w:vAlign w:val="center"/>
          </w:tcPr>
          <w:p w14:paraId="7799A1F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3.22</w:t>
            </w:r>
          </w:p>
        </w:tc>
        <w:tc>
          <w:tcPr>
            <w:tcW w:w="480" w:type="dxa"/>
            <w:tcBorders>
              <w:tl2br w:val="nil"/>
              <w:tr2bl w:val="nil"/>
            </w:tcBorders>
            <w:vAlign w:val="center"/>
          </w:tcPr>
          <w:p w14:paraId="6B2F480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8.25</w:t>
            </w:r>
          </w:p>
        </w:tc>
      </w:tr>
      <w:tr w14:paraId="167420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68" w:type="dxa"/>
            <w:tcBorders>
              <w:tl2br w:val="nil"/>
              <w:tr2bl w:val="nil"/>
            </w:tcBorders>
            <w:vAlign w:val="center"/>
          </w:tcPr>
          <w:p w14:paraId="01B40FEE">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516" w:type="dxa"/>
            <w:tcBorders>
              <w:tl2br w:val="nil"/>
              <w:tr2bl w:val="nil"/>
            </w:tcBorders>
            <w:vAlign w:val="center"/>
          </w:tcPr>
          <w:p w14:paraId="36F552F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4.51</w:t>
            </w:r>
          </w:p>
        </w:tc>
        <w:tc>
          <w:tcPr>
            <w:tcW w:w="778" w:type="dxa"/>
            <w:tcBorders>
              <w:tl2br w:val="nil"/>
              <w:tr2bl w:val="nil"/>
            </w:tcBorders>
            <w:vAlign w:val="center"/>
          </w:tcPr>
          <w:p w14:paraId="21A4D80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4.48</w:t>
            </w:r>
          </w:p>
        </w:tc>
        <w:tc>
          <w:tcPr>
            <w:tcW w:w="677" w:type="dxa"/>
            <w:tcBorders>
              <w:tl2br w:val="nil"/>
              <w:tr2bl w:val="nil"/>
            </w:tcBorders>
            <w:vAlign w:val="center"/>
          </w:tcPr>
          <w:p w14:paraId="4641F07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4.03</w:t>
            </w:r>
          </w:p>
        </w:tc>
        <w:tc>
          <w:tcPr>
            <w:tcW w:w="755" w:type="dxa"/>
            <w:tcBorders>
              <w:tl2br w:val="nil"/>
              <w:tr2bl w:val="nil"/>
            </w:tcBorders>
            <w:vAlign w:val="center"/>
          </w:tcPr>
          <w:p w14:paraId="44C49FE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4.24</w:t>
            </w:r>
          </w:p>
        </w:tc>
        <w:tc>
          <w:tcPr>
            <w:tcW w:w="567" w:type="dxa"/>
            <w:tcBorders>
              <w:tl2br w:val="nil"/>
              <w:tr2bl w:val="nil"/>
            </w:tcBorders>
            <w:vAlign w:val="center"/>
          </w:tcPr>
          <w:p w14:paraId="4342D32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3.57</w:t>
            </w:r>
          </w:p>
        </w:tc>
        <w:tc>
          <w:tcPr>
            <w:tcW w:w="851" w:type="dxa"/>
            <w:tcBorders>
              <w:tl2br w:val="nil"/>
              <w:tr2bl w:val="nil"/>
            </w:tcBorders>
            <w:vAlign w:val="center"/>
          </w:tcPr>
          <w:p w14:paraId="45034CC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1.63</w:t>
            </w:r>
          </w:p>
        </w:tc>
        <w:tc>
          <w:tcPr>
            <w:tcW w:w="723" w:type="dxa"/>
            <w:tcBorders>
              <w:tl2br w:val="nil"/>
              <w:tr2bl w:val="nil"/>
            </w:tcBorders>
            <w:vAlign w:val="center"/>
          </w:tcPr>
          <w:p w14:paraId="6E0B279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w:t>
            </w:r>
          </w:p>
        </w:tc>
        <w:tc>
          <w:tcPr>
            <w:tcW w:w="901" w:type="dxa"/>
            <w:tcBorders>
              <w:tl2br w:val="nil"/>
              <w:tr2bl w:val="nil"/>
            </w:tcBorders>
            <w:vAlign w:val="center"/>
          </w:tcPr>
          <w:p w14:paraId="184077D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1.08</w:t>
            </w:r>
          </w:p>
        </w:tc>
        <w:tc>
          <w:tcPr>
            <w:tcW w:w="608" w:type="dxa"/>
            <w:tcBorders>
              <w:tl2br w:val="nil"/>
              <w:tr2bl w:val="nil"/>
            </w:tcBorders>
            <w:vAlign w:val="center"/>
          </w:tcPr>
          <w:p w14:paraId="4E96EAC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2.16</w:t>
            </w:r>
          </w:p>
        </w:tc>
        <w:tc>
          <w:tcPr>
            <w:tcW w:w="967" w:type="dxa"/>
            <w:tcBorders>
              <w:tl2br w:val="nil"/>
              <w:tr2bl w:val="nil"/>
            </w:tcBorders>
            <w:vAlign w:val="center"/>
          </w:tcPr>
          <w:p w14:paraId="46FE5FA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7.35</w:t>
            </w:r>
          </w:p>
        </w:tc>
        <w:tc>
          <w:tcPr>
            <w:tcW w:w="786" w:type="dxa"/>
            <w:tcBorders>
              <w:tl2br w:val="nil"/>
              <w:tr2bl w:val="nil"/>
            </w:tcBorders>
            <w:vAlign w:val="center"/>
          </w:tcPr>
          <w:p w14:paraId="449E2D3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17.02</w:t>
            </w:r>
          </w:p>
        </w:tc>
        <w:tc>
          <w:tcPr>
            <w:tcW w:w="935" w:type="dxa"/>
            <w:tcBorders>
              <w:tl2br w:val="nil"/>
              <w:tr2bl w:val="nil"/>
            </w:tcBorders>
            <w:vAlign w:val="center"/>
          </w:tcPr>
          <w:p w14:paraId="1517559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14.94</w:t>
            </w:r>
          </w:p>
        </w:tc>
        <w:tc>
          <w:tcPr>
            <w:tcW w:w="534" w:type="dxa"/>
            <w:tcBorders>
              <w:tl2br w:val="nil"/>
              <w:tr2bl w:val="nil"/>
            </w:tcBorders>
            <w:vAlign w:val="center"/>
          </w:tcPr>
          <w:p w14:paraId="3709B6D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7.9</w:t>
            </w:r>
          </w:p>
        </w:tc>
        <w:tc>
          <w:tcPr>
            <w:tcW w:w="890" w:type="dxa"/>
            <w:tcBorders>
              <w:tl2br w:val="nil"/>
              <w:tr2bl w:val="nil"/>
            </w:tcBorders>
            <w:vAlign w:val="center"/>
          </w:tcPr>
          <w:p w14:paraId="01C41D7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5.98</w:t>
            </w:r>
          </w:p>
        </w:tc>
        <w:tc>
          <w:tcPr>
            <w:tcW w:w="661" w:type="dxa"/>
            <w:tcBorders>
              <w:tl2br w:val="nil"/>
              <w:tr2bl w:val="nil"/>
            </w:tcBorders>
            <w:vAlign w:val="center"/>
          </w:tcPr>
          <w:p w14:paraId="57B77B5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5.47</w:t>
            </w:r>
          </w:p>
        </w:tc>
        <w:tc>
          <w:tcPr>
            <w:tcW w:w="812" w:type="dxa"/>
            <w:tcBorders>
              <w:tl2br w:val="nil"/>
              <w:tr2bl w:val="nil"/>
            </w:tcBorders>
            <w:vAlign w:val="center"/>
          </w:tcPr>
          <w:p w14:paraId="2212149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4.56</w:t>
            </w:r>
          </w:p>
        </w:tc>
        <w:tc>
          <w:tcPr>
            <w:tcW w:w="480" w:type="dxa"/>
            <w:tcBorders>
              <w:tl2br w:val="nil"/>
              <w:tr2bl w:val="nil"/>
            </w:tcBorders>
            <w:vAlign w:val="center"/>
          </w:tcPr>
          <w:p w14:paraId="3125DE8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10.31</w:t>
            </w:r>
          </w:p>
        </w:tc>
      </w:tr>
      <w:tr w14:paraId="1198EA0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6E62103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516" w:type="dxa"/>
            <w:tcBorders>
              <w:tl2br w:val="nil"/>
              <w:tr2bl w:val="nil"/>
            </w:tcBorders>
            <w:vAlign w:val="center"/>
          </w:tcPr>
          <w:p w14:paraId="7E86555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6.17</w:t>
            </w:r>
          </w:p>
        </w:tc>
        <w:tc>
          <w:tcPr>
            <w:tcW w:w="778" w:type="dxa"/>
            <w:tcBorders>
              <w:tl2br w:val="nil"/>
              <w:tr2bl w:val="nil"/>
            </w:tcBorders>
            <w:vAlign w:val="center"/>
          </w:tcPr>
          <w:p w14:paraId="7354B3F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6.75</w:t>
            </w:r>
          </w:p>
        </w:tc>
        <w:tc>
          <w:tcPr>
            <w:tcW w:w="677" w:type="dxa"/>
            <w:tcBorders>
              <w:tl2br w:val="nil"/>
              <w:tr2bl w:val="nil"/>
            </w:tcBorders>
            <w:vAlign w:val="center"/>
          </w:tcPr>
          <w:p w14:paraId="55EE177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6.69</w:t>
            </w:r>
          </w:p>
        </w:tc>
        <w:tc>
          <w:tcPr>
            <w:tcW w:w="755" w:type="dxa"/>
            <w:tcBorders>
              <w:tl2br w:val="nil"/>
              <w:tr2bl w:val="nil"/>
            </w:tcBorders>
            <w:vAlign w:val="center"/>
          </w:tcPr>
          <w:p w14:paraId="6F349B1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4.89</w:t>
            </w:r>
          </w:p>
        </w:tc>
        <w:tc>
          <w:tcPr>
            <w:tcW w:w="567" w:type="dxa"/>
            <w:tcBorders>
              <w:tl2br w:val="nil"/>
              <w:tr2bl w:val="nil"/>
            </w:tcBorders>
            <w:vAlign w:val="center"/>
          </w:tcPr>
          <w:p w14:paraId="375A5E0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3.34</w:t>
            </w:r>
          </w:p>
        </w:tc>
        <w:tc>
          <w:tcPr>
            <w:tcW w:w="851" w:type="dxa"/>
            <w:tcBorders>
              <w:tl2br w:val="nil"/>
              <w:tr2bl w:val="nil"/>
            </w:tcBorders>
            <w:vAlign w:val="center"/>
          </w:tcPr>
          <w:p w14:paraId="6FC18EA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1.57</w:t>
            </w:r>
          </w:p>
        </w:tc>
        <w:tc>
          <w:tcPr>
            <w:tcW w:w="723" w:type="dxa"/>
            <w:tcBorders>
              <w:tl2br w:val="nil"/>
              <w:tr2bl w:val="nil"/>
            </w:tcBorders>
            <w:vAlign w:val="center"/>
          </w:tcPr>
          <w:p w14:paraId="4AF9B9A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1.25</w:t>
            </w:r>
          </w:p>
        </w:tc>
        <w:tc>
          <w:tcPr>
            <w:tcW w:w="901" w:type="dxa"/>
            <w:tcBorders>
              <w:tl2br w:val="nil"/>
              <w:tr2bl w:val="nil"/>
            </w:tcBorders>
            <w:vAlign w:val="center"/>
          </w:tcPr>
          <w:p w14:paraId="2D1F3C2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1.32</w:t>
            </w:r>
          </w:p>
        </w:tc>
        <w:tc>
          <w:tcPr>
            <w:tcW w:w="608" w:type="dxa"/>
            <w:tcBorders>
              <w:tl2br w:val="nil"/>
              <w:tr2bl w:val="nil"/>
            </w:tcBorders>
            <w:vAlign w:val="center"/>
          </w:tcPr>
          <w:p w14:paraId="7839289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3.11</w:t>
            </w:r>
          </w:p>
        </w:tc>
        <w:tc>
          <w:tcPr>
            <w:tcW w:w="967" w:type="dxa"/>
            <w:tcBorders>
              <w:tl2br w:val="nil"/>
              <w:tr2bl w:val="nil"/>
            </w:tcBorders>
            <w:vAlign w:val="center"/>
          </w:tcPr>
          <w:p w14:paraId="7ED0365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7.78</w:t>
            </w:r>
          </w:p>
        </w:tc>
        <w:tc>
          <w:tcPr>
            <w:tcW w:w="786" w:type="dxa"/>
            <w:tcBorders>
              <w:tl2br w:val="nil"/>
              <w:tr2bl w:val="nil"/>
            </w:tcBorders>
            <w:vAlign w:val="center"/>
          </w:tcPr>
          <w:p w14:paraId="429069E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13.45</w:t>
            </w:r>
          </w:p>
        </w:tc>
        <w:tc>
          <w:tcPr>
            <w:tcW w:w="935" w:type="dxa"/>
            <w:tcBorders>
              <w:tl2br w:val="nil"/>
              <w:tr2bl w:val="nil"/>
            </w:tcBorders>
            <w:vAlign w:val="center"/>
          </w:tcPr>
          <w:p w14:paraId="12E0E6D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11.11</w:t>
            </w:r>
          </w:p>
        </w:tc>
        <w:tc>
          <w:tcPr>
            <w:tcW w:w="534" w:type="dxa"/>
            <w:tcBorders>
              <w:tl2br w:val="nil"/>
              <w:tr2bl w:val="nil"/>
            </w:tcBorders>
            <w:vAlign w:val="center"/>
          </w:tcPr>
          <w:p w14:paraId="422013E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7.81</w:t>
            </w:r>
          </w:p>
        </w:tc>
        <w:tc>
          <w:tcPr>
            <w:tcW w:w="890" w:type="dxa"/>
            <w:tcBorders>
              <w:tl2br w:val="nil"/>
              <w:tr2bl w:val="nil"/>
            </w:tcBorders>
            <w:vAlign w:val="center"/>
          </w:tcPr>
          <w:p w14:paraId="152D8D7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7.28</w:t>
            </w:r>
          </w:p>
        </w:tc>
        <w:tc>
          <w:tcPr>
            <w:tcW w:w="661" w:type="dxa"/>
            <w:tcBorders>
              <w:tl2br w:val="nil"/>
              <w:tr2bl w:val="nil"/>
            </w:tcBorders>
            <w:vAlign w:val="center"/>
          </w:tcPr>
          <w:p w14:paraId="3696334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5.26</w:t>
            </w:r>
          </w:p>
        </w:tc>
        <w:tc>
          <w:tcPr>
            <w:tcW w:w="812" w:type="dxa"/>
            <w:tcBorders>
              <w:tl2br w:val="nil"/>
              <w:tr2bl w:val="nil"/>
            </w:tcBorders>
            <w:vAlign w:val="center"/>
          </w:tcPr>
          <w:p w14:paraId="69EE994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4.78</w:t>
            </w:r>
          </w:p>
        </w:tc>
        <w:tc>
          <w:tcPr>
            <w:tcW w:w="480" w:type="dxa"/>
            <w:tcBorders>
              <w:tl2br w:val="nil"/>
              <w:tr2bl w:val="nil"/>
            </w:tcBorders>
            <w:vAlign w:val="center"/>
          </w:tcPr>
          <w:p w14:paraId="4002C28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7.58</w:t>
            </w:r>
          </w:p>
        </w:tc>
      </w:tr>
      <w:tr w14:paraId="7204E0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27BAF9FA">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516" w:type="dxa"/>
            <w:tcBorders>
              <w:tl2br w:val="nil"/>
              <w:tr2bl w:val="nil"/>
            </w:tcBorders>
            <w:vAlign w:val="center"/>
          </w:tcPr>
          <w:p w14:paraId="5284FC9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4.63</w:t>
            </w:r>
          </w:p>
        </w:tc>
        <w:tc>
          <w:tcPr>
            <w:tcW w:w="778" w:type="dxa"/>
            <w:tcBorders>
              <w:tl2br w:val="nil"/>
              <w:tr2bl w:val="nil"/>
            </w:tcBorders>
            <w:vAlign w:val="center"/>
          </w:tcPr>
          <w:p w14:paraId="7ADFD23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5.53</w:t>
            </w:r>
          </w:p>
        </w:tc>
        <w:tc>
          <w:tcPr>
            <w:tcW w:w="677" w:type="dxa"/>
            <w:tcBorders>
              <w:tl2br w:val="nil"/>
              <w:tr2bl w:val="nil"/>
            </w:tcBorders>
            <w:vAlign w:val="center"/>
          </w:tcPr>
          <w:p w14:paraId="2DBA00C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7.04</w:t>
            </w:r>
          </w:p>
        </w:tc>
        <w:tc>
          <w:tcPr>
            <w:tcW w:w="755" w:type="dxa"/>
            <w:tcBorders>
              <w:tl2br w:val="nil"/>
              <w:tr2bl w:val="nil"/>
            </w:tcBorders>
            <w:vAlign w:val="center"/>
          </w:tcPr>
          <w:p w14:paraId="67B94B9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7.14</w:t>
            </w:r>
          </w:p>
        </w:tc>
        <w:tc>
          <w:tcPr>
            <w:tcW w:w="567" w:type="dxa"/>
            <w:tcBorders>
              <w:tl2br w:val="nil"/>
              <w:tr2bl w:val="nil"/>
            </w:tcBorders>
            <w:vAlign w:val="center"/>
          </w:tcPr>
          <w:p w14:paraId="4BBE723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4.54</w:t>
            </w:r>
          </w:p>
        </w:tc>
        <w:tc>
          <w:tcPr>
            <w:tcW w:w="851" w:type="dxa"/>
            <w:tcBorders>
              <w:tl2br w:val="nil"/>
              <w:tr2bl w:val="nil"/>
            </w:tcBorders>
            <w:vAlign w:val="center"/>
          </w:tcPr>
          <w:p w14:paraId="000724F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w:t>
            </w:r>
          </w:p>
        </w:tc>
        <w:tc>
          <w:tcPr>
            <w:tcW w:w="723" w:type="dxa"/>
            <w:tcBorders>
              <w:tl2br w:val="nil"/>
              <w:tr2bl w:val="nil"/>
            </w:tcBorders>
            <w:vAlign w:val="center"/>
          </w:tcPr>
          <w:p w14:paraId="3B92BF4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1.95</w:t>
            </w:r>
          </w:p>
        </w:tc>
        <w:tc>
          <w:tcPr>
            <w:tcW w:w="901" w:type="dxa"/>
            <w:tcBorders>
              <w:tl2br w:val="nil"/>
              <w:tr2bl w:val="nil"/>
            </w:tcBorders>
            <w:vAlign w:val="center"/>
          </w:tcPr>
          <w:p w14:paraId="7E91832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2.03</w:t>
            </w:r>
          </w:p>
        </w:tc>
        <w:tc>
          <w:tcPr>
            <w:tcW w:w="608" w:type="dxa"/>
            <w:tcBorders>
              <w:tl2br w:val="nil"/>
              <w:tr2bl w:val="nil"/>
            </w:tcBorders>
            <w:vAlign w:val="center"/>
          </w:tcPr>
          <w:p w14:paraId="7494EDA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3.62</w:t>
            </w:r>
          </w:p>
        </w:tc>
        <w:tc>
          <w:tcPr>
            <w:tcW w:w="967" w:type="dxa"/>
            <w:tcBorders>
              <w:tl2br w:val="nil"/>
              <w:tr2bl w:val="nil"/>
            </w:tcBorders>
            <w:vAlign w:val="center"/>
          </w:tcPr>
          <w:p w14:paraId="7C283C3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9.75</w:t>
            </w:r>
          </w:p>
        </w:tc>
        <w:tc>
          <w:tcPr>
            <w:tcW w:w="786" w:type="dxa"/>
            <w:tcBorders>
              <w:tl2br w:val="nil"/>
              <w:tr2bl w:val="nil"/>
            </w:tcBorders>
            <w:vAlign w:val="center"/>
          </w:tcPr>
          <w:p w14:paraId="2E5166B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15.58</w:t>
            </w:r>
          </w:p>
        </w:tc>
        <w:tc>
          <w:tcPr>
            <w:tcW w:w="935" w:type="dxa"/>
            <w:tcBorders>
              <w:tl2br w:val="nil"/>
              <w:tr2bl w:val="nil"/>
            </w:tcBorders>
            <w:vAlign w:val="center"/>
          </w:tcPr>
          <w:p w14:paraId="70A956B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12.5</w:t>
            </w:r>
          </w:p>
        </w:tc>
        <w:tc>
          <w:tcPr>
            <w:tcW w:w="534" w:type="dxa"/>
            <w:tcBorders>
              <w:tl2br w:val="nil"/>
              <w:tr2bl w:val="nil"/>
            </w:tcBorders>
            <w:vAlign w:val="center"/>
          </w:tcPr>
          <w:p w14:paraId="4105031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6.39</w:t>
            </w:r>
          </w:p>
        </w:tc>
        <w:tc>
          <w:tcPr>
            <w:tcW w:w="890" w:type="dxa"/>
            <w:tcBorders>
              <w:tl2br w:val="nil"/>
              <w:tr2bl w:val="nil"/>
            </w:tcBorders>
            <w:vAlign w:val="center"/>
          </w:tcPr>
          <w:p w14:paraId="46DE072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4.82</w:t>
            </w:r>
          </w:p>
        </w:tc>
        <w:tc>
          <w:tcPr>
            <w:tcW w:w="661" w:type="dxa"/>
            <w:tcBorders>
              <w:tl2br w:val="nil"/>
              <w:tr2bl w:val="nil"/>
            </w:tcBorders>
            <w:vAlign w:val="center"/>
          </w:tcPr>
          <w:p w14:paraId="62D4242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3.88</w:t>
            </w:r>
          </w:p>
        </w:tc>
        <w:tc>
          <w:tcPr>
            <w:tcW w:w="812" w:type="dxa"/>
            <w:tcBorders>
              <w:tl2br w:val="nil"/>
              <w:tr2bl w:val="nil"/>
            </w:tcBorders>
            <w:vAlign w:val="center"/>
          </w:tcPr>
          <w:p w14:paraId="02553EB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3.24</w:t>
            </w:r>
          </w:p>
        </w:tc>
        <w:tc>
          <w:tcPr>
            <w:tcW w:w="480" w:type="dxa"/>
            <w:tcBorders>
              <w:tl2br w:val="nil"/>
              <w:tr2bl w:val="nil"/>
            </w:tcBorders>
            <w:vAlign w:val="center"/>
          </w:tcPr>
          <w:p w14:paraId="5C78E40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5.18</w:t>
            </w:r>
          </w:p>
        </w:tc>
      </w:tr>
      <w:tr w14:paraId="76757DB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68" w:type="dxa"/>
            <w:tcBorders>
              <w:tl2br w:val="nil"/>
              <w:tr2bl w:val="nil"/>
            </w:tcBorders>
            <w:vAlign w:val="center"/>
          </w:tcPr>
          <w:p w14:paraId="2B48F00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516" w:type="dxa"/>
            <w:tcBorders>
              <w:tl2br w:val="nil"/>
              <w:tr2bl w:val="nil"/>
            </w:tcBorders>
            <w:vAlign w:val="center"/>
          </w:tcPr>
          <w:p w14:paraId="17C6AB0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4.34</w:t>
            </w:r>
          </w:p>
        </w:tc>
        <w:tc>
          <w:tcPr>
            <w:tcW w:w="778" w:type="dxa"/>
            <w:tcBorders>
              <w:tl2br w:val="nil"/>
              <w:tr2bl w:val="nil"/>
            </w:tcBorders>
            <w:vAlign w:val="center"/>
          </w:tcPr>
          <w:p w14:paraId="0F8C79F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w:t>
            </w:r>
          </w:p>
        </w:tc>
        <w:tc>
          <w:tcPr>
            <w:tcW w:w="677" w:type="dxa"/>
            <w:tcBorders>
              <w:tl2br w:val="nil"/>
              <w:tr2bl w:val="nil"/>
            </w:tcBorders>
            <w:vAlign w:val="center"/>
          </w:tcPr>
          <w:p w14:paraId="797025C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8.81</w:t>
            </w:r>
          </w:p>
        </w:tc>
        <w:tc>
          <w:tcPr>
            <w:tcW w:w="755" w:type="dxa"/>
            <w:tcBorders>
              <w:tl2br w:val="nil"/>
              <w:tr2bl w:val="nil"/>
            </w:tcBorders>
            <w:vAlign w:val="center"/>
          </w:tcPr>
          <w:p w14:paraId="61D3EA0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9.91</w:t>
            </w:r>
          </w:p>
        </w:tc>
        <w:tc>
          <w:tcPr>
            <w:tcW w:w="567" w:type="dxa"/>
            <w:tcBorders>
              <w:tl2br w:val="nil"/>
              <w:tr2bl w:val="nil"/>
            </w:tcBorders>
            <w:vAlign w:val="center"/>
          </w:tcPr>
          <w:p w14:paraId="3706E56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6.89</w:t>
            </w:r>
          </w:p>
        </w:tc>
        <w:tc>
          <w:tcPr>
            <w:tcW w:w="851" w:type="dxa"/>
            <w:tcBorders>
              <w:tl2br w:val="nil"/>
              <w:tr2bl w:val="nil"/>
            </w:tcBorders>
            <w:vAlign w:val="center"/>
          </w:tcPr>
          <w:p w14:paraId="6BF7FAF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3.32</w:t>
            </w:r>
          </w:p>
        </w:tc>
        <w:tc>
          <w:tcPr>
            <w:tcW w:w="723" w:type="dxa"/>
            <w:tcBorders>
              <w:tl2br w:val="nil"/>
              <w:tr2bl w:val="nil"/>
            </w:tcBorders>
            <w:vAlign w:val="center"/>
          </w:tcPr>
          <w:p w14:paraId="77F00FA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2.62</w:t>
            </w:r>
          </w:p>
        </w:tc>
        <w:tc>
          <w:tcPr>
            <w:tcW w:w="901" w:type="dxa"/>
            <w:tcBorders>
              <w:tl2br w:val="nil"/>
              <w:tr2bl w:val="nil"/>
            </w:tcBorders>
            <w:vAlign w:val="center"/>
          </w:tcPr>
          <w:p w14:paraId="2EDE0BC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2.47</w:t>
            </w:r>
          </w:p>
        </w:tc>
        <w:tc>
          <w:tcPr>
            <w:tcW w:w="608" w:type="dxa"/>
            <w:tcBorders>
              <w:tl2br w:val="nil"/>
              <w:tr2bl w:val="nil"/>
            </w:tcBorders>
            <w:vAlign w:val="center"/>
          </w:tcPr>
          <w:p w14:paraId="666E9C6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4.54</w:t>
            </w:r>
          </w:p>
        </w:tc>
        <w:tc>
          <w:tcPr>
            <w:tcW w:w="967" w:type="dxa"/>
            <w:tcBorders>
              <w:tl2br w:val="nil"/>
              <w:tr2bl w:val="nil"/>
            </w:tcBorders>
            <w:vAlign w:val="center"/>
          </w:tcPr>
          <w:p w14:paraId="211C1E9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8.81</w:t>
            </w:r>
          </w:p>
        </w:tc>
        <w:tc>
          <w:tcPr>
            <w:tcW w:w="786" w:type="dxa"/>
            <w:tcBorders>
              <w:tl2br w:val="nil"/>
              <w:tr2bl w:val="nil"/>
            </w:tcBorders>
            <w:vAlign w:val="center"/>
          </w:tcPr>
          <w:p w14:paraId="264EE40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13.8</w:t>
            </w:r>
          </w:p>
        </w:tc>
        <w:tc>
          <w:tcPr>
            <w:tcW w:w="935" w:type="dxa"/>
            <w:tcBorders>
              <w:tl2br w:val="nil"/>
              <w:tr2bl w:val="nil"/>
            </w:tcBorders>
            <w:vAlign w:val="center"/>
          </w:tcPr>
          <w:p w14:paraId="55BAAEF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10.31</w:t>
            </w:r>
          </w:p>
        </w:tc>
        <w:tc>
          <w:tcPr>
            <w:tcW w:w="534" w:type="dxa"/>
            <w:tcBorders>
              <w:tl2br w:val="nil"/>
              <w:tr2bl w:val="nil"/>
            </w:tcBorders>
            <w:vAlign w:val="center"/>
          </w:tcPr>
          <w:p w14:paraId="5F2C882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w:t>
            </w:r>
          </w:p>
        </w:tc>
        <w:tc>
          <w:tcPr>
            <w:tcW w:w="890" w:type="dxa"/>
            <w:tcBorders>
              <w:tl2br w:val="nil"/>
              <w:tr2bl w:val="nil"/>
            </w:tcBorders>
            <w:vAlign w:val="center"/>
          </w:tcPr>
          <w:p w14:paraId="2E37902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3.55</w:t>
            </w:r>
          </w:p>
        </w:tc>
        <w:tc>
          <w:tcPr>
            <w:tcW w:w="661" w:type="dxa"/>
            <w:tcBorders>
              <w:tl2br w:val="nil"/>
              <w:tr2bl w:val="nil"/>
            </w:tcBorders>
            <w:vAlign w:val="center"/>
          </w:tcPr>
          <w:p w14:paraId="59F7C03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3.16</w:t>
            </w:r>
          </w:p>
        </w:tc>
        <w:tc>
          <w:tcPr>
            <w:tcW w:w="812" w:type="dxa"/>
            <w:tcBorders>
              <w:tl2br w:val="nil"/>
              <w:tr2bl w:val="nil"/>
            </w:tcBorders>
            <w:vAlign w:val="center"/>
          </w:tcPr>
          <w:p w14:paraId="4C734C4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3.01</w:t>
            </w:r>
          </w:p>
        </w:tc>
        <w:tc>
          <w:tcPr>
            <w:tcW w:w="480" w:type="dxa"/>
            <w:tcBorders>
              <w:tl2br w:val="nil"/>
              <w:tr2bl w:val="nil"/>
            </w:tcBorders>
            <w:vAlign w:val="center"/>
          </w:tcPr>
          <w:p w14:paraId="326A2CB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3.92</w:t>
            </w:r>
          </w:p>
        </w:tc>
      </w:tr>
      <w:tr w14:paraId="0C19214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249A5216">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w:t>
            </w:r>
          </w:p>
        </w:tc>
        <w:tc>
          <w:tcPr>
            <w:tcW w:w="516" w:type="dxa"/>
            <w:tcBorders>
              <w:tl2br w:val="nil"/>
              <w:tr2bl w:val="nil"/>
            </w:tcBorders>
            <w:vAlign w:val="center"/>
          </w:tcPr>
          <w:p w14:paraId="7407433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3.51</w:t>
            </w:r>
          </w:p>
        </w:tc>
        <w:tc>
          <w:tcPr>
            <w:tcW w:w="778" w:type="dxa"/>
            <w:tcBorders>
              <w:tl2br w:val="nil"/>
              <w:tr2bl w:val="nil"/>
            </w:tcBorders>
            <w:vAlign w:val="center"/>
          </w:tcPr>
          <w:p w14:paraId="75A1721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4.13</w:t>
            </w:r>
          </w:p>
        </w:tc>
        <w:tc>
          <w:tcPr>
            <w:tcW w:w="677" w:type="dxa"/>
            <w:tcBorders>
              <w:tl2br w:val="nil"/>
              <w:tr2bl w:val="nil"/>
            </w:tcBorders>
            <w:vAlign w:val="center"/>
          </w:tcPr>
          <w:p w14:paraId="3805264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5.92</w:t>
            </w:r>
          </w:p>
        </w:tc>
        <w:tc>
          <w:tcPr>
            <w:tcW w:w="755" w:type="dxa"/>
            <w:tcBorders>
              <w:tl2br w:val="nil"/>
              <w:tr2bl w:val="nil"/>
            </w:tcBorders>
            <w:vAlign w:val="center"/>
          </w:tcPr>
          <w:p w14:paraId="6E5BE94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7.28</w:t>
            </w:r>
          </w:p>
        </w:tc>
        <w:tc>
          <w:tcPr>
            <w:tcW w:w="567" w:type="dxa"/>
            <w:tcBorders>
              <w:tl2br w:val="nil"/>
              <w:tr2bl w:val="nil"/>
            </w:tcBorders>
            <w:vAlign w:val="center"/>
          </w:tcPr>
          <w:p w14:paraId="02C271D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w:t>
            </w:r>
          </w:p>
        </w:tc>
        <w:tc>
          <w:tcPr>
            <w:tcW w:w="851" w:type="dxa"/>
            <w:tcBorders>
              <w:tl2br w:val="nil"/>
              <w:tr2bl w:val="nil"/>
            </w:tcBorders>
            <w:vAlign w:val="center"/>
          </w:tcPr>
          <w:p w14:paraId="4D1128A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w:t>
            </w:r>
          </w:p>
        </w:tc>
        <w:tc>
          <w:tcPr>
            <w:tcW w:w="723" w:type="dxa"/>
            <w:tcBorders>
              <w:tl2br w:val="nil"/>
              <w:tr2bl w:val="nil"/>
            </w:tcBorders>
            <w:vAlign w:val="center"/>
          </w:tcPr>
          <w:p w14:paraId="097E18C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2.56</w:t>
            </w:r>
          </w:p>
        </w:tc>
        <w:tc>
          <w:tcPr>
            <w:tcW w:w="901" w:type="dxa"/>
            <w:tcBorders>
              <w:tl2br w:val="nil"/>
              <w:tr2bl w:val="nil"/>
            </w:tcBorders>
            <w:vAlign w:val="center"/>
          </w:tcPr>
          <w:p w14:paraId="71D56D7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2.98</w:t>
            </w:r>
          </w:p>
        </w:tc>
        <w:tc>
          <w:tcPr>
            <w:tcW w:w="608" w:type="dxa"/>
            <w:tcBorders>
              <w:tl2br w:val="nil"/>
              <w:tr2bl w:val="nil"/>
            </w:tcBorders>
            <w:vAlign w:val="center"/>
          </w:tcPr>
          <w:p w14:paraId="686A4CF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6.23</w:t>
            </w:r>
          </w:p>
        </w:tc>
        <w:tc>
          <w:tcPr>
            <w:tcW w:w="967" w:type="dxa"/>
            <w:tcBorders>
              <w:tl2br w:val="nil"/>
              <w:tr2bl w:val="nil"/>
            </w:tcBorders>
            <w:vAlign w:val="center"/>
          </w:tcPr>
          <w:p w14:paraId="4048620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13.45</w:t>
            </w:r>
          </w:p>
        </w:tc>
        <w:tc>
          <w:tcPr>
            <w:tcW w:w="786" w:type="dxa"/>
            <w:tcBorders>
              <w:tl2br w:val="nil"/>
              <w:tr2bl w:val="nil"/>
            </w:tcBorders>
            <w:vAlign w:val="center"/>
          </w:tcPr>
          <w:p w14:paraId="42EEA27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18.01</w:t>
            </w:r>
          </w:p>
        </w:tc>
        <w:tc>
          <w:tcPr>
            <w:tcW w:w="935" w:type="dxa"/>
            <w:tcBorders>
              <w:tl2br w:val="nil"/>
              <w:tr2bl w:val="nil"/>
            </w:tcBorders>
            <w:vAlign w:val="center"/>
          </w:tcPr>
          <w:p w14:paraId="5B814EA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10.22</w:t>
            </w:r>
          </w:p>
        </w:tc>
        <w:tc>
          <w:tcPr>
            <w:tcW w:w="534" w:type="dxa"/>
            <w:tcBorders>
              <w:tl2br w:val="nil"/>
              <w:tr2bl w:val="nil"/>
            </w:tcBorders>
            <w:vAlign w:val="center"/>
          </w:tcPr>
          <w:p w14:paraId="4735D82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4.96</w:t>
            </w:r>
          </w:p>
        </w:tc>
        <w:tc>
          <w:tcPr>
            <w:tcW w:w="890" w:type="dxa"/>
            <w:tcBorders>
              <w:tl2br w:val="nil"/>
              <w:tr2bl w:val="nil"/>
            </w:tcBorders>
            <w:vAlign w:val="center"/>
          </w:tcPr>
          <w:p w14:paraId="1FB21C1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2.66</w:t>
            </w:r>
          </w:p>
        </w:tc>
        <w:tc>
          <w:tcPr>
            <w:tcW w:w="661" w:type="dxa"/>
            <w:tcBorders>
              <w:tl2br w:val="nil"/>
              <w:tr2bl w:val="nil"/>
            </w:tcBorders>
            <w:vAlign w:val="center"/>
          </w:tcPr>
          <w:p w14:paraId="3A71E81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2.45</w:t>
            </w:r>
          </w:p>
        </w:tc>
        <w:tc>
          <w:tcPr>
            <w:tcW w:w="812" w:type="dxa"/>
            <w:tcBorders>
              <w:tl2br w:val="nil"/>
              <w:tr2bl w:val="nil"/>
            </w:tcBorders>
            <w:vAlign w:val="center"/>
          </w:tcPr>
          <w:p w14:paraId="208A596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w:t>
            </w:r>
          </w:p>
        </w:tc>
        <w:tc>
          <w:tcPr>
            <w:tcW w:w="480" w:type="dxa"/>
            <w:tcBorders>
              <w:tl2br w:val="nil"/>
              <w:tr2bl w:val="nil"/>
            </w:tcBorders>
            <w:vAlign w:val="center"/>
          </w:tcPr>
          <w:p w14:paraId="69BBDDC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4.64</w:t>
            </w:r>
          </w:p>
        </w:tc>
      </w:tr>
      <w:tr w14:paraId="2EAA597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68" w:type="dxa"/>
            <w:tcBorders>
              <w:tl2br w:val="nil"/>
              <w:tr2bl w:val="nil"/>
            </w:tcBorders>
            <w:vAlign w:val="center"/>
          </w:tcPr>
          <w:p w14:paraId="03D71AC5">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w:t>
            </w:r>
          </w:p>
        </w:tc>
        <w:tc>
          <w:tcPr>
            <w:tcW w:w="516" w:type="dxa"/>
            <w:tcBorders>
              <w:tl2br w:val="nil"/>
              <w:tr2bl w:val="nil"/>
            </w:tcBorders>
            <w:vAlign w:val="center"/>
          </w:tcPr>
          <w:p w14:paraId="7DA4266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4.39</w:t>
            </w:r>
          </w:p>
        </w:tc>
        <w:tc>
          <w:tcPr>
            <w:tcW w:w="778" w:type="dxa"/>
            <w:tcBorders>
              <w:tl2br w:val="nil"/>
              <w:tr2bl w:val="nil"/>
            </w:tcBorders>
            <w:vAlign w:val="center"/>
          </w:tcPr>
          <w:p w14:paraId="17DAD82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4.84</w:t>
            </w:r>
          </w:p>
        </w:tc>
        <w:tc>
          <w:tcPr>
            <w:tcW w:w="677" w:type="dxa"/>
            <w:tcBorders>
              <w:tl2br w:val="nil"/>
              <w:tr2bl w:val="nil"/>
            </w:tcBorders>
            <w:vAlign w:val="center"/>
          </w:tcPr>
          <w:p w14:paraId="58A8FA9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6.73</w:t>
            </w:r>
          </w:p>
        </w:tc>
        <w:tc>
          <w:tcPr>
            <w:tcW w:w="755" w:type="dxa"/>
            <w:tcBorders>
              <w:tl2br w:val="nil"/>
              <w:tr2bl w:val="nil"/>
            </w:tcBorders>
            <w:vAlign w:val="center"/>
          </w:tcPr>
          <w:p w14:paraId="21DC8B7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7.24</w:t>
            </w:r>
          </w:p>
        </w:tc>
        <w:tc>
          <w:tcPr>
            <w:tcW w:w="567" w:type="dxa"/>
            <w:tcBorders>
              <w:tl2br w:val="nil"/>
              <w:tr2bl w:val="nil"/>
            </w:tcBorders>
            <w:vAlign w:val="center"/>
          </w:tcPr>
          <w:p w14:paraId="603381E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851" w:type="dxa"/>
            <w:tcBorders>
              <w:tl2br w:val="nil"/>
              <w:tr2bl w:val="nil"/>
            </w:tcBorders>
            <w:vAlign w:val="center"/>
          </w:tcPr>
          <w:p w14:paraId="4A45279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2.35</w:t>
            </w:r>
          </w:p>
        </w:tc>
        <w:tc>
          <w:tcPr>
            <w:tcW w:w="723" w:type="dxa"/>
            <w:tcBorders>
              <w:tl2br w:val="nil"/>
              <w:tr2bl w:val="nil"/>
            </w:tcBorders>
            <w:vAlign w:val="center"/>
          </w:tcPr>
          <w:p w14:paraId="4393EDC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1.79</w:t>
            </w:r>
          </w:p>
        </w:tc>
        <w:tc>
          <w:tcPr>
            <w:tcW w:w="901" w:type="dxa"/>
            <w:tcBorders>
              <w:tl2br w:val="nil"/>
              <w:tr2bl w:val="nil"/>
            </w:tcBorders>
            <w:vAlign w:val="center"/>
          </w:tcPr>
          <w:p w14:paraId="7009CE1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2.06</w:t>
            </w:r>
          </w:p>
        </w:tc>
        <w:tc>
          <w:tcPr>
            <w:tcW w:w="608" w:type="dxa"/>
            <w:tcBorders>
              <w:tl2br w:val="nil"/>
              <w:tr2bl w:val="nil"/>
            </w:tcBorders>
            <w:vAlign w:val="center"/>
          </w:tcPr>
          <w:p w14:paraId="58199FD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4.32</w:t>
            </w:r>
          </w:p>
        </w:tc>
        <w:tc>
          <w:tcPr>
            <w:tcW w:w="967" w:type="dxa"/>
            <w:tcBorders>
              <w:tl2br w:val="nil"/>
              <w:tr2bl w:val="nil"/>
            </w:tcBorders>
            <w:vAlign w:val="center"/>
          </w:tcPr>
          <w:p w14:paraId="3E48D6F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11.86</w:t>
            </w:r>
          </w:p>
        </w:tc>
        <w:tc>
          <w:tcPr>
            <w:tcW w:w="786" w:type="dxa"/>
            <w:tcBorders>
              <w:tl2br w:val="nil"/>
              <w:tr2bl w:val="nil"/>
            </w:tcBorders>
            <w:vAlign w:val="center"/>
          </w:tcPr>
          <w:p w14:paraId="5B867FBC">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15.92</w:t>
            </w:r>
          </w:p>
        </w:tc>
        <w:tc>
          <w:tcPr>
            <w:tcW w:w="935" w:type="dxa"/>
            <w:tcBorders>
              <w:tl2br w:val="nil"/>
              <w:tr2bl w:val="nil"/>
            </w:tcBorders>
            <w:vAlign w:val="center"/>
          </w:tcPr>
          <w:p w14:paraId="23C517A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10.93</w:t>
            </w:r>
          </w:p>
        </w:tc>
        <w:tc>
          <w:tcPr>
            <w:tcW w:w="534" w:type="dxa"/>
            <w:tcBorders>
              <w:tl2br w:val="nil"/>
              <w:tr2bl w:val="nil"/>
            </w:tcBorders>
            <w:vAlign w:val="center"/>
          </w:tcPr>
          <w:p w14:paraId="5C9D803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5.96</w:t>
            </w:r>
          </w:p>
        </w:tc>
        <w:tc>
          <w:tcPr>
            <w:tcW w:w="890" w:type="dxa"/>
            <w:tcBorders>
              <w:tl2br w:val="nil"/>
              <w:tr2bl w:val="nil"/>
            </w:tcBorders>
            <w:vAlign w:val="center"/>
          </w:tcPr>
          <w:p w14:paraId="30F5908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4.64</w:t>
            </w:r>
          </w:p>
        </w:tc>
        <w:tc>
          <w:tcPr>
            <w:tcW w:w="661" w:type="dxa"/>
            <w:tcBorders>
              <w:tl2br w:val="nil"/>
              <w:tr2bl w:val="nil"/>
            </w:tcBorders>
            <w:vAlign w:val="center"/>
          </w:tcPr>
          <w:p w14:paraId="7D7145A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3.52</w:t>
            </w:r>
          </w:p>
        </w:tc>
        <w:tc>
          <w:tcPr>
            <w:tcW w:w="812" w:type="dxa"/>
            <w:tcBorders>
              <w:tl2br w:val="nil"/>
              <w:tr2bl w:val="nil"/>
            </w:tcBorders>
            <w:vAlign w:val="center"/>
          </w:tcPr>
          <w:p w14:paraId="401DE02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2.99</w:t>
            </w:r>
          </w:p>
        </w:tc>
        <w:tc>
          <w:tcPr>
            <w:tcW w:w="480" w:type="dxa"/>
            <w:tcBorders>
              <w:tl2br w:val="nil"/>
              <w:tr2bl w:val="nil"/>
            </w:tcBorders>
            <w:vAlign w:val="center"/>
          </w:tcPr>
          <w:p w14:paraId="2BDDD93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5.59</w:t>
            </w:r>
          </w:p>
        </w:tc>
      </w:tr>
      <w:tr w14:paraId="44BC683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79F1D92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w:t>
            </w:r>
          </w:p>
        </w:tc>
        <w:tc>
          <w:tcPr>
            <w:tcW w:w="516" w:type="dxa"/>
            <w:tcBorders>
              <w:tl2br w:val="nil"/>
              <w:tr2bl w:val="nil"/>
            </w:tcBorders>
            <w:vAlign w:val="center"/>
          </w:tcPr>
          <w:p w14:paraId="77A84C2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3.84</w:t>
            </w:r>
          </w:p>
        </w:tc>
        <w:tc>
          <w:tcPr>
            <w:tcW w:w="778" w:type="dxa"/>
            <w:tcBorders>
              <w:tl2br w:val="nil"/>
              <w:tr2bl w:val="nil"/>
            </w:tcBorders>
            <w:vAlign w:val="center"/>
          </w:tcPr>
          <w:p w14:paraId="492C3F5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w:t>
            </w:r>
          </w:p>
        </w:tc>
        <w:tc>
          <w:tcPr>
            <w:tcW w:w="677" w:type="dxa"/>
            <w:tcBorders>
              <w:tl2br w:val="nil"/>
              <w:tr2bl w:val="nil"/>
            </w:tcBorders>
            <w:vAlign w:val="center"/>
          </w:tcPr>
          <w:p w14:paraId="014324D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4.85</w:t>
            </w:r>
          </w:p>
        </w:tc>
        <w:tc>
          <w:tcPr>
            <w:tcW w:w="755" w:type="dxa"/>
            <w:tcBorders>
              <w:tl2br w:val="nil"/>
              <w:tr2bl w:val="nil"/>
            </w:tcBorders>
            <w:vAlign w:val="center"/>
          </w:tcPr>
          <w:p w14:paraId="028519D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4.28</w:t>
            </w:r>
          </w:p>
        </w:tc>
        <w:tc>
          <w:tcPr>
            <w:tcW w:w="567" w:type="dxa"/>
            <w:tcBorders>
              <w:tl2br w:val="nil"/>
              <w:tr2bl w:val="nil"/>
            </w:tcBorders>
            <w:vAlign w:val="center"/>
          </w:tcPr>
          <w:p w14:paraId="0520B15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3.45</w:t>
            </w:r>
          </w:p>
        </w:tc>
        <w:tc>
          <w:tcPr>
            <w:tcW w:w="851" w:type="dxa"/>
            <w:tcBorders>
              <w:tl2br w:val="nil"/>
              <w:tr2bl w:val="nil"/>
            </w:tcBorders>
            <w:vAlign w:val="center"/>
          </w:tcPr>
          <w:p w14:paraId="163C446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1.97</w:t>
            </w:r>
          </w:p>
        </w:tc>
        <w:tc>
          <w:tcPr>
            <w:tcW w:w="723" w:type="dxa"/>
            <w:tcBorders>
              <w:tl2br w:val="nil"/>
              <w:tr2bl w:val="nil"/>
            </w:tcBorders>
            <w:vAlign w:val="center"/>
          </w:tcPr>
          <w:p w14:paraId="6C45341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1.47</w:t>
            </w:r>
          </w:p>
        </w:tc>
        <w:tc>
          <w:tcPr>
            <w:tcW w:w="901" w:type="dxa"/>
            <w:tcBorders>
              <w:tl2br w:val="nil"/>
              <w:tr2bl w:val="nil"/>
            </w:tcBorders>
            <w:vAlign w:val="center"/>
          </w:tcPr>
          <w:p w14:paraId="7979173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w:t>
            </w:r>
          </w:p>
        </w:tc>
        <w:tc>
          <w:tcPr>
            <w:tcW w:w="608" w:type="dxa"/>
            <w:tcBorders>
              <w:tl2br w:val="nil"/>
              <w:tr2bl w:val="nil"/>
            </w:tcBorders>
            <w:vAlign w:val="center"/>
          </w:tcPr>
          <w:p w14:paraId="31710D6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4.15</w:t>
            </w:r>
          </w:p>
        </w:tc>
        <w:tc>
          <w:tcPr>
            <w:tcW w:w="967" w:type="dxa"/>
            <w:tcBorders>
              <w:tl2br w:val="nil"/>
              <w:tr2bl w:val="nil"/>
            </w:tcBorders>
            <w:vAlign w:val="center"/>
          </w:tcPr>
          <w:p w14:paraId="7D9DC92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11.17</w:t>
            </w:r>
          </w:p>
        </w:tc>
        <w:tc>
          <w:tcPr>
            <w:tcW w:w="786" w:type="dxa"/>
            <w:tcBorders>
              <w:tl2br w:val="nil"/>
              <w:tr2bl w:val="nil"/>
            </w:tcBorders>
            <w:vAlign w:val="center"/>
          </w:tcPr>
          <w:p w14:paraId="7A09016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17.99</w:t>
            </w:r>
          </w:p>
        </w:tc>
        <w:tc>
          <w:tcPr>
            <w:tcW w:w="935" w:type="dxa"/>
            <w:tcBorders>
              <w:tl2br w:val="nil"/>
              <w:tr2bl w:val="nil"/>
            </w:tcBorders>
            <w:vAlign w:val="center"/>
          </w:tcPr>
          <w:p w14:paraId="37954FC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14.29</w:t>
            </w:r>
          </w:p>
        </w:tc>
        <w:tc>
          <w:tcPr>
            <w:tcW w:w="534" w:type="dxa"/>
            <w:tcBorders>
              <w:tl2br w:val="nil"/>
              <w:tr2bl w:val="nil"/>
            </w:tcBorders>
            <w:vAlign w:val="center"/>
          </w:tcPr>
          <w:p w14:paraId="1084D05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7.51</w:t>
            </w:r>
          </w:p>
        </w:tc>
        <w:tc>
          <w:tcPr>
            <w:tcW w:w="890" w:type="dxa"/>
            <w:tcBorders>
              <w:tl2br w:val="nil"/>
              <w:tr2bl w:val="nil"/>
            </w:tcBorders>
            <w:vAlign w:val="center"/>
          </w:tcPr>
          <w:p w14:paraId="6E0ACE3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5.59</w:t>
            </w:r>
          </w:p>
        </w:tc>
        <w:tc>
          <w:tcPr>
            <w:tcW w:w="661" w:type="dxa"/>
            <w:tcBorders>
              <w:tl2br w:val="nil"/>
              <w:tr2bl w:val="nil"/>
            </w:tcBorders>
            <w:vAlign w:val="center"/>
          </w:tcPr>
          <w:p w14:paraId="327AF1F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3.66</w:t>
            </w:r>
          </w:p>
        </w:tc>
        <w:tc>
          <w:tcPr>
            <w:tcW w:w="812" w:type="dxa"/>
            <w:tcBorders>
              <w:tl2br w:val="nil"/>
              <w:tr2bl w:val="nil"/>
            </w:tcBorders>
            <w:vAlign w:val="center"/>
          </w:tcPr>
          <w:p w14:paraId="3DCD4F6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3.01</w:t>
            </w:r>
          </w:p>
        </w:tc>
        <w:tc>
          <w:tcPr>
            <w:tcW w:w="480" w:type="dxa"/>
            <w:tcBorders>
              <w:tl2br w:val="nil"/>
              <w:tr2bl w:val="nil"/>
            </w:tcBorders>
            <w:vAlign w:val="center"/>
          </w:tcPr>
          <w:p w14:paraId="46E72CE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6.83</w:t>
            </w:r>
          </w:p>
        </w:tc>
      </w:tr>
      <w:tr w14:paraId="4198921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68" w:type="dxa"/>
            <w:tcBorders>
              <w:tl2br w:val="nil"/>
              <w:tr2bl w:val="nil"/>
            </w:tcBorders>
            <w:vAlign w:val="center"/>
          </w:tcPr>
          <w:p w14:paraId="0865C0D3">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516" w:type="dxa"/>
            <w:tcBorders>
              <w:tl2br w:val="nil"/>
              <w:tr2bl w:val="nil"/>
            </w:tcBorders>
            <w:vAlign w:val="center"/>
          </w:tcPr>
          <w:p w14:paraId="78A15EE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w:t>
            </w:r>
          </w:p>
        </w:tc>
        <w:tc>
          <w:tcPr>
            <w:tcW w:w="778" w:type="dxa"/>
            <w:tcBorders>
              <w:tl2br w:val="nil"/>
              <w:tr2bl w:val="nil"/>
            </w:tcBorders>
            <w:vAlign w:val="center"/>
          </w:tcPr>
          <w:p w14:paraId="633072B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3.42</w:t>
            </w:r>
          </w:p>
        </w:tc>
        <w:tc>
          <w:tcPr>
            <w:tcW w:w="677" w:type="dxa"/>
            <w:tcBorders>
              <w:tl2br w:val="nil"/>
              <w:tr2bl w:val="nil"/>
            </w:tcBorders>
            <w:vAlign w:val="center"/>
          </w:tcPr>
          <w:p w14:paraId="7D41B45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3.78</w:t>
            </w:r>
          </w:p>
        </w:tc>
        <w:tc>
          <w:tcPr>
            <w:tcW w:w="755" w:type="dxa"/>
            <w:tcBorders>
              <w:tl2br w:val="nil"/>
              <w:tr2bl w:val="nil"/>
            </w:tcBorders>
            <w:vAlign w:val="center"/>
          </w:tcPr>
          <w:p w14:paraId="5A17AD4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3.52</w:t>
            </w:r>
          </w:p>
        </w:tc>
        <w:tc>
          <w:tcPr>
            <w:tcW w:w="567" w:type="dxa"/>
            <w:tcBorders>
              <w:tl2br w:val="nil"/>
              <w:tr2bl w:val="nil"/>
            </w:tcBorders>
            <w:vAlign w:val="center"/>
          </w:tcPr>
          <w:p w14:paraId="7F1F979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2.14</w:t>
            </w:r>
          </w:p>
        </w:tc>
        <w:tc>
          <w:tcPr>
            <w:tcW w:w="851" w:type="dxa"/>
            <w:tcBorders>
              <w:tl2br w:val="nil"/>
              <w:tr2bl w:val="nil"/>
            </w:tcBorders>
            <w:vAlign w:val="center"/>
          </w:tcPr>
          <w:p w14:paraId="673F612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1.18</w:t>
            </w:r>
          </w:p>
        </w:tc>
        <w:tc>
          <w:tcPr>
            <w:tcW w:w="723" w:type="dxa"/>
            <w:tcBorders>
              <w:tl2br w:val="nil"/>
              <w:tr2bl w:val="nil"/>
            </w:tcBorders>
            <w:vAlign w:val="center"/>
          </w:tcPr>
          <w:p w14:paraId="1002D556">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1.27</w:t>
            </w:r>
          </w:p>
        </w:tc>
        <w:tc>
          <w:tcPr>
            <w:tcW w:w="901" w:type="dxa"/>
            <w:tcBorders>
              <w:tl2br w:val="nil"/>
              <w:tr2bl w:val="nil"/>
            </w:tcBorders>
            <w:vAlign w:val="center"/>
          </w:tcPr>
          <w:p w14:paraId="511C827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1.19</w:t>
            </w:r>
          </w:p>
        </w:tc>
        <w:tc>
          <w:tcPr>
            <w:tcW w:w="608" w:type="dxa"/>
            <w:tcBorders>
              <w:tl2br w:val="nil"/>
              <w:tr2bl w:val="nil"/>
            </w:tcBorders>
            <w:vAlign w:val="center"/>
          </w:tcPr>
          <w:p w14:paraId="1D8656F3">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2.61</w:t>
            </w:r>
          </w:p>
        </w:tc>
        <w:tc>
          <w:tcPr>
            <w:tcW w:w="967" w:type="dxa"/>
            <w:tcBorders>
              <w:tl2br w:val="nil"/>
              <w:tr2bl w:val="nil"/>
            </w:tcBorders>
            <w:vAlign w:val="center"/>
          </w:tcPr>
          <w:p w14:paraId="63A2127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8.81</w:t>
            </w:r>
          </w:p>
        </w:tc>
        <w:tc>
          <w:tcPr>
            <w:tcW w:w="786" w:type="dxa"/>
            <w:tcBorders>
              <w:tl2br w:val="nil"/>
              <w:tr2bl w:val="nil"/>
            </w:tcBorders>
            <w:vAlign w:val="center"/>
          </w:tcPr>
          <w:p w14:paraId="5BF377A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17.19</w:t>
            </w:r>
          </w:p>
        </w:tc>
        <w:tc>
          <w:tcPr>
            <w:tcW w:w="935" w:type="dxa"/>
            <w:tcBorders>
              <w:tl2br w:val="nil"/>
              <w:tr2bl w:val="nil"/>
            </w:tcBorders>
            <w:vAlign w:val="center"/>
          </w:tcPr>
          <w:p w14:paraId="2E91F95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15.51</w:t>
            </w:r>
          </w:p>
        </w:tc>
        <w:tc>
          <w:tcPr>
            <w:tcW w:w="534" w:type="dxa"/>
            <w:tcBorders>
              <w:tl2br w:val="nil"/>
              <w:tr2bl w:val="nil"/>
            </w:tcBorders>
            <w:vAlign w:val="center"/>
          </w:tcPr>
          <w:p w14:paraId="3F64DFB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9.64</w:t>
            </w:r>
          </w:p>
        </w:tc>
        <w:tc>
          <w:tcPr>
            <w:tcW w:w="890" w:type="dxa"/>
            <w:tcBorders>
              <w:tl2br w:val="nil"/>
              <w:tr2bl w:val="nil"/>
            </w:tcBorders>
            <w:vAlign w:val="center"/>
          </w:tcPr>
          <w:p w14:paraId="4F95DF3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8.03</w:t>
            </w:r>
          </w:p>
        </w:tc>
        <w:tc>
          <w:tcPr>
            <w:tcW w:w="661" w:type="dxa"/>
            <w:tcBorders>
              <w:tl2br w:val="nil"/>
              <w:tr2bl w:val="nil"/>
            </w:tcBorders>
            <w:vAlign w:val="center"/>
          </w:tcPr>
          <w:p w14:paraId="0DD3976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5.34</w:t>
            </w:r>
          </w:p>
        </w:tc>
        <w:tc>
          <w:tcPr>
            <w:tcW w:w="812" w:type="dxa"/>
            <w:tcBorders>
              <w:tl2br w:val="nil"/>
              <w:tr2bl w:val="nil"/>
            </w:tcBorders>
            <w:vAlign w:val="center"/>
          </w:tcPr>
          <w:p w14:paraId="4B93510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3.73</w:t>
            </w:r>
          </w:p>
        </w:tc>
        <w:tc>
          <w:tcPr>
            <w:tcW w:w="480" w:type="dxa"/>
            <w:tcBorders>
              <w:tl2br w:val="nil"/>
              <w:tr2bl w:val="nil"/>
            </w:tcBorders>
            <w:vAlign w:val="center"/>
          </w:tcPr>
          <w:p w14:paraId="7B8A6EB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9.46</w:t>
            </w:r>
          </w:p>
        </w:tc>
      </w:tr>
      <w:tr w14:paraId="011B305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868" w:type="dxa"/>
            <w:tcBorders>
              <w:tl2br w:val="nil"/>
              <w:tr2bl w:val="nil"/>
            </w:tcBorders>
            <w:vAlign w:val="center"/>
          </w:tcPr>
          <w:p w14:paraId="472C430B">
            <w:pPr>
              <w:pStyle w:val="146"/>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516" w:type="dxa"/>
            <w:tcBorders>
              <w:tl2br w:val="nil"/>
              <w:tr2bl w:val="nil"/>
            </w:tcBorders>
            <w:vAlign w:val="center"/>
          </w:tcPr>
          <w:p w14:paraId="2BEDE86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778" w:type="dxa"/>
            <w:tcBorders>
              <w:tl2br w:val="nil"/>
              <w:tr2bl w:val="nil"/>
            </w:tcBorders>
            <w:vAlign w:val="center"/>
          </w:tcPr>
          <w:p w14:paraId="67268E8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3.76</w:t>
            </w:r>
          </w:p>
        </w:tc>
        <w:tc>
          <w:tcPr>
            <w:tcW w:w="677" w:type="dxa"/>
            <w:tcBorders>
              <w:tl2br w:val="nil"/>
              <w:tr2bl w:val="nil"/>
            </w:tcBorders>
            <w:vAlign w:val="center"/>
          </w:tcPr>
          <w:p w14:paraId="3F3B6749">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3.84</w:t>
            </w:r>
          </w:p>
        </w:tc>
        <w:tc>
          <w:tcPr>
            <w:tcW w:w="755" w:type="dxa"/>
            <w:tcBorders>
              <w:tl2br w:val="nil"/>
              <w:tr2bl w:val="nil"/>
            </w:tcBorders>
            <w:vAlign w:val="center"/>
          </w:tcPr>
          <w:p w14:paraId="7C09529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4.15</w:t>
            </w:r>
          </w:p>
        </w:tc>
        <w:tc>
          <w:tcPr>
            <w:tcW w:w="567" w:type="dxa"/>
            <w:tcBorders>
              <w:tl2br w:val="nil"/>
              <w:tr2bl w:val="nil"/>
            </w:tcBorders>
            <w:vAlign w:val="center"/>
          </w:tcPr>
          <w:p w14:paraId="3F86C7C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2.54</w:t>
            </w:r>
          </w:p>
        </w:tc>
        <w:tc>
          <w:tcPr>
            <w:tcW w:w="851" w:type="dxa"/>
            <w:tcBorders>
              <w:tl2br w:val="nil"/>
              <w:tr2bl w:val="nil"/>
            </w:tcBorders>
            <w:vAlign w:val="center"/>
          </w:tcPr>
          <w:p w14:paraId="3E51F15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1.42</w:t>
            </w:r>
          </w:p>
        </w:tc>
        <w:tc>
          <w:tcPr>
            <w:tcW w:w="723" w:type="dxa"/>
            <w:tcBorders>
              <w:tl2br w:val="nil"/>
              <w:tr2bl w:val="nil"/>
            </w:tcBorders>
            <w:vAlign w:val="center"/>
          </w:tcPr>
          <w:p w14:paraId="54C7A2B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0.79</w:t>
            </w:r>
          </w:p>
        </w:tc>
        <w:tc>
          <w:tcPr>
            <w:tcW w:w="901" w:type="dxa"/>
            <w:tcBorders>
              <w:tl2br w:val="nil"/>
              <w:tr2bl w:val="nil"/>
            </w:tcBorders>
            <w:vAlign w:val="center"/>
          </w:tcPr>
          <w:p w14:paraId="221D1CB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0.93</w:t>
            </w:r>
          </w:p>
        </w:tc>
        <w:tc>
          <w:tcPr>
            <w:tcW w:w="608" w:type="dxa"/>
            <w:tcBorders>
              <w:tl2br w:val="nil"/>
              <w:tr2bl w:val="nil"/>
            </w:tcBorders>
            <w:vAlign w:val="center"/>
          </w:tcPr>
          <w:p w14:paraId="146AB34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2.32</w:t>
            </w:r>
          </w:p>
        </w:tc>
        <w:tc>
          <w:tcPr>
            <w:tcW w:w="967" w:type="dxa"/>
            <w:tcBorders>
              <w:tl2br w:val="nil"/>
              <w:tr2bl w:val="nil"/>
            </w:tcBorders>
            <w:vAlign w:val="center"/>
          </w:tcPr>
          <w:p w14:paraId="26ADC05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8.03</w:t>
            </w:r>
          </w:p>
        </w:tc>
        <w:tc>
          <w:tcPr>
            <w:tcW w:w="786" w:type="dxa"/>
            <w:tcBorders>
              <w:tl2br w:val="nil"/>
              <w:tr2bl w:val="nil"/>
            </w:tcBorders>
            <w:vAlign w:val="center"/>
          </w:tcPr>
          <w:p w14:paraId="2F6A0C2F">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19.44</w:t>
            </w:r>
          </w:p>
        </w:tc>
        <w:tc>
          <w:tcPr>
            <w:tcW w:w="935" w:type="dxa"/>
            <w:tcBorders>
              <w:tl2br w:val="nil"/>
              <w:tr2bl w:val="nil"/>
            </w:tcBorders>
            <w:vAlign w:val="center"/>
          </w:tcPr>
          <w:p w14:paraId="37C8CDF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16.63</w:t>
            </w:r>
          </w:p>
        </w:tc>
        <w:tc>
          <w:tcPr>
            <w:tcW w:w="534" w:type="dxa"/>
            <w:tcBorders>
              <w:tl2br w:val="nil"/>
              <w:tr2bl w:val="nil"/>
            </w:tcBorders>
            <w:vAlign w:val="center"/>
          </w:tcPr>
          <w:p w14:paraId="0812BCD0">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9.67</w:t>
            </w:r>
          </w:p>
        </w:tc>
        <w:tc>
          <w:tcPr>
            <w:tcW w:w="890" w:type="dxa"/>
            <w:tcBorders>
              <w:tl2br w:val="nil"/>
              <w:tr2bl w:val="nil"/>
            </w:tcBorders>
            <w:vAlign w:val="center"/>
          </w:tcPr>
          <w:p w14:paraId="01D8E94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w:t>
            </w:r>
          </w:p>
        </w:tc>
        <w:tc>
          <w:tcPr>
            <w:tcW w:w="661" w:type="dxa"/>
            <w:tcBorders>
              <w:tl2br w:val="nil"/>
              <w:tr2bl w:val="nil"/>
            </w:tcBorders>
            <w:vAlign w:val="center"/>
          </w:tcPr>
          <w:p w14:paraId="12B698D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3.72</w:t>
            </w:r>
          </w:p>
        </w:tc>
        <w:tc>
          <w:tcPr>
            <w:tcW w:w="812" w:type="dxa"/>
            <w:tcBorders>
              <w:tl2br w:val="nil"/>
              <w:tr2bl w:val="nil"/>
            </w:tcBorders>
            <w:vAlign w:val="center"/>
          </w:tcPr>
          <w:p w14:paraId="56CF344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3.03</w:t>
            </w:r>
          </w:p>
        </w:tc>
        <w:tc>
          <w:tcPr>
            <w:tcW w:w="480" w:type="dxa"/>
            <w:tcBorders>
              <w:tl2br w:val="nil"/>
              <w:tr2bl w:val="nil"/>
            </w:tcBorders>
            <w:vAlign w:val="center"/>
          </w:tcPr>
          <w:p w14:paraId="2A2BEF1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10.28</w:t>
            </w:r>
          </w:p>
        </w:tc>
      </w:tr>
      <w:tr w14:paraId="587604C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91" w:hRule="atLeast"/>
        </w:trPr>
        <w:tc>
          <w:tcPr>
            <w:tcW w:w="868" w:type="dxa"/>
            <w:tcBorders>
              <w:tl2br w:val="nil"/>
              <w:tr2bl w:val="nil"/>
            </w:tcBorders>
            <w:vAlign w:val="center"/>
          </w:tcPr>
          <w:p w14:paraId="62098AB2">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516" w:type="dxa"/>
            <w:tcBorders>
              <w:tl2br w:val="nil"/>
              <w:tr2bl w:val="nil"/>
            </w:tcBorders>
            <w:vAlign w:val="center"/>
          </w:tcPr>
          <w:p w14:paraId="46B106F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w:t>
            </w:r>
          </w:p>
        </w:tc>
        <w:tc>
          <w:tcPr>
            <w:tcW w:w="778" w:type="dxa"/>
            <w:tcBorders>
              <w:tl2br w:val="nil"/>
              <w:tr2bl w:val="nil"/>
            </w:tcBorders>
            <w:vAlign w:val="center"/>
          </w:tcPr>
          <w:p w14:paraId="6230645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2.62</w:t>
            </w:r>
          </w:p>
        </w:tc>
        <w:tc>
          <w:tcPr>
            <w:tcW w:w="677" w:type="dxa"/>
            <w:tcBorders>
              <w:tl2br w:val="nil"/>
              <w:tr2bl w:val="nil"/>
            </w:tcBorders>
            <w:vAlign w:val="center"/>
          </w:tcPr>
          <w:p w14:paraId="699127B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w:t>
            </w:r>
          </w:p>
        </w:tc>
        <w:tc>
          <w:tcPr>
            <w:tcW w:w="755" w:type="dxa"/>
            <w:tcBorders>
              <w:tl2br w:val="nil"/>
              <w:tr2bl w:val="nil"/>
            </w:tcBorders>
            <w:vAlign w:val="center"/>
          </w:tcPr>
          <w:p w14:paraId="71B647FB">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3.09</w:t>
            </w:r>
          </w:p>
        </w:tc>
        <w:tc>
          <w:tcPr>
            <w:tcW w:w="567" w:type="dxa"/>
            <w:tcBorders>
              <w:tl2br w:val="nil"/>
              <w:tr2bl w:val="nil"/>
            </w:tcBorders>
            <w:vAlign w:val="center"/>
          </w:tcPr>
          <w:p w14:paraId="48EE80E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2.59</w:t>
            </w:r>
          </w:p>
        </w:tc>
        <w:tc>
          <w:tcPr>
            <w:tcW w:w="851" w:type="dxa"/>
            <w:tcBorders>
              <w:tl2br w:val="nil"/>
              <w:tr2bl w:val="nil"/>
            </w:tcBorders>
            <w:vAlign w:val="center"/>
          </w:tcPr>
          <w:p w14:paraId="42D69CD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w:t>
            </w:r>
          </w:p>
        </w:tc>
        <w:tc>
          <w:tcPr>
            <w:tcW w:w="723" w:type="dxa"/>
            <w:tcBorders>
              <w:tl2br w:val="nil"/>
              <w:tr2bl w:val="nil"/>
            </w:tcBorders>
            <w:vAlign w:val="center"/>
          </w:tcPr>
          <w:p w14:paraId="1B8A1F5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0.97</w:t>
            </w:r>
          </w:p>
        </w:tc>
        <w:tc>
          <w:tcPr>
            <w:tcW w:w="901" w:type="dxa"/>
            <w:tcBorders>
              <w:tl2br w:val="nil"/>
              <w:tr2bl w:val="nil"/>
            </w:tcBorders>
            <w:vAlign w:val="center"/>
          </w:tcPr>
          <w:p w14:paraId="3C1AF7B1">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0.84</w:t>
            </w:r>
          </w:p>
        </w:tc>
        <w:tc>
          <w:tcPr>
            <w:tcW w:w="608" w:type="dxa"/>
            <w:tcBorders>
              <w:tl2br w:val="nil"/>
              <w:tr2bl w:val="nil"/>
            </w:tcBorders>
            <w:vAlign w:val="center"/>
          </w:tcPr>
          <w:p w14:paraId="369667F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2.18</w:t>
            </w:r>
          </w:p>
        </w:tc>
        <w:tc>
          <w:tcPr>
            <w:tcW w:w="967" w:type="dxa"/>
            <w:tcBorders>
              <w:tl2br w:val="nil"/>
              <w:tr2bl w:val="nil"/>
            </w:tcBorders>
            <w:vAlign w:val="center"/>
          </w:tcPr>
          <w:p w14:paraId="19F5F7A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7.47</w:t>
            </w:r>
          </w:p>
        </w:tc>
        <w:tc>
          <w:tcPr>
            <w:tcW w:w="786" w:type="dxa"/>
            <w:tcBorders>
              <w:tl2br w:val="nil"/>
              <w:tr2bl w:val="nil"/>
            </w:tcBorders>
            <w:vAlign w:val="center"/>
          </w:tcPr>
          <w:p w14:paraId="1F2FFAD8">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20.71</w:t>
            </w:r>
          </w:p>
        </w:tc>
        <w:tc>
          <w:tcPr>
            <w:tcW w:w="935" w:type="dxa"/>
            <w:tcBorders>
              <w:tl2br w:val="nil"/>
              <w:tr2bl w:val="nil"/>
            </w:tcBorders>
            <w:vAlign w:val="center"/>
          </w:tcPr>
          <w:p w14:paraId="0F9A6EBA">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17.28</w:t>
            </w:r>
          </w:p>
        </w:tc>
        <w:tc>
          <w:tcPr>
            <w:tcW w:w="534" w:type="dxa"/>
            <w:tcBorders>
              <w:tl2br w:val="nil"/>
              <w:tr2bl w:val="nil"/>
            </w:tcBorders>
            <w:vAlign w:val="center"/>
          </w:tcPr>
          <w:p w14:paraId="1C5D361D">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10.36</w:t>
            </w:r>
          </w:p>
        </w:tc>
        <w:tc>
          <w:tcPr>
            <w:tcW w:w="890" w:type="dxa"/>
            <w:tcBorders>
              <w:tl2br w:val="nil"/>
              <w:tr2bl w:val="nil"/>
            </w:tcBorders>
            <w:vAlign w:val="center"/>
          </w:tcPr>
          <w:p w14:paraId="599BA77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4.44</w:t>
            </w:r>
          </w:p>
        </w:tc>
        <w:tc>
          <w:tcPr>
            <w:tcW w:w="661" w:type="dxa"/>
            <w:tcBorders>
              <w:tl2br w:val="nil"/>
              <w:tr2bl w:val="nil"/>
            </w:tcBorders>
            <w:vAlign w:val="center"/>
          </w:tcPr>
          <w:p w14:paraId="56556E74">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2.74</w:t>
            </w:r>
          </w:p>
        </w:tc>
        <w:tc>
          <w:tcPr>
            <w:tcW w:w="812" w:type="dxa"/>
            <w:tcBorders>
              <w:tl2br w:val="nil"/>
              <w:tr2bl w:val="nil"/>
            </w:tcBorders>
            <w:vAlign w:val="center"/>
          </w:tcPr>
          <w:p w14:paraId="3F09644E">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2.38</w:t>
            </w:r>
          </w:p>
        </w:tc>
        <w:tc>
          <w:tcPr>
            <w:tcW w:w="480" w:type="dxa"/>
            <w:tcBorders>
              <w:tl2br w:val="nil"/>
              <w:tr2bl w:val="nil"/>
            </w:tcBorders>
            <w:vAlign w:val="center"/>
          </w:tcPr>
          <w:p w14:paraId="7034B615">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14.62</w:t>
            </w:r>
          </w:p>
        </w:tc>
      </w:tr>
    </w:tbl>
    <w:p w14:paraId="4D0D3DEE">
      <w:pPr>
        <w:pStyle w:val="19"/>
        <w:rPr>
          <w:color w:val="auto"/>
          <w:highlight w:val="none"/>
        </w:rPr>
      </w:pPr>
      <w:r>
        <w:rPr>
          <w:rFonts w:ascii="宋体" w:hAnsi="宋体" w:eastAsia="宋体" w:cs="宋体"/>
          <w:color w:val="auto"/>
          <w:spacing w:val="4"/>
          <w:sz w:val="20"/>
          <w:szCs w:val="20"/>
          <w:highlight w:val="none"/>
        </w:rPr>
        <w:t>注：</w:t>
      </w:r>
      <w:r>
        <w:rPr>
          <w:rFonts w:ascii="Times New Roman" w:hAnsi="Times New Roman" w:eastAsia="Times New Roman" w:cs="Times New Roman"/>
          <w:color w:val="auto"/>
          <w:spacing w:val="4"/>
          <w:sz w:val="20"/>
          <w:szCs w:val="20"/>
          <w:highlight w:val="none"/>
        </w:rPr>
        <w:t>3</w:t>
      </w:r>
      <w:r>
        <w:rPr>
          <w:rFonts w:ascii="宋体" w:hAnsi="宋体" w:eastAsia="宋体" w:cs="宋体"/>
          <w:color w:val="auto"/>
          <w:spacing w:val="4"/>
          <w:sz w:val="20"/>
          <w:szCs w:val="20"/>
          <w:highlight w:val="none"/>
        </w:rPr>
        <w:t>、</w:t>
      </w:r>
      <w:r>
        <w:rPr>
          <w:rFonts w:ascii="Times New Roman" w:hAnsi="Times New Roman" w:eastAsia="Times New Roman" w:cs="Times New Roman"/>
          <w:color w:val="auto"/>
          <w:spacing w:val="4"/>
          <w:sz w:val="20"/>
          <w:szCs w:val="20"/>
          <w:highlight w:val="none"/>
        </w:rPr>
        <w:t>4</w:t>
      </w:r>
      <w:r>
        <w:rPr>
          <w:rFonts w:ascii="宋体" w:hAnsi="宋体" w:eastAsia="宋体" w:cs="宋体"/>
          <w:color w:val="auto"/>
          <w:spacing w:val="4"/>
          <w:sz w:val="20"/>
          <w:szCs w:val="20"/>
          <w:highlight w:val="none"/>
        </w:rPr>
        <w:t>、</w:t>
      </w:r>
      <w:r>
        <w:rPr>
          <w:rFonts w:ascii="Times New Roman" w:hAnsi="Times New Roman" w:eastAsia="Times New Roman" w:cs="Times New Roman"/>
          <w:color w:val="auto"/>
          <w:spacing w:val="4"/>
          <w:sz w:val="20"/>
          <w:szCs w:val="20"/>
          <w:highlight w:val="none"/>
        </w:rPr>
        <w:t>5</w:t>
      </w:r>
      <w:r>
        <w:rPr>
          <w:rFonts w:ascii="宋体" w:hAnsi="宋体" w:eastAsia="宋体" w:cs="宋体"/>
          <w:color w:val="auto"/>
          <w:spacing w:val="4"/>
          <w:sz w:val="20"/>
          <w:szCs w:val="20"/>
          <w:highlight w:val="none"/>
        </w:rPr>
        <w:t>月为春季，</w:t>
      </w:r>
      <w:r>
        <w:rPr>
          <w:rFonts w:ascii="Times New Roman" w:hAnsi="Times New Roman" w:eastAsia="Times New Roman" w:cs="Times New Roman"/>
          <w:color w:val="auto"/>
          <w:spacing w:val="4"/>
          <w:sz w:val="20"/>
          <w:szCs w:val="20"/>
          <w:highlight w:val="none"/>
        </w:rPr>
        <w:t>6</w:t>
      </w:r>
      <w:r>
        <w:rPr>
          <w:rFonts w:ascii="宋体" w:hAnsi="宋体" w:eastAsia="宋体" w:cs="宋体"/>
          <w:color w:val="auto"/>
          <w:spacing w:val="4"/>
          <w:sz w:val="20"/>
          <w:szCs w:val="20"/>
          <w:highlight w:val="none"/>
        </w:rPr>
        <w:t>、</w:t>
      </w:r>
      <w:r>
        <w:rPr>
          <w:rFonts w:ascii="Times New Roman" w:hAnsi="Times New Roman" w:eastAsia="Times New Roman" w:cs="Times New Roman"/>
          <w:color w:val="auto"/>
          <w:spacing w:val="4"/>
          <w:sz w:val="20"/>
          <w:szCs w:val="20"/>
          <w:highlight w:val="none"/>
        </w:rPr>
        <w:t>7</w:t>
      </w:r>
      <w:r>
        <w:rPr>
          <w:rFonts w:ascii="宋体" w:hAnsi="宋体" w:eastAsia="宋体" w:cs="宋体"/>
          <w:color w:val="auto"/>
          <w:spacing w:val="4"/>
          <w:sz w:val="20"/>
          <w:szCs w:val="20"/>
          <w:highlight w:val="none"/>
        </w:rPr>
        <w:t>、</w:t>
      </w:r>
      <w:r>
        <w:rPr>
          <w:rFonts w:ascii="Times New Roman" w:hAnsi="Times New Roman" w:eastAsia="Times New Roman" w:cs="Times New Roman"/>
          <w:color w:val="auto"/>
          <w:spacing w:val="4"/>
          <w:sz w:val="20"/>
          <w:szCs w:val="20"/>
          <w:highlight w:val="none"/>
        </w:rPr>
        <w:t>8</w:t>
      </w:r>
      <w:r>
        <w:rPr>
          <w:rFonts w:ascii="宋体" w:hAnsi="宋体" w:eastAsia="宋体" w:cs="宋体"/>
          <w:color w:val="auto"/>
          <w:spacing w:val="4"/>
          <w:sz w:val="20"/>
          <w:szCs w:val="20"/>
          <w:highlight w:val="none"/>
        </w:rPr>
        <w:t>月为夏季</w:t>
      </w:r>
      <w:r>
        <w:rPr>
          <w:rFonts w:ascii="宋体" w:hAnsi="宋体" w:eastAsia="宋体" w:cs="宋体"/>
          <w:color w:val="auto"/>
          <w:spacing w:val="3"/>
          <w:sz w:val="20"/>
          <w:szCs w:val="20"/>
          <w:highlight w:val="none"/>
        </w:rPr>
        <w:t>，</w:t>
      </w:r>
      <w:r>
        <w:rPr>
          <w:rFonts w:ascii="Times New Roman" w:hAnsi="Times New Roman" w:eastAsia="Times New Roman" w:cs="Times New Roman"/>
          <w:color w:val="auto"/>
          <w:spacing w:val="3"/>
          <w:sz w:val="20"/>
          <w:szCs w:val="20"/>
          <w:highlight w:val="none"/>
        </w:rPr>
        <w:t>9</w:t>
      </w:r>
      <w:r>
        <w:rPr>
          <w:rFonts w:ascii="宋体" w:hAnsi="宋体" w:eastAsia="宋体" w:cs="宋体"/>
          <w:color w:val="auto"/>
          <w:spacing w:val="3"/>
          <w:sz w:val="20"/>
          <w:szCs w:val="20"/>
          <w:highlight w:val="none"/>
        </w:rPr>
        <w:t>、</w:t>
      </w:r>
      <w:r>
        <w:rPr>
          <w:rFonts w:ascii="Times New Roman" w:hAnsi="Times New Roman" w:eastAsia="Times New Roman" w:cs="Times New Roman"/>
          <w:color w:val="auto"/>
          <w:spacing w:val="3"/>
          <w:sz w:val="20"/>
          <w:szCs w:val="20"/>
          <w:highlight w:val="none"/>
        </w:rPr>
        <w:t>10</w:t>
      </w:r>
      <w:r>
        <w:rPr>
          <w:rFonts w:ascii="宋体" w:hAnsi="宋体" w:eastAsia="宋体" w:cs="宋体"/>
          <w:color w:val="auto"/>
          <w:spacing w:val="3"/>
          <w:sz w:val="20"/>
          <w:szCs w:val="20"/>
          <w:highlight w:val="none"/>
        </w:rPr>
        <w:t>为秋季，</w:t>
      </w:r>
      <w:r>
        <w:rPr>
          <w:rFonts w:ascii="Times New Roman" w:hAnsi="Times New Roman" w:eastAsia="Times New Roman" w:cs="Times New Roman"/>
          <w:color w:val="auto"/>
          <w:spacing w:val="3"/>
          <w:sz w:val="20"/>
          <w:szCs w:val="20"/>
          <w:highlight w:val="none"/>
        </w:rPr>
        <w:t>11</w:t>
      </w:r>
      <w:r>
        <w:rPr>
          <w:rFonts w:ascii="宋体" w:hAnsi="宋体" w:eastAsia="宋体" w:cs="宋体"/>
          <w:color w:val="auto"/>
          <w:spacing w:val="3"/>
          <w:sz w:val="20"/>
          <w:szCs w:val="20"/>
          <w:highlight w:val="none"/>
        </w:rPr>
        <w:t>、</w:t>
      </w:r>
      <w:r>
        <w:rPr>
          <w:rFonts w:ascii="Times New Roman" w:hAnsi="Times New Roman" w:eastAsia="Times New Roman" w:cs="Times New Roman"/>
          <w:color w:val="auto"/>
          <w:spacing w:val="3"/>
          <w:sz w:val="20"/>
          <w:szCs w:val="20"/>
          <w:highlight w:val="none"/>
        </w:rPr>
        <w:t>12</w:t>
      </w:r>
      <w:r>
        <w:rPr>
          <w:rFonts w:ascii="宋体" w:hAnsi="宋体" w:eastAsia="宋体" w:cs="宋体"/>
          <w:color w:val="auto"/>
          <w:spacing w:val="3"/>
          <w:sz w:val="20"/>
          <w:szCs w:val="20"/>
          <w:highlight w:val="none"/>
        </w:rPr>
        <w:t>、</w:t>
      </w:r>
      <w:r>
        <w:rPr>
          <w:rFonts w:ascii="Times New Roman" w:hAnsi="Times New Roman" w:eastAsia="Times New Roman" w:cs="Times New Roman"/>
          <w:color w:val="auto"/>
          <w:spacing w:val="3"/>
          <w:sz w:val="20"/>
          <w:szCs w:val="20"/>
          <w:highlight w:val="none"/>
        </w:rPr>
        <w:t>1</w:t>
      </w:r>
      <w:r>
        <w:rPr>
          <w:rFonts w:ascii="宋体" w:hAnsi="宋体" w:eastAsia="宋体" w:cs="宋体"/>
          <w:color w:val="auto"/>
          <w:spacing w:val="3"/>
          <w:sz w:val="20"/>
          <w:szCs w:val="20"/>
          <w:highlight w:val="none"/>
        </w:rPr>
        <w:t>、</w:t>
      </w:r>
      <w:r>
        <w:rPr>
          <w:rFonts w:ascii="Times New Roman" w:hAnsi="Times New Roman" w:eastAsia="Times New Roman" w:cs="Times New Roman"/>
          <w:color w:val="auto"/>
          <w:spacing w:val="3"/>
          <w:sz w:val="20"/>
          <w:szCs w:val="20"/>
          <w:highlight w:val="none"/>
        </w:rPr>
        <w:t>2</w:t>
      </w:r>
      <w:r>
        <w:rPr>
          <w:rFonts w:ascii="宋体" w:hAnsi="宋体" w:eastAsia="宋体" w:cs="宋体"/>
          <w:color w:val="auto"/>
          <w:spacing w:val="3"/>
          <w:sz w:val="20"/>
          <w:szCs w:val="20"/>
          <w:highlight w:val="none"/>
        </w:rPr>
        <w:t>为冬季。</w:t>
      </w:r>
    </w:p>
    <w:p w14:paraId="04C30094">
      <w:pPr>
        <w:rPr>
          <w:color w:val="auto"/>
          <w:highlight w:val="none"/>
        </w:rPr>
        <w:sectPr>
          <w:headerReference r:id="rId14" w:type="default"/>
          <w:footerReference r:id="rId15" w:type="default"/>
          <w:pgSz w:w="16840" w:h="11907"/>
          <w:pgMar w:top="1751" w:right="1688" w:bottom="1290" w:left="1687" w:header="1377" w:footer="1074" w:gutter="0"/>
          <w:pgBorders>
            <w:top w:val="none" w:sz="0" w:space="0"/>
            <w:left w:val="none" w:sz="0" w:space="0"/>
            <w:bottom w:val="none" w:sz="0" w:space="0"/>
            <w:right w:val="none" w:sz="0" w:space="0"/>
          </w:pgBorders>
          <w:cols w:space="720" w:num="1"/>
        </w:sectPr>
      </w:pPr>
    </w:p>
    <w:p w14:paraId="2360E952">
      <w:pPr>
        <w:spacing w:line="106" w:lineRule="exact"/>
        <w:rPr>
          <w:color w:val="auto"/>
          <w:highlight w:val="none"/>
        </w:rPr>
      </w:pPr>
    </w:p>
    <w:p w14:paraId="30562DF7">
      <w:pPr>
        <w:spacing w:before="253" w:line="219" w:lineRule="auto"/>
        <w:ind w:left="8"/>
        <w:outlineLvl w:val="3"/>
        <w:rPr>
          <w:rFonts w:ascii="宋体" w:hAnsi="宋体" w:eastAsia="宋体" w:cs="宋体"/>
          <w:color w:val="auto"/>
          <w:sz w:val="24"/>
          <w:szCs w:val="24"/>
          <w:highlight w:val="none"/>
        </w:rPr>
      </w:pPr>
      <w:r>
        <w:rPr>
          <w:rFonts w:ascii="Times New Roman" w:hAnsi="Times New Roman" w:eastAsia="Times New Roman" w:cs="Times New Roman"/>
          <w:b/>
          <w:bCs/>
          <w:color w:val="auto"/>
          <w:spacing w:val="-2"/>
          <w:sz w:val="24"/>
          <w:szCs w:val="24"/>
          <w:highlight w:val="none"/>
        </w:rPr>
        <w:t>5.2.1.2</w:t>
      </w:r>
      <w:r>
        <w:rPr>
          <w:rFonts w:ascii="宋体" w:hAnsi="宋体" w:eastAsia="宋体" w:cs="宋体"/>
          <w:b/>
          <w:bCs/>
          <w:color w:val="auto"/>
          <w:spacing w:val="-2"/>
          <w:sz w:val="24"/>
          <w:szCs w:val="24"/>
          <w:highlight w:val="none"/>
        </w:rPr>
        <w:t>近一年地面气象资料统计</w:t>
      </w:r>
    </w:p>
    <w:p w14:paraId="1B7CEDCA">
      <w:pPr>
        <w:spacing w:before="179" w:line="353" w:lineRule="auto"/>
        <w:ind w:left="5" w:firstLine="485"/>
        <w:jc w:val="both"/>
        <w:rPr>
          <w:rFonts w:ascii="Times New Roman" w:hAnsi="Times New Roman" w:eastAsia="Times New Roman" w:cs="Times New Roman"/>
          <w:color w:val="auto"/>
          <w:spacing w:val="-4"/>
          <w:sz w:val="24"/>
          <w:szCs w:val="24"/>
          <w:highlight w:val="none"/>
        </w:rPr>
      </w:pPr>
      <w:r>
        <w:rPr>
          <w:rFonts w:ascii="宋体" w:hAnsi="宋体" w:eastAsia="宋体" w:cs="宋体"/>
          <w:color w:val="auto"/>
          <w:spacing w:val="-4"/>
          <w:sz w:val="24"/>
          <w:szCs w:val="24"/>
          <w:highlight w:val="none"/>
        </w:rPr>
        <w:t>本项目地面观测资料采用气象局提供的</w:t>
      </w:r>
      <w:r>
        <w:rPr>
          <w:rFonts w:ascii="Times New Roman" w:hAnsi="Times New Roman" w:eastAsia="Times New Roman" w:cs="Times New Roman"/>
          <w:color w:val="auto"/>
          <w:spacing w:val="-4"/>
          <w:sz w:val="24"/>
          <w:szCs w:val="24"/>
          <w:highlight w:val="none"/>
        </w:rPr>
        <w:t>2025</w:t>
      </w:r>
      <w:r>
        <w:rPr>
          <w:rFonts w:ascii="宋体" w:hAnsi="宋体" w:eastAsia="宋体" w:cs="宋体"/>
          <w:color w:val="auto"/>
          <w:spacing w:val="-4"/>
          <w:sz w:val="24"/>
          <w:szCs w:val="24"/>
          <w:highlight w:val="none"/>
        </w:rPr>
        <w:t>年</w:t>
      </w:r>
      <w:r>
        <w:rPr>
          <w:rFonts w:ascii="Times New Roman" w:hAnsi="Times New Roman" w:eastAsia="Times New Roman" w:cs="Times New Roman"/>
          <w:color w:val="auto"/>
          <w:spacing w:val="-4"/>
          <w:sz w:val="24"/>
          <w:szCs w:val="24"/>
          <w:highlight w:val="none"/>
        </w:rPr>
        <w:t>1</w:t>
      </w:r>
      <w:r>
        <w:rPr>
          <w:rFonts w:ascii="宋体" w:hAnsi="宋体" w:eastAsia="宋体" w:cs="宋体"/>
          <w:color w:val="auto"/>
          <w:spacing w:val="-5"/>
          <w:sz w:val="24"/>
          <w:szCs w:val="24"/>
          <w:highlight w:val="none"/>
        </w:rPr>
        <w:t>月至</w:t>
      </w:r>
      <w:r>
        <w:rPr>
          <w:rFonts w:ascii="Times New Roman" w:hAnsi="Times New Roman" w:eastAsia="Times New Roman" w:cs="Times New Roman"/>
          <w:color w:val="auto"/>
          <w:spacing w:val="-5"/>
          <w:sz w:val="24"/>
          <w:szCs w:val="24"/>
          <w:highlight w:val="none"/>
        </w:rPr>
        <w:t>2025</w:t>
      </w:r>
      <w:r>
        <w:rPr>
          <w:rFonts w:ascii="宋体" w:hAnsi="宋体" w:eastAsia="宋体" w:cs="宋体"/>
          <w:color w:val="auto"/>
          <w:spacing w:val="-5"/>
          <w:sz w:val="24"/>
          <w:szCs w:val="24"/>
          <w:highlight w:val="none"/>
        </w:rPr>
        <w:t>年</w:t>
      </w:r>
      <w:r>
        <w:rPr>
          <w:rFonts w:ascii="Times New Roman" w:hAnsi="Times New Roman" w:eastAsia="Times New Roman" w:cs="Times New Roman"/>
          <w:color w:val="auto"/>
          <w:spacing w:val="-5"/>
          <w:sz w:val="24"/>
          <w:szCs w:val="24"/>
          <w:highlight w:val="none"/>
        </w:rPr>
        <w:t>12</w:t>
      </w:r>
      <w:r>
        <w:rPr>
          <w:rFonts w:ascii="宋体" w:hAnsi="宋体" w:eastAsia="宋体" w:cs="宋体"/>
          <w:color w:val="auto"/>
          <w:spacing w:val="-5"/>
          <w:sz w:val="24"/>
          <w:szCs w:val="24"/>
          <w:highlight w:val="none"/>
        </w:rPr>
        <w:t>月全年风速、</w:t>
      </w:r>
      <w:r>
        <w:rPr>
          <w:rFonts w:ascii="宋体" w:hAnsi="宋体" w:eastAsia="宋体" w:cs="宋体"/>
          <w:color w:val="auto"/>
          <w:spacing w:val="3"/>
          <w:sz w:val="24"/>
          <w:szCs w:val="24"/>
          <w:highlight w:val="none"/>
        </w:rPr>
        <w:t>风向、干球温度、露点温度、相对湿度、气压观测资料以及</w:t>
      </w:r>
      <w:r>
        <w:rPr>
          <w:rFonts w:ascii="宋体" w:hAnsi="宋体" w:eastAsia="宋体" w:cs="宋体"/>
          <w:color w:val="auto"/>
          <w:spacing w:val="2"/>
          <w:sz w:val="24"/>
          <w:szCs w:val="24"/>
          <w:highlight w:val="none"/>
        </w:rPr>
        <w:t>观测的总云和低云资</w:t>
      </w:r>
      <w:r>
        <w:rPr>
          <w:rFonts w:ascii="宋体" w:hAnsi="宋体" w:eastAsia="宋体" w:cs="宋体"/>
          <w:color w:val="auto"/>
          <w:spacing w:val="-4"/>
          <w:sz w:val="24"/>
          <w:szCs w:val="24"/>
          <w:highlight w:val="none"/>
        </w:rPr>
        <w:t>料进行统计分析。统计分</w:t>
      </w:r>
      <w:r>
        <w:rPr>
          <w:rFonts w:ascii="Times New Roman" w:hAnsi="Times New Roman" w:eastAsia="Times New Roman" w:cs="Times New Roman"/>
          <w:color w:val="auto"/>
          <w:spacing w:val="-4"/>
          <w:sz w:val="24"/>
          <w:szCs w:val="24"/>
          <w:highlight w:val="none"/>
        </w:rPr>
        <w:t>析结果表明，2025年评价区域平均温度</w:t>
      </w:r>
      <w:r>
        <w:rPr>
          <w:rFonts w:hint="eastAsia" w:ascii="Times New Roman" w:hAnsi="Times New Roman" w:eastAsia="Times New Roman" w:cs="Times New Roman"/>
          <w:color w:val="auto"/>
          <w:spacing w:val="-4"/>
          <w:sz w:val="24"/>
          <w:szCs w:val="24"/>
          <w:highlight w:val="none"/>
          <w:lang w:val="en-US" w:eastAsia="zh-CN"/>
        </w:rPr>
        <w:t>1.41</w:t>
      </w:r>
      <w:r>
        <w:rPr>
          <w:rFonts w:ascii="Times New Roman" w:hAnsi="Times New Roman" w:eastAsia="Times New Roman" w:cs="Times New Roman"/>
          <w:color w:val="auto"/>
          <w:spacing w:val="-4"/>
          <w:sz w:val="24"/>
          <w:szCs w:val="24"/>
          <w:highlight w:val="none"/>
        </w:rPr>
        <w:t>℃</w:t>
      </w:r>
      <w:r>
        <w:rPr>
          <w:rFonts w:hint="eastAsia" w:ascii="Times New Roman" w:hAnsi="Times New Roman" w:eastAsia="宋体" w:cs="Times New Roman"/>
          <w:color w:val="auto"/>
          <w:spacing w:val="-4"/>
          <w:sz w:val="24"/>
          <w:szCs w:val="24"/>
          <w:highlight w:val="none"/>
          <w:lang w:eastAsia="zh-CN"/>
        </w:rPr>
        <w:t>，</w:t>
      </w:r>
      <w:r>
        <w:rPr>
          <w:rFonts w:ascii="Times New Roman" w:hAnsi="Times New Roman" w:eastAsia="Times New Roman" w:cs="Times New Roman"/>
          <w:color w:val="auto"/>
          <w:spacing w:val="-4"/>
          <w:sz w:val="24"/>
          <w:szCs w:val="24"/>
          <w:highlight w:val="none"/>
        </w:rPr>
        <w:t>平均风速2.</w:t>
      </w:r>
      <w:r>
        <w:rPr>
          <w:rFonts w:hint="eastAsia" w:ascii="Times New Roman" w:hAnsi="Times New Roman" w:eastAsia="Times New Roman" w:cs="Times New Roman"/>
          <w:color w:val="auto"/>
          <w:spacing w:val="-4"/>
          <w:sz w:val="24"/>
          <w:szCs w:val="24"/>
          <w:highlight w:val="none"/>
          <w:lang w:val="en-US" w:eastAsia="zh-CN"/>
        </w:rPr>
        <w:t>08</w:t>
      </w:r>
      <w:r>
        <w:rPr>
          <w:rFonts w:ascii="Times New Roman" w:hAnsi="Times New Roman" w:eastAsia="Times New Roman" w:cs="Times New Roman"/>
          <w:color w:val="auto"/>
          <w:spacing w:val="-4"/>
          <w:sz w:val="24"/>
          <w:szCs w:val="24"/>
          <w:highlight w:val="none"/>
        </w:rPr>
        <w:t>m/s。</w:t>
      </w:r>
    </w:p>
    <w:p w14:paraId="15B61BA7">
      <w:pPr>
        <w:spacing w:before="34" w:line="219" w:lineRule="auto"/>
        <w:ind w:left="508"/>
        <w:rPr>
          <w:rFonts w:ascii="宋体" w:hAnsi="宋体" w:eastAsia="宋体" w:cs="宋体"/>
          <w:color w:val="auto"/>
          <w:sz w:val="24"/>
          <w:szCs w:val="24"/>
          <w:highlight w:val="none"/>
        </w:rPr>
      </w:pPr>
      <w:r>
        <w:rPr>
          <w:rFonts w:ascii="Times New Roman" w:hAnsi="Times New Roman" w:eastAsia="Times New Roman" w:cs="Times New Roman"/>
          <w:color w:val="auto"/>
          <w:spacing w:val="-5"/>
          <w:sz w:val="24"/>
          <w:szCs w:val="24"/>
          <w:highlight w:val="none"/>
        </w:rPr>
        <w:t>1</w:t>
      </w:r>
      <w:r>
        <w:rPr>
          <w:rFonts w:ascii="Times New Roman" w:hAnsi="Times New Roman" w:eastAsia="Times New Roman" w:cs="Times New Roman"/>
          <w:color w:val="auto"/>
          <w:spacing w:val="-34"/>
          <w:sz w:val="24"/>
          <w:szCs w:val="24"/>
          <w:highlight w:val="none"/>
        </w:rPr>
        <w:t xml:space="preserve"> </w:t>
      </w:r>
      <w:r>
        <w:rPr>
          <w:rFonts w:ascii="宋体" w:hAnsi="宋体" w:eastAsia="宋体" w:cs="宋体"/>
          <w:color w:val="auto"/>
          <w:spacing w:val="-5"/>
          <w:sz w:val="24"/>
          <w:szCs w:val="24"/>
          <w:highlight w:val="none"/>
        </w:rPr>
        <w:t>、气象台站的基本信息</w:t>
      </w:r>
    </w:p>
    <w:p w14:paraId="259FA616">
      <w:pPr>
        <w:spacing w:before="181" w:line="212" w:lineRule="auto"/>
        <w:ind w:left="490"/>
        <w:rPr>
          <w:rFonts w:hint="default" w:ascii="Times New Roman" w:hAnsi="Times New Roman" w:eastAsia="宋体" w:cs="Times New Roman"/>
          <w:color w:val="auto"/>
          <w:sz w:val="24"/>
          <w:szCs w:val="24"/>
          <w:highlight w:val="none"/>
          <w:lang w:val="en-US" w:eastAsia="zh-CN"/>
        </w:rPr>
      </w:pPr>
      <w:r>
        <w:rPr>
          <w:rFonts w:ascii="宋体" w:hAnsi="宋体" w:eastAsia="宋体" w:cs="宋体"/>
          <w:color w:val="auto"/>
          <w:spacing w:val="-1"/>
          <w:sz w:val="24"/>
          <w:szCs w:val="24"/>
          <w:highlight w:val="none"/>
        </w:rPr>
        <w:t>气象台站区站号</w:t>
      </w:r>
      <w:r>
        <w:rPr>
          <w:rFonts w:ascii="Times New Roman" w:hAnsi="Times New Roman" w:eastAsia="Times New Roman" w:cs="Times New Roman"/>
          <w:color w:val="auto"/>
          <w:spacing w:val="-1"/>
          <w:sz w:val="24"/>
          <w:szCs w:val="24"/>
          <w:highlight w:val="none"/>
        </w:rPr>
        <w:t>(</w:t>
      </w:r>
      <w:r>
        <w:rPr>
          <w:rFonts w:ascii="宋体" w:hAnsi="宋体" w:eastAsia="宋体" w:cs="宋体"/>
          <w:color w:val="auto"/>
          <w:spacing w:val="-1"/>
          <w:sz w:val="24"/>
          <w:szCs w:val="24"/>
          <w:highlight w:val="none"/>
        </w:rPr>
        <w:t>国家统一编号</w:t>
      </w:r>
      <w:r>
        <w:rPr>
          <w:rFonts w:ascii="Times New Roman" w:hAnsi="Times New Roman" w:eastAsia="Times New Roman" w:cs="Times New Roman"/>
          <w:color w:val="auto"/>
          <w:spacing w:val="-1"/>
          <w:sz w:val="24"/>
          <w:szCs w:val="24"/>
          <w:highlight w:val="none"/>
        </w:rPr>
        <w:t>)50</w:t>
      </w:r>
      <w:r>
        <w:rPr>
          <w:rFonts w:hint="eastAsia" w:ascii="Times New Roman" w:hAnsi="Times New Roman" w:eastAsia="宋体" w:cs="Times New Roman"/>
          <w:color w:val="auto"/>
          <w:spacing w:val="-1"/>
          <w:sz w:val="24"/>
          <w:szCs w:val="24"/>
          <w:highlight w:val="none"/>
          <w:lang w:val="en-US" w:eastAsia="zh-CN"/>
        </w:rPr>
        <w:t>564</w:t>
      </w:r>
    </w:p>
    <w:p w14:paraId="1178569F">
      <w:pPr>
        <w:spacing w:before="192" w:line="219" w:lineRule="auto"/>
        <w:ind w:left="490"/>
        <w:rPr>
          <w:rFonts w:ascii="宋体" w:hAnsi="宋体" w:eastAsia="宋体" w:cs="宋体"/>
          <w:color w:val="auto"/>
          <w:sz w:val="24"/>
          <w:szCs w:val="24"/>
          <w:highlight w:val="none"/>
        </w:rPr>
      </w:pPr>
      <w:r>
        <w:rPr>
          <w:rFonts w:ascii="宋体" w:hAnsi="宋体" w:eastAsia="宋体" w:cs="宋体"/>
          <w:color w:val="auto"/>
          <w:spacing w:val="-3"/>
          <w:sz w:val="24"/>
          <w:szCs w:val="24"/>
          <w:highlight w:val="none"/>
        </w:rPr>
        <w:t>测风距离地面高度</w:t>
      </w:r>
      <w:r>
        <w:rPr>
          <w:rFonts w:ascii="Times New Roman" w:hAnsi="Times New Roman" w:eastAsia="Times New Roman" w:cs="Times New Roman"/>
          <w:color w:val="auto"/>
          <w:spacing w:val="-3"/>
          <w:sz w:val="24"/>
          <w:szCs w:val="24"/>
          <w:highlight w:val="none"/>
        </w:rPr>
        <w:t>10.0</w:t>
      </w:r>
      <w:r>
        <w:rPr>
          <w:rFonts w:ascii="宋体" w:hAnsi="宋体" w:eastAsia="宋体" w:cs="宋体"/>
          <w:color w:val="auto"/>
          <w:spacing w:val="-3"/>
          <w:sz w:val="24"/>
          <w:szCs w:val="24"/>
          <w:highlight w:val="none"/>
        </w:rPr>
        <w:t>米</w:t>
      </w:r>
    </w:p>
    <w:p w14:paraId="642BA6B4">
      <w:pPr>
        <w:spacing w:before="193" w:line="219" w:lineRule="auto"/>
        <w:ind w:left="49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气象站类别（一般站）</w:t>
      </w:r>
    </w:p>
    <w:p w14:paraId="4E2C4BBE">
      <w:pPr>
        <w:spacing w:before="183" w:line="220" w:lineRule="auto"/>
        <w:ind w:left="485"/>
        <w:rPr>
          <w:rFonts w:ascii="宋体" w:hAnsi="宋体" w:eastAsia="宋体" w:cs="宋体"/>
          <w:color w:val="auto"/>
          <w:sz w:val="24"/>
          <w:szCs w:val="24"/>
          <w:highlight w:val="none"/>
        </w:rPr>
      </w:pPr>
      <w:r>
        <w:rPr>
          <w:rFonts w:ascii="Times New Roman" w:hAnsi="Times New Roman" w:eastAsia="Times New Roman" w:cs="Times New Roman"/>
          <w:color w:val="auto"/>
          <w:spacing w:val="-4"/>
          <w:sz w:val="24"/>
          <w:szCs w:val="24"/>
          <w:highlight w:val="none"/>
        </w:rPr>
        <w:t>2</w:t>
      </w:r>
      <w:r>
        <w:rPr>
          <w:rFonts w:ascii="Times New Roman" w:hAnsi="Times New Roman" w:eastAsia="Times New Roman" w:cs="Times New Roman"/>
          <w:color w:val="auto"/>
          <w:spacing w:val="-34"/>
          <w:sz w:val="24"/>
          <w:szCs w:val="24"/>
          <w:highlight w:val="none"/>
        </w:rPr>
        <w:t xml:space="preserve"> </w:t>
      </w:r>
      <w:r>
        <w:rPr>
          <w:rFonts w:ascii="宋体" w:hAnsi="宋体" w:eastAsia="宋体" w:cs="宋体"/>
          <w:color w:val="auto"/>
          <w:spacing w:val="-4"/>
          <w:sz w:val="24"/>
          <w:szCs w:val="24"/>
          <w:highlight w:val="none"/>
        </w:rPr>
        <w:t>、温度统计分析</w:t>
      </w:r>
    </w:p>
    <w:p w14:paraId="30F89C4F">
      <w:pPr>
        <w:spacing w:before="180" w:line="354" w:lineRule="auto"/>
        <w:ind w:left="12" w:right="104" w:firstLine="478"/>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年评价区域月平均温度统计表见表</w:t>
      </w:r>
      <w:r>
        <w:rPr>
          <w:rFonts w:hint="eastAsia" w:eastAsia="宋体" w:cs="Times New Roman"/>
          <w:color w:val="auto"/>
          <w:spacing w:val="-1"/>
          <w:sz w:val="24"/>
          <w:szCs w:val="24"/>
          <w:highlight w:val="none"/>
          <w:lang w:val="en-US" w:eastAsia="zh-CN"/>
        </w:rPr>
        <w:t>5-2-</w:t>
      </w:r>
      <w:r>
        <w:rPr>
          <w:rFonts w:hint="eastAsia" w:cs="Times New Roman"/>
          <w:color w:val="auto"/>
          <w:spacing w:val="-1"/>
          <w:sz w:val="24"/>
          <w:szCs w:val="24"/>
          <w:highlight w:val="none"/>
          <w:lang w:val="en-US" w:eastAsia="zh-CN"/>
        </w:rPr>
        <w:t>8</w:t>
      </w:r>
      <w:r>
        <w:rPr>
          <w:rFonts w:hint="eastAsia" w:eastAsia="宋体" w:cs="Times New Roman"/>
          <w:color w:val="auto"/>
          <w:spacing w:val="-2"/>
          <w:sz w:val="24"/>
          <w:szCs w:val="24"/>
          <w:highlight w:val="none"/>
          <w:lang w:eastAsia="zh-CN"/>
        </w:rPr>
        <w:t>。</w:t>
      </w:r>
      <w:r>
        <w:rPr>
          <w:rFonts w:ascii="宋体" w:hAnsi="宋体" w:eastAsia="宋体" w:cs="宋体"/>
          <w:color w:val="auto"/>
          <w:spacing w:val="-2"/>
          <w:sz w:val="24"/>
          <w:szCs w:val="24"/>
          <w:highlight w:val="none"/>
        </w:rPr>
        <w:t>年评价区域月平均温度变化图见图</w:t>
      </w:r>
      <w:r>
        <w:rPr>
          <w:rFonts w:hint="eastAsia" w:eastAsia="宋体" w:cs="Times New Roman"/>
          <w:color w:val="auto"/>
          <w:spacing w:val="-3"/>
          <w:sz w:val="24"/>
          <w:szCs w:val="24"/>
          <w:highlight w:val="none"/>
          <w:lang w:val="en-US" w:eastAsia="zh-CN"/>
        </w:rPr>
        <w:t>5</w:t>
      </w:r>
      <w:r>
        <w:rPr>
          <w:rFonts w:hint="eastAsia" w:cs="Times New Roman"/>
          <w:color w:val="auto"/>
          <w:spacing w:val="-3"/>
          <w:sz w:val="24"/>
          <w:szCs w:val="24"/>
          <w:highlight w:val="none"/>
          <w:lang w:val="en-US" w:eastAsia="zh-CN"/>
        </w:rPr>
        <w:t>.</w:t>
      </w:r>
      <w:r>
        <w:rPr>
          <w:rFonts w:hint="eastAsia" w:eastAsia="宋体" w:cs="Times New Roman"/>
          <w:color w:val="auto"/>
          <w:spacing w:val="-3"/>
          <w:sz w:val="24"/>
          <w:szCs w:val="24"/>
          <w:highlight w:val="none"/>
          <w:lang w:val="en-US" w:eastAsia="zh-CN"/>
        </w:rPr>
        <w:t>2-</w:t>
      </w:r>
      <w:r>
        <w:rPr>
          <w:rFonts w:hint="eastAsia" w:cs="Times New Roman"/>
          <w:color w:val="auto"/>
          <w:spacing w:val="-3"/>
          <w:sz w:val="24"/>
          <w:szCs w:val="24"/>
          <w:highlight w:val="none"/>
          <w:lang w:val="en-US" w:eastAsia="zh-CN"/>
        </w:rPr>
        <w:t>3</w:t>
      </w:r>
      <w:r>
        <w:rPr>
          <w:rFonts w:ascii="宋体" w:hAnsi="宋体" w:eastAsia="宋体" w:cs="宋体"/>
          <w:color w:val="auto"/>
          <w:spacing w:val="-3"/>
          <w:sz w:val="24"/>
          <w:szCs w:val="24"/>
          <w:highlight w:val="none"/>
        </w:rPr>
        <w:t>。</w:t>
      </w:r>
    </w:p>
    <w:p w14:paraId="5390F6F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8</w:t>
      </w:r>
      <w:r>
        <w:rPr>
          <w:rFonts w:hint="default" w:ascii="Times New Roman" w:hAnsi="Times New Roman" w:cs="Times New Roman"/>
          <w:color w:val="auto"/>
          <w:highlight w:val="none"/>
        </w:rPr>
        <w:t xml:space="preserve">  2025年评价区域月平均温度统计表</w:t>
      </w:r>
    </w:p>
    <w:tbl>
      <w:tblPr>
        <w:tblStyle w:val="486"/>
        <w:tblW w:w="8339" w:type="dxa"/>
        <w:tblInd w:w="8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02"/>
        <w:gridCol w:w="592"/>
        <w:gridCol w:w="591"/>
        <w:gridCol w:w="592"/>
        <w:gridCol w:w="587"/>
        <w:gridCol w:w="593"/>
        <w:gridCol w:w="588"/>
        <w:gridCol w:w="587"/>
        <w:gridCol w:w="593"/>
        <w:gridCol w:w="592"/>
        <w:gridCol w:w="588"/>
        <w:gridCol w:w="591"/>
        <w:gridCol w:w="649"/>
        <w:gridCol w:w="594"/>
      </w:tblGrid>
      <w:tr w14:paraId="5E5F7E0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32" w:hRule="atLeast"/>
        </w:trPr>
        <w:tc>
          <w:tcPr>
            <w:tcW w:w="602" w:type="dxa"/>
            <w:tcBorders>
              <w:tl2br w:val="nil"/>
              <w:tr2bl w:val="nil"/>
            </w:tcBorders>
            <w:vAlign w:val="center"/>
          </w:tcPr>
          <w:p w14:paraId="09A2BAC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月份</w:t>
            </w:r>
          </w:p>
        </w:tc>
        <w:tc>
          <w:tcPr>
            <w:tcW w:w="592" w:type="dxa"/>
            <w:tcBorders>
              <w:tl2br w:val="nil"/>
              <w:tr2bl w:val="nil"/>
            </w:tcBorders>
            <w:vAlign w:val="center"/>
          </w:tcPr>
          <w:p w14:paraId="3F0DAE1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1月</w:t>
            </w:r>
          </w:p>
        </w:tc>
        <w:tc>
          <w:tcPr>
            <w:tcW w:w="591" w:type="dxa"/>
            <w:tcBorders>
              <w:tl2br w:val="nil"/>
              <w:tr2bl w:val="nil"/>
            </w:tcBorders>
            <w:vAlign w:val="center"/>
          </w:tcPr>
          <w:p w14:paraId="0CA076C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2月</w:t>
            </w:r>
          </w:p>
        </w:tc>
        <w:tc>
          <w:tcPr>
            <w:tcW w:w="592" w:type="dxa"/>
            <w:tcBorders>
              <w:tl2br w:val="nil"/>
              <w:tr2bl w:val="nil"/>
            </w:tcBorders>
            <w:vAlign w:val="center"/>
          </w:tcPr>
          <w:p w14:paraId="2B6E48C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3月</w:t>
            </w:r>
          </w:p>
        </w:tc>
        <w:tc>
          <w:tcPr>
            <w:tcW w:w="587" w:type="dxa"/>
            <w:tcBorders>
              <w:tl2br w:val="nil"/>
              <w:tr2bl w:val="nil"/>
            </w:tcBorders>
            <w:vAlign w:val="center"/>
          </w:tcPr>
          <w:p w14:paraId="4907D9D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4月</w:t>
            </w:r>
          </w:p>
        </w:tc>
        <w:tc>
          <w:tcPr>
            <w:tcW w:w="593" w:type="dxa"/>
            <w:tcBorders>
              <w:tl2br w:val="nil"/>
              <w:tr2bl w:val="nil"/>
            </w:tcBorders>
            <w:vAlign w:val="center"/>
          </w:tcPr>
          <w:p w14:paraId="1CC46CC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5月</w:t>
            </w:r>
          </w:p>
        </w:tc>
        <w:tc>
          <w:tcPr>
            <w:tcW w:w="588" w:type="dxa"/>
            <w:tcBorders>
              <w:tl2br w:val="nil"/>
              <w:tr2bl w:val="nil"/>
            </w:tcBorders>
            <w:vAlign w:val="center"/>
          </w:tcPr>
          <w:p w14:paraId="0FF6126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6月</w:t>
            </w:r>
          </w:p>
        </w:tc>
        <w:tc>
          <w:tcPr>
            <w:tcW w:w="587" w:type="dxa"/>
            <w:tcBorders>
              <w:tl2br w:val="nil"/>
              <w:tr2bl w:val="nil"/>
            </w:tcBorders>
            <w:vAlign w:val="center"/>
          </w:tcPr>
          <w:p w14:paraId="03AD684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7月</w:t>
            </w:r>
          </w:p>
        </w:tc>
        <w:tc>
          <w:tcPr>
            <w:tcW w:w="593" w:type="dxa"/>
            <w:tcBorders>
              <w:tl2br w:val="nil"/>
              <w:tr2bl w:val="nil"/>
            </w:tcBorders>
            <w:vAlign w:val="center"/>
          </w:tcPr>
          <w:p w14:paraId="5155BAB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8月</w:t>
            </w:r>
          </w:p>
        </w:tc>
        <w:tc>
          <w:tcPr>
            <w:tcW w:w="592" w:type="dxa"/>
            <w:tcBorders>
              <w:tl2br w:val="nil"/>
              <w:tr2bl w:val="nil"/>
            </w:tcBorders>
            <w:vAlign w:val="center"/>
          </w:tcPr>
          <w:p w14:paraId="7D5E8C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9月</w:t>
            </w:r>
          </w:p>
        </w:tc>
        <w:tc>
          <w:tcPr>
            <w:tcW w:w="588" w:type="dxa"/>
            <w:tcBorders>
              <w:tl2br w:val="nil"/>
              <w:tr2bl w:val="nil"/>
            </w:tcBorders>
            <w:vAlign w:val="center"/>
          </w:tcPr>
          <w:p w14:paraId="392BDCF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10月</w:t>
            </w:r>
          </w:p>
        </w:tc>
        <w:tc>
          <w:tcPr>
            <w:tcW w:w="591" w:type="dxa"/>
            <w:tcBorders>
              <w:tl2br w:val="nil"/>
              <w:tr2bl w:val="nil"/>
            </w:tcBorders>
            <w:vAlign w:val="center"/>
          </w:tcPr>
          <w:p w14:paraId="15E649A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11月</w:t>
            </w:r>
          </w:p>
        </w:tc>
        <w:tc>
          <w:tcPr>
            <w:tcW w:w="649" w:type="dxa"/>
            <w:tcBorders>
              <w:tl2br w:val="nil"/>
              <w:tr2bl w:val="nil"/>
            </w:tcBorders>
            <w:vAlign w:val="center"/>
          </w:tcPr>
          <w:p w14:paraId="1A715B9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12月</w:t>
            </w:r>
          </w:p>
        </w:tc>
        <w:tc>
          <w:tcPr>
            <w:tcW w:w="594" w:type="dxa"/>
            <w:tcBorders>
              <w:tl2br w:val="nil"/>
              <w:tr2bl w:val="nil"/>
            </w:tcBorders>
            <w:vAlign w:val="center"/>
          </w:tcPr>
          <w:p w14:paraId="79672E0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全年</w:t>
            </w:r>
          </w:p>
        </w:tc>
      </w:tr>
      <w:tr w14:paraId="387571E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602" w:type="dxa"/>
            <w:tcBorders>
              <w:tl2br w:val="nil"/>
              <w:tr2bl w:val="nil"/>
            </w:tcBorders>
            <w:vAlign w:val="center"/>
          </w:tcPr>
          <w:p w14:paraId="2457B25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温度(℃)</w:t>
            </w:r>
          </w:p>
        </w:tc>
        <w:tc>
          <w:tcPr>
            <w:tcW w:w="592" w:type="dxa"/>
            <w:tcBorders>
              <w:tl2br w:val="nil"/>
              <w:tr2bl w:val="nil"/>
            </w:tcBorders>
            <w:vAlign w:val="center"/>
          </w:tcPr>
          <w:p w14:paraId="2AC4FED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-20.67</w:t>
            </w:r>
          </w:p>
        </w:tc>
        <w:tc>
          <w:tcPr>
            <w:tcW w:w="591" w:type="dxa"/>
            <w:tcBorders>
              <w:tl2br w:val="nil"/>
              <w:tr2bl w:val="nil"/>
            </w:tcBorders>
            <w:vAlign w:val="center"/>
          </w:tcPr>
          <w:p w14:paraId="6B93706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-16.23</w:t>
            </w:r>
          </w:p>
        </w:tc>
        <w:tc>
          <w:tcPr>
            <w:tcW w:w="592" w:type="dxa"/>
            <w:tcBorders>
              <w:tl2br w:val="nil"/>
              <w:tr2bl w:val="nil"/>
            </w:tcBorders>
            <w:vAlign w:val="center"/>
          </w:tcPr>
          <w:p w14:paraId="42318A1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-7.30</w:t>
            </w:r>
          </w:p>
        </w:tc>
        <w:tc>
          <w:tcPr>
            <w:tcW w:w="587" w:type="dxa"/>
            <w:tcBorders>
              <w:tl2br w:val="nil"/>
              <w:tr2bl w:val="nil"/>
            </w:tcBorders>
            <w:vAlign w:val="center"/>
          </w:tcPr>
          <w:p w14:paraId="4374B6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5.38</w:t>
            </w:r>
          </w:p>
        </w:tc>
        <w:tc>
          <w:tcPr>
            <w:tcW w:w="593" w:type="dxa"/>
            <w:tcBorders>
              <w:tl2br w:val="nil"/>
              <w:tr2bl w:val="nil"/>
            </w:tcBorders>
            <w:vAlign w:val="center"/>
          </w:tcPr>
          <w:p w14:paraId="600FA39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13.55</w:t>
            </w:r>
          </w:p>
        </w:tc>
        <w:tc>
          <w:tcPr>
            <w:tcW w:w="588" w:type="dxa"/>
            <w:tcBorders>
              <w:tl2br w:val="nil"/>
              <w:tr2bl w:val="nil"/>
            </w:tcBorders>
            <w:vAlign w:val="center"/>
          </w:tcPr>
          <w:p w14:paraId="4CEB245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19.33</w:t>
            </w:r>
          </w:p>
        </w:tc>
        <w:tc>
          <w:tcPr>
            <w:tcW w:w="587" w:type="dxa"/>
            <w:tcBorders>
              <w:tl2br w:val="nil"/>
              <w:tr2bl w:val="nil"/>
            </w:tcBorders>
            <w:vAlign w:val="center"/>
          </w:tcPr>
          <w:p w14:paraId="2EE1CBF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22.89</w:t>
            </w:r>
          </w:p>
        </w:tc>
        <w:tc>
          <w:tcPr>
            <w:tcW w:w="593" w:type="dxa"/>
            <w:tcBorders>
              <w:tl2br w:val="nil"/>
              <w:tr2bl w:val="nil"/>
            </w:tcBorders>
            <w:vAlign w:val="center"/>
          </w:tcPr>
          <w:p w14:paraId="2B2B92B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19.03</w:t>
            </w:r>
          </w:p>
        </w:tc>
        <w:tc>
          <w:tcPr>
            <w:tcW w:w="592" w:type="dxa"/>
            <w:tcBorders>
              <w:tl2br w:val="nil"/>
              <w:tr2bl w:val="nil"/>
            </w:tcBorders>
            <w:vAlign w:val="center"/>
          </w:tcPr>
          <w:p w14:paraId="25B0A63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14.68</w:t>
            </w:r>
          </w:p>
        </w:tc>
        <w:tc>
          <w:tcPr>
            <w:tcW w:w="588" w:type="dxa"/>
            <w:tcBorders>
              <w:tl2br w:val="nil"/>
              <w:tr2bl w:val="nil"/>
            </w:tcBorders>
            <w:vAlign w:val="center"/>
          </w:tcPr>
          <w:p w14:paraId="4C78ADE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1.20</w:t>
            </w:r>
          </w:p>
        </w:tc>
        <w:tc>
          <w:tcPr>
            <w:tcW w:w="591" w:type="dxa"/>
            <w:tcBorders>
              <w:tl2br w:val="nil"/>
              <w:tr2bl w:val="nil"/>
            </w:tcBorders>
            <w:vAlign w:val="center"/>
          </w:tcPr>
          <w:p w14:paraId="0A77D5B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-8.14</w:t>
            </w:r>
          </w:p>
        </w:tc>
        <w:tc>
          <w:tcPr>
            <w:tcW w:w="649" w:type="dxa"/>
            <w:tcBorders>
              <w:tl2br w:val="nil"/>
              <w:tr2bl w:val="nil"/>
            </w:tcBorders>
            <w:vAlign w:val="center"/>
          </w:tcPr>
          <w:p w14:paraId="48AF861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-21.61</w:t>
            </w:r>
          </w:p>
        </w:tc>
        <w:tc>
          <w:tcPr>
            <w:tcW w:w="594" w:type="dxa"/>
            <w:tcBorders>
              <w:tl2br w:val="nil"/>
              <w:tr2bl w:val="nil"/>
            </w:tcBorders>
            <w:vAlign w:val="center"/>
          </w:tcPr>
          <w:p w14:paraId="5843E85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1.92</w:t>
            </w:r>
          </w:p>
        </w:tc>
      </w:tr>
    </w:tbl>
    <w:p w14:paraId="36C0A3F6">
      <w:pPr>
        <w:spacing w:before="2" w:line="3303" w:lineRule="exact"/>
        <w:rPr>
          <w:color w:val="auto"/>
          <w:highlight w:val="none"/>
        </w:rPr>
      </w:pPr>
      <w:r>
        <w:rPr>
          <w:color w:val="auto"/>
          <w:highlight w:val="none"/>
        </w:rPr>
        <w:drawing>
          <wp:anchor distT="0" distB="0" distL="114300" distR="114300" simplePos="0" relativeHeight="251693056" behindDoc="0" locked="0" layoutInCell="1" allowOverlap="1">
            <wp:simplePos x="0" y="0"/>
            <wp:positionH relativeFrom="column">
              <wp:posOffset>19050</wp:posOffset>
            </wp:positionH>
            <wp:positionV relativeFrom="paragraph">
              <wp:posOffset>61595</wp:posOffset>
            </wp:positionV>
            <wp:extent cx="5445125" cy="2070735"/>
            <wp:effectExtent l="0" t="0" r="3175" b="5715"/>
            <wp:wrapNone/>
            <wp:docPr id="1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
                    <pic:cNvPicPr>
                      <a:picLocks noChangeAspect="1"/>
                    </pic:cNvPicPr>
                  </pic:nvPicPr>
                  <pic:blipFill>
                    <a:blip r:embed="rId67"/>
                    <a:stretch>
                      <a:fillRect/>
                    </a:stretch>
                  </pic:blipFill>
                  <pic:spPr>
                    <a:xfrm>
                      <a:off x="0" y="0"/>
                      <a:ext cx="5445125" cy="2070735"/>
                    </a:xfrm>
                    <a:prstGeom prst="rect">
                      <a:avLst/>
                    </a:prstGeom>
                    <a:noFill/>
                    <a:ln>
                      <a:noFill/>
                    </a:ln>
                  </pic:spPr>
                </pic:pic>
              </a:graphicData>
            </a:graphic>
          </wp:anchor>
        </w:drawing>
      </w:r>
    </w:p>
    <w:p w14:paraId="7B22D7F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图 </w:t>
      </w:r>
      <w:r>
        <w:rPr>
          <w:rFonts w:hint="eastAsia" w:ascii="Times New Roman" w:hAnsi="Times New Roman" w:cs="Times New Roman"/>
          <w:color w:val="auto"/>
          <w:highlight w:val="none"/>
          <w:lang w:val="en-US" w:eastAsia="zh-CN"/>
        </w:rPr>
        <w:t>5.2-3</w:t>
      </w:r>
      <w:r>
        <w:rPr>
          <w:rFonts w:hint="default" w:ascii="Times New Roman" w:hAnsi="Times New Roman" w:cs="Times New Roman"/>
          <w:color w:val="auto"/>
          <w:highlight w:val="none"/>
        </w:rPr>
        <w:t xml:space="preserve">    2025 年评价区域月平均温度变化图</w:t>
      </w:r>
    </w:p>
    <w:p w14:paraId="4FF8718D">
      <w:pPr>
        <w:spacing w:before="180" w:line="354" w:lineRule="auto"/>
        <w:ind w:left="12" w:right="104" w:firstLine="478"/>
        <w:rPr>
          <w:rFonts w:ascii="宋体" w:hAnsi="宋体" w:eastAsia="宋体" w:cs="宋体"/>
          <w:color w:val="auto"/>
          <w:sz w:val="24"/>
          <w:szCs w:val="24"/>
          <w:highlight w:val="none"/>
        </w:rPr>
      </w:pPr>
      <w:r>
        <w:rPr>
          <w:rFonts w:hint="default" w:ascii="Times New Roman" w:hAnsi="Times New Roman" w:eastAsia="宋体" w:cs="Times New Roman"/>
          <w:color w:val="auto"/>
          <w:spacing w:val="-1"/>
          <w:sz w:val="24"/>
          <w:szCs w:val="24"/>
          <w:highlight w:val="none"/>
        </w:rPr>
        <w:t>从表5</w:t>
      </w:r>
      <w:r>
        <w:rPr>
          <w:rFonts w:hint="eastAsia" w:cs="Times New Roman"/>
          <w:color w:val="auto"/>
          <w:spacing w:val="-1"/>
          <w:sz w:val="24"/>
          <w:szCs w:val="24"/>
          <w:highlight w:val="none"/>
          <w:lang w:val="en-US" w:eastAsia="zh-CN"/>
        </w:rPr>
        <w:t>-</w:t>
      </w:r>
      <w:r>
        <w:rPr>
          <w:rFonts w:hint="default" w:ascii="Times New Roman" w:hAnsi="Times New Roman" w:eastAsia="宋体" w:cs="Times New Roman"/>
          <w:color w:val="auto"/>
          <w:spacing w:val="-1"/>
          <w:sz w:val="24"/>
          <w:szCs w:val="24"/>
          <w:highlight w:val="none"/>
        </w:rPr>
        <w:t>2-</w:t>
      </w:r>
      <w:r>
        <w:rPr>
          <w:rFonts w:hint="eastAsia" w:cs="Times New Roman"/>
          <w:color w:val="auto"/>
          <w:spacing w:val="-1"/>
          <w:sz w:val="24"/>
          <w:szCs w:val="24"/>
          <w:highlight w:val="none"/>
          <w:lang w:val="en-US" w:eastAsia="zh-CN"/>
        </w:rPr>
        <w:t>6</w:t>
      </w:r>
      <w:r>
        <w:rPr>
          <w:rFonts w:hint="default" w:ascii="Times New Roman" w:hAnsi="Times New Roman" w:eastAsia="宋体" w:cs="Times New Roman"/>
          <w:color w:val="auto"/>
          <w:spacing w:val="-1"/>
          <w:sz w:val="24"/>
          <w:szCs w:val="24"/>
          <w:highlight w:val="none"/>
        </w:rPr>
        <w:t>和图5.2-</w:t>
      </w:r>
      <w:r>
        <w:rPr>
          <w:rFonts w:hint="eastAsia" w:cs="Times New Roman"/>
          <w:color w:val="auto"/>
          <w:spacing w:val="-1"/>
          <w:sz w:val="24"/>
          <w:szCs w:val="24"/>
          <w:highlight w:val="none"/>
          <w:lang w:val="en-US" w:eastAsia="zh-CN"/>
        </w:rPr>
        <w:t>3</w:t>
      </w:r>
      <w:r>
        <w:rPr>
          <w:rFonts w:hint="default" w:ascii="Times New Roman" w:hAnsi="Times New Roman" w:eastAsia="宋体" w:cs="Times New Roman"/>
          <w:color w:val="auto"/>
          <w:spacing w:val="-1"/>
          <w:sz w:val="24"/>
          <w:szCs w:val="24"/>
          <w:highlight w:val="none"/>
        </w:rPr>
        <w:t>看出，近1年的平均温度为</w:t>
      </w:r>
      <w:r>
        <w:rPr>
          <w:rFonts w:hint="default" w:ascii="Times New Roman" w:hAnsi="Times New Roman" w:eastAsia="宋体" w:cs="Times New Roman"/>
          <w:color w:val="auto"/>
          <w:spacing w:val="-1"/>
          <w:sz w:val="24"/>
          <w:szCs w:val="24"/>
          <w:highlight w:val="none"/>
          <w:lang w:val="en-US" w:eastAsia="zh-CN"/>
        </w:rPr>
        <w:t>1.92</w:t>
      </w:r>
      <w:r>
        <w:rPr>
          <w:rFonts w:hint="default" w:ascii="Times New Roman" w:hAnsi="Times New Roman" w:eastAsia="宋体" w:cs="Times New Roman"/>
          <w:color w:val="auto"/>
          <w:spacing w:val="-1"/>
          <w:sz w:val="24"/>
          <w:szCs w:val="24"/>
          <w:highlight w:val="none"/>
        </w:rPr>
        <w:t>℃,4-</w:t>
      </w:r>
      <w:r>
        <w:rPr>
          <w:rFonts w:hint="default" w:ascii="Times New Roman" w:hAnsi="Times New Roman" w:eastAsia="宋体" w:cs="Times New Roman"/>
          <w:color w:val="auto"/>
          <w:spacing w:val="-1"/>
          <w:sz w:val="24"/>
          <w:szCs w:val="24"/>
          <w:highlight w:val="none"/>
          <w:lang w:val="en-US" w:eastAsia="zh-CN"/>
        </w:rPr>
        <w:t>9</w:t>
      </w:r>
      <w:r>
        <w:rPr>
          <w:rFonts w:hint="default" w:ascii="Times New Roman" w:hAnsi="Times New Roman" w:eastAsia="宋体" w:cs="Times New Roman"/>
          <w:color w:val="auto"/>
          <w:spacing w:val="-1"/>
          <w:sz w:val="24"/>
          <w:szCs w:val="24"/>
          <w:highlight w:val="none"/>
        </w:rPr>
        <w:t>月份高于全年平均气温，其它月份小于全年平均值，7月份平均气温最高为</w:t>
      </w:r>
      <w:r>
        <w:rPr>
          <w:rFonts w:hint="default" w:ascii="Times New Roman" w:hAnsi="Times New Roman" w:eastAsia="宋体" w:cs="Times New Roman"/>
          <w:color w:val="auto"/>
          <w:spacing w:val="-1"/>
          <w:sz w:val="24"/>
          <w:szCs w:val="24"/>
          <w:highlight w:val="none"/>
          <w:lang w:val="en-US" w:eastAsia="zh-CN"/>
        </w:rPr>
        <w:t>22.89</w:t>
      </w:r>
      <w:r>
        <w:rPr>
          <w:rFonts w:hint="default" w:ascii="Times New Roman" w:hAnsi="Times New Roman" w:eastAsia="宋体" w:cs="Times New Roman"/>
          <w:color w:val="auto"/>
          <w:spacing w:val="-1"/>
          <w:sz w:val="24"/>
          <w:szCs w:val="24"/>
          <w:highlight w:val="none"/>
        </w:rPr>
        <w:t>℃</w:t>
      </w:r>
      <w:r>
        <w:rPr>
          <w:rFonts w:hint="eastAsia" w:ascii="Times New Roman" w:hAnsi="Times New Roman" w:eastAsia="宋体"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1月份温度最低为</w:t>
      </w:r>
      <w:r>
        <w:rPr>
          <w:rFonts w:hint="default" w:ascii="Times New Roman" w:hAnsi="Times New Roman" w:eastAsia="宋体" w:cs="Times New Roman"/>
          <w:color w:val="auto"/>
          <w:spacing w:val="-1"/>
          <w:sz w:val="24"/>
          <w:szCs w:val="24"/>
          <w:highlight w:val="none"/>
          <w:lang w:val="en-US" w:eastAsia="zh-CN"/>
        </w:rPr>
        <w:t>-20.67</w:t>
      </w:r>
      <w:r>
        <w:rPr>
          <w:rFonts w:hint="default" w:ascii="Times New Roman" w:hAnsi="Times New Roman" w:eastAsia="宋体" w:cs="Times New Roman"/>
          <w:color w:val="auto"/>
          <w:spacing w:val="-1"/>
          <w:sz w:val="24"/>
          <w:szCs w:val="24"/>
          <w:highlight w:val="none"/>
        </w:rPr>
        <w:t>℃。</w:t>
      </w:r>
    </w:p>
    <w:p w14:paraId="5816B52E">
      <w:pPr>
        <w:spacing w:line="362" w:lineRule="auto"/>
        <w:rPr>
          <w:rFonts w:ascii="宋体" w:hAnsi="宋体" w:eastAsia="宋体" w:cs="宋体"/>
          <w:color w:val="auto"/>
          <w:sz w:val="24"/>
          <w:szCs w:val="24"/>
          <w:highlight w:val="none"/>
        </w:rPr>
        <w:sectPr>
          <w:headerReference r:id="rId16" w:type="default"/>
          <w:footerReference r:id="rId17" w:type="default"/>
          <w:pgSz w:w="11906" w:h="16839"/>
          <w:pgMar w:top="1483" w:right="1620" w:bottom="1416" w:left="1701" w:header="1109" w:footer="1200" w:gutter="0"/>
          <w:pgBorders>
            <w:top w:val="none" w:sz="0" w:space="0"/>
            <w:left w:val="none" w:sz="0" w:space="0"/>
            <w:bottom w:val="none" w:sz="0" w:space="0"/>
            <w:right w:val="none" w:sz="0" w:space="0"/>
          </w:pgBorders>
          <w:cols w:space="720" w:num="1"/>
        </w:sectPr>
      </w:pPr>
    </w:p>
    <w:p w14:paraId="7FA483C0">
      <w:pPr>
        <w:spacing w:before="239" w:line="220" w:lineRule="auto"/>
        <w:ind w:left="490"/>
        <w:rPr>
          <w:rFonts w:ascii="宋体" w:hAnsi="宋体" w:eastAsia="宋体" w:cs="宋体"/>
          <w:color w:val="auto"/>
          <w:sz w:val="24"/>
          <w:szCs w:val="24"/>
          <w:highlight w:val="none"/>
        </w:rPr>
      </w:pPr>
      <w:r>
        <w:rPr>
          <w:rFonts w:ascii="Times New Roman" w:hAnsi="Times New Roman" w:eastAsia="Times New Roman" w:cs="Times New Roman"/>
          <w:color w:val="auto"/>
          <w:spacing w:val="-5"/>
          <w:sz w:val="24"/>
          <w:szCs w:val="24"/>
          <w:highlight w:val="none"/>
        </w:rPr>
        <w:t>3</w:t>
      </w:r>
      <w:r>
        <w:rPr>
          <w:rFonts w:ascii="Times New Roman" w:hAnsi="Times New Roman" w:eastAsia="Times New Roman" w:cs="Times New Roman"/>
          <w:color w:val="auto"/>
          <w:spacing w:val="-31"/>
          <w:sz w:val="24"/>
          <w:szCs w:val="24"/>
          <w:highlight w:val="none"/>
        </w:rPr>
        <w:t xml:space="preserve"> </w:t>
      </w:r>
      <w:r>
        <w:rPr>
          <w:rFonts w:ascii="宋体" w:hAnsi="宋体" w:eastAsia="宋体" w:cs="宋体"/>
          <w:color w:val="auto"/>
          <w:spacing w:val="-5"/>
          <w:sz w:val="24"/>
          <w:szCs w:val="24"/>
          <w:highlight w:val="none"/>
        </w:rPr>
        <w:t>、风速统计分析</w:t>
      </w:r>
    </w:p>
    <w:p w14:paraId="440D4126">
      <w:pPr>
        <w:spacing w:before="180" w:line="354" w:lineRule="auto"/>
        <w:ind w:left="12" w:right="104" w:firstLine="478"/>
        <w:rPr>
          <w:rFonts w:ascii="宋体" w:hAnsi="宋体" w:eastAsia="宋体" w:cs="宋体"/>
          <w:color w:val="auto"/>
          <w:sz w:val="24"/>
          <w:szCs w:val="24"/>
          <w:highlight w:val="none"/>
        </w:rPr>
      </w:pPr>
      <w:r>
        <w:rPr>
          <w:rFonts w:hint="default" w:ascii="Times New Roman" w:hAnsi="Times New Roman" w:eastAsia="宋体" w:cs="Times New Roman"/>
          <w:color w:val="auto"/>
          <w:spacing w:val="-1"/>
          <w:sz w:val="24"/>
          <w:szCs w:val="24"/>
          <w:highlight w:val="none"/>
        </w:rPr>
        <w:t>2025年平均风速为</w:t>
      </w:r>
      <w:r>
        <w:rPr>
          <w:rFonts w:hint="eastAsia" w:ascii="Times New Roman" w:hAnsi="Times New Roman" w:eastAsia="宋体" w:cs="Times New Roman"/>
          <w:color w:val="auto"/>
          <w:spacing w:val="-1"/>
          <w:sz w:val="24"/>
          <w:szCs w:val="24"/>
          <w:highlight w:val="none"/>
          <w:lang w:val="en-US" w:eastAsia="zh-CN"/>
        </w:rPr>
        <w:t>2.08</w:t>
      </w:r>
      <w:r>
        <w:rPr>
          <w:rFonts w:hint="default" w:ascii="Times New Roman" w:hAnsi="Times New Roman" w:eastAsia="宋体" w:cs="Times New Roman"/>
          <w:color w:val="auto"/>
          <w:spacing w:val="-1"/>
          <w:sz w:val="24"/>
          <w:szCs w:val="24"/>
          <w:highlight w:val="none"/>
        </w:rPr>
        <w:t>m/s，</w:t>
      </w:r>
      <w:r>
        <w:rPr>
          <w:rFonts w:hint="eastAsia" w:ascii="Times New Roman" w:hAnsi="Times New Roman" w:eastAsia="宋体" w:cs="Times New Roman"/>
          <w:color w:val="auto"/>
          <w:spacing w:val="-1"/>
          <w:sz w:val="24"/>
          <w:szCs w:val="24"/>
          <w:highlight w:val="none"/>
          <w:lang w:val="en-US" w:eastAsia="zh-CN"/>
        </w:rPr>
        <w:t>5</w:t>
      </w:r>
      <w:r>
        <w:rPr>
          <w:rFonts w:hint="default" w:ascii="Times New Roman" w:hAnsi="Times New Roman" w:eastAsia="宋体" w:cs="Times New Roman"/>
          <w:color w:val="auto"/>
          <w:spacing w:val="-1"/>
          <w:sz w:val="24"/>
          <w:szCs w:val="24"/>
          <w:highlight w:val="none"/>
        </w:rPr>
        <w:t>月份平均风速最大为</w:t>
      </w:r>
      <w:r>
        <w:rPr>
          <w:rFonts w:hint="eastAsia" w:ascii="Times New Roman" w:hAnsi="Times New Roman" w:eastAsia="宋体" w:cs="Times New Roman"/>
          <w:color w:val="auto"/>
          <w:spacing w:val="-1"/>
          <w:sz w:val="24"/>
          <w:szCs w:val="24"/>
          <w:highlight w:val="none"/>
          <w:lang w:val="en-US" w:eastAsia="zh-CN"/>
        </w:rPr>
        <w:t>2.51</w:t>
      </w:r>
      <w:r>
        <w:rPr>
          <w:rFonts w:hint="default" w:ascii="Times New Roman" w:hAnsi="Times New Roman" w:eastAsia="宋体" w:cs="Times New Roman"/>
          <w:color w:val="auto"/>
          <w:spacing w:val="-1"/>
          <w:sz w:val="24"/>
          <w:szCs w:val="24"/>
          <w:highlight w:val="none"/>
        </w:rPr>
        <w:t>m/s；</w:t>
      </w:r>
      <w:r>
        <w:rPr>
          <w:rFonts w:hint="eastAsia" w:ascii="Times New Roman" w:hAnsi="Times New Roman" w:eastAsia="宋体" w:cs="Times New Roman"/>
          <w:color w:val="auto"/>
          <w:spacing w:val="-1"/>
          <w:sz w:val="24"/>
          <w:szCs w:val="24"/>
          <w:highlight w:val="none"/>
          <w:lang w:val="en-US" w:eastAsia="zh-CN"/>
        </w:rPr>
        <w:t>1</w:t>
      </w:r>
      <w:r>
        <w:rPr>
          <w:rFonts w:hint="default" w:ascii="Times New Roman" w:hAnsi="Times New Roman" w:eastAsia="宋体" w:cs="Times New Roman"/>
          <w:color w:val="auto"/>
          <w:spacing w:val="-1"/>
          <w:sz w:val="24"/>
          <w:szCs w:val="24"/>
          <w:highlight w:val="none"/>
        </w:rPr>
        <w:t>月份平均风速最小为</w:t>
      </w:r>
      <w:r>
        <w:rPr>
          <w:rFonts w:hint="eastAsia" w:ascii="Times New Roman" w:hAnsi="Times New Roman" w:eastAsia="宋体" w:cs="Times New Roman"/>
          <w:color w:val="auto"/>
          <w:spacing w:val="-1"/>
          <w:sz w:val="24"/>
          <w:szCs w:val="24"/>
          <w:highlight w:val="none"/>
          <w:lang w:val="en-US" w:eastAsia="zh-CN"/>
        </w:rPr>
        <w:t>1.35</w:t>
      </w:r>
      <w:r>
        <w:rPr>
          <w:rFonts w:hint="default" w:ascii="Times New Roman" w:hAnsi="Times New Roman" w:eastAsia="宋体" w:cs="Times New Roman"/>
          <w:color w:val="auto"/>
          <w:spacing w:val="-1"/>
          <w:sz w:val="24"/>
          <w:szCs w:val="24"/>
          <w:highlight w:val="none"/>
        </w:rPr>
        <w:t>m/s。年评价区域月平均风速统计见表5</w:t>
      </w:r>
      <w:r>
        <w:rPr>
          <w:rFonts w:hint="eastAsia" w:cs="Times New Roman"/>
          <w:color w:val="auto"/>
          <w:spacing w:val="-1"/>
          <w:sz w:val="24"/>
          <w:szCs w:val="24"/>
          <w:highlight w:val="none"/>
          <w:lang w:val="en-US" w:eastAsia="zh-CN"/>
        </w:rPr>
        <w:t>.2-9</w:t>
      </w:r>
      <w:r>
        <w:rPr>
          <w:rFonts w:hint="default" w:ascii="Times New Roman" w:hAnsi="Times New Roman" w:eastAsia="宋体" w:cs="Times New Roman"/>
          <w:color w:val="auto"/>
          <w:spacing w:val="-1"/>
          <w:sz w:val="24"/>
          <w:szCs w:val="24"/>
          <w:highlight w:val="none"/>
        </w:rPr>
        <w:t>，2025年评价区域月平均风速变化图见图</w:t>
      </w:r>
      <w:r>
        <w:rPr>
          <w:rFonts w:hint="eastAsia" w:cs="Times New Roman"/>
          <w:color w:val="auto"/>
          <w:spacing w:val="-1"/>
          <w:sz w:val="24"/>
          <w:szCs w:val="24"/>
          <w:highlight w:val="none"/>
          <w:lang w:val="en-US" w:eastAsia="zh-CN"/>
        </w:rPr>
        <w:t>5.2-4</w:t>
      </w:r>
      <w:r>
        <w:rPr>
          <w:rFonts w:hint="default" w:ascii="Times New Roman" w:hAnsi="Times New Roman" w:eastAsia="宋体" w:cs="Times New Roman"/>
          <w:color w:val="auto"/>
          <w:spacing w:val="-1"/>
          <w:sz w:val="24"/>
          <w:szCs w:val="24"/>
          <w:highlight w:val="none"/>
        </w:rPr>
        <w:t>。</w:t>
      </w:r>
    </w:p>
    <w:p w14:paraId="5E59623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表 </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9</w:t>
      </w:r>
      <w:r>
        <w:rPr>
          <w:rFonts w:hint="default" w:ascii="Times New Roman" w:hAnsi="Times New Roman" w:cs="Times New Roman"/>
          <w:color w:val="auto"/>
          <w:highlight w:val="none"/>
        </w:rPr>
        <w:t xml:space="preserve">   202</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 xml:space="preserve"> 年评价区域月平均风速统计表</w:t>
      </w:r>
    </w:p>
    <w:tbl>
      <w:tblPr>
        <w:tblStyle w:val="486"/>
        <w:tblW w:w="8339" w:type="dxa"/>
        <w:tblInd w:w="8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08"/>
        <w:gridCol w:w="594"/>
        <w:gridCol w:w="593"/>
        <w:gridCol w:w="594"/>
        <w:gridCol w:w="593"/>
        <w:gridCol w:w="594"/>
        <w:gridCol w:w="593"/>
        <w:gridCol w:w="593"/>
        <w:gridCol w:w="594"/>
        <w:gridCol w:w="593"/>
        <w:gridCol w:w="594"/>
        <w:gridCol w:w="594"/>
        <w:gridCol w:w="594"/>
        <w:gridCol w:w="608"/>
      </w:tblGrid>
      <w:tr w14:paraId="291F108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32" w:hRule="atLeast"/>
        </w:trPr>
        <w:tc>
          <w:tcPr>
            <w:tcW w:w="608" w:type="dxa"/>
            <w:tcBorders>
              <w:tl2br w:val="nil"/>
              <w:tr2bl w:val="nil"/>
            </w:tcBorders>
            <w:vAlign w:val="center"/>
          </w:tcPr>
          <w:p w14:paraId="3464CE6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月份</w:t>
            </w:r>
          </w:p>
        </w:tc>
        <w:tc>
          <w:tcPr>
            <w:tcW w:w="594" w:type="dxa"/>
            <w:tcBorders>
              <w:tl2br w:val="nil"/>
              <w:tr2bl w:val="nil"/>
            </w:tcBorders>
            <w:vAlign w:val="center"/>
          </w:tcPr>
          <w:p w14:paraId="06257C0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1月</w:t>
            </w:r>
          </w:p>
        </w:tc>
        <w:tc>
          <w:tcPr>
            <w:tcW w:w="593" w:type="dxa"/>
            <w:tcBorders>
              <w:tl2br w:val="nil"/>
              <w:tr2bl w:val="nil"/>
            </w:tcBorders>
            <w:vAlign w:val="center"/>
          </w:tcPr>
          <w:p w14:paraId="4804AB3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2月</w:t>
            </w:r>
          </w:p>
        </w:tc>
        <w:tc>
          <w:tcPr>
            <w:tcW w:w="594" w:type="dxa"/>
            <w:tcBorders>
              <w:tl2br w:val="nil"/>
              <w:tr2bl w:val="nil"/>
            </w:tcBorders>
            <w:vAlign w:val="center"/>
          </w:tcPr>
          <w:p w14:paraId="1AB637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3月</w:t>
            </w:r>
          </w:p>
        </w:tc>
        <w:tc>
          <w:tcPr>
            <w:tcW w:w="593" w:type="dxa"/>
            <w:tcBorders>
              <w:tl2br w:val="nil"/>
              <w:tr2bl w:val="nil"/>
            </w:tcBorders>
            <w:vAlign w:val="center"/>
          </w:tcPr>
          <w:p w14:paraId="5DC0777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4月</w:t>
            </w:r>
          </w:p>
        </w:tc>
        <w:tc>
          <w:tcPr>
            <w:tcW w:w="594" w:type="dxa"/>
            <w:tcBorders>
              <w:tl2br w:val="nil"/>
              <w:tr2bl w:val="nil"/>
            </w:tcBorders>
            <w:vAlign w:val="center"/>
          </w:tcPr>
          <w:p w14:paraId="08A902C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5月</w:t>
            </w:r>
          </w:p>
        </w:tc>
        <w:tc>
          <w:tcPr>
            <w:tcW w:w="593" w:type="dxa"/>
            <w:tcBorders>
              <w:tl2br w:val="nil"/>
              <w:tr2bl w:val="nil"/>
            </w:tcBorders>
            <w:vAlign w:val="center"/>
          </w:tcPr>
          <w:p w14:paraId="1FE78E9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6月</w:t>
            </w:r>
          </w:p>
        </w:tc>
        <w:tc>
          <w:tcPr>
            <w:tcW w:w="593" w:type="dxa"/>
            <w:tcBorders>
              <w:tl2br w:val="nil"/>
              <w:tr2bl w:val="nil"/>
            </w:tcBorders>
            <w:vAlign w:val="center"/>
          </w:tcPr>
          <w:p w14:paraId="1AFCD53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7月</w:t>
            </w:r>
          </w:p>
        </w:tc>
        <w:tc>
          <w:tcPr>
            <w:tcW w:w="594" w:type="dxa"/>
            <w:tcBorders>
              <w:tl2br w:val="nil"/>
              <w:tr2bl w:val="nil"/>
            </w:tcBorders>
            <w:vAlign w:val="center"/>
          </w:tcPr>
          <w:p w14:paraId="5CAF267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8月</w:t>
            </w:r>
          </w:p>
        </w:tc>
        <w:tc>
          <w:tcPr>
            <w:tcW w:w="593" w:type="dxa"/>
            <w:tcBorders>
              <w:tl2br w:val="nil"/>
              <w:tr2bl w:val="nil"/>
            </w:tcBorders>
            <w:vAlign w:val="center"/>
          </w:tcPr>
          <w:p w14:paraId="01FE72D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9月</w:t>
            </w:r>
          </w:p>
        </w:tc>
        <w:tc>
          <w:tcPr>
            <w:tcW w:w="594" w:type="dxa"/>
            <w:tcBorders>
              <w:tl2br w:val="nil"/>
              <w:tr2bl w:val="nil"/>
            </w:tcBorders>
            <w:vAlign w:val="center"/>
          </w:tcPr>
          <w:p w14:paraId="45FF0C8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10月</w:t>
            </w:r>
          </w:p>
        </w:tc>
        <w:tc>
          <w:tcPr>
            <w:tcW w:w="594" w:type="dxa"/>
            <w:tcBorders>
              <w:tl2br w:val="nil"/>
              <w:tr2bl w:val="nil"/>
            </w:tcBorders>
            <w:vAlign w:val="center"/>
          </w:tcPr>
          <w:p w14:paraId="35D6453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11月</w:t>
            </w:r>
          </w:p>
        </w:tc>
        <w:tc>
          <w:tcPr>
            <w:tcW w:w="594" w:type="dxa"/>
            <w:tcBorders>
              <w:tl2br w:val="nil"/>
              <w:tr2bl w:val="nil"/>
            </w:tcBorders>
            <w:vAlign w:val="center"/>
          </w:tcPr>
          <w:p w14:paraId="561B19C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12月</w:t>
            </w:r>
          </w:p>
        </w:tc>
        <w:tc>
          <w:tcPr>
            <w:tcW w:w="608" w:type="dxa"/>
            <w:tcBorders>
              <w:tl2br w:val="nil"/>
              <w:tr2bl w:val="nil"/>
            </w:tcBorders>
            <w:vAlign w:val="center"/>
          </w:tcPr>
          <w:p w14:paraId="4800673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全年</w:t>
            </w:r>
          </w:p>
        </w:tc>
      </w:tr>
      <w:tr w14:paraId="105F4BC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608" w:type="dxa"/>
            <w:tcBorders>
              <w:tl2br w:val="nil"/>
              <w:tr2bl w:val="nil"/>
            </w:tcBorders>
            <w:vAlign w:val="center"/>
          </w:tcPr>
          <w:p w14:paraId="44BE967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风速(m/s)</w:t>
            </w:r>
          </w:p>
        </w:tc>
        <w:tc>
          <w:tcPr>
            <w:tcW w:w="594" w:type="dxa"/>
            <w:tcBorders>
              <w:tl2br w:val="nil"/>
              <w:tr2bl w:val="nil"/>
            </w:tcBorders>
            <w:vAlign w:val="center"/>
          </w:tcPr>
          <w:p w14:paraId="4E651CE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1.35</w:t>
            </w:r>
          </w:p>
        </w:tc>
        <w:tc>
          <w:tcPr>
            <w:tcW w:w="593" w:type="dxa"/>
            <w:tcBorders>
              <w:tl2br w:val="nil"/>
              <w:tr2bl w:val="nil"/>
            </w:tcBorders>
            <w:vAlign w:val="center"/>
          </w:tcPr>
          <w:p w14:paraId="5F8A073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1.90</w:t>
            </w:r>
          </w:p>
        </w:tc>
        <w:tc>
          <w:tcPr>
            <w:tcW w:w="594" w:type="dxa"/>
            <w:tcBorders>
              <w:tl2br w:val="nil"/>
              <w:tr2bl w:val="nil"/>
            </w:tcBorders>
            <w:vAlign w:val="center"/>
          </w:tcPr>
          <w:p w14:paraId="43C8DEA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2.27</w:t>
            </w:r>
          </w:p>
        </w:tc>
        <w:tc>
          <w:tcPr>
            <w:tcW w:w="593" w:type="dxa"/>
            <w:tcBorders>
              <w:tl2br w:val="nil"/>
              <w:tr2bl w:val="nil"/>
            </w:tcBorders>
            <w:vAlign w:val="center"/>
          </w:tcPr>
          <w:p w14:paraId="4E65975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2.43</w:t>
            </w:r>
          </w:p>
        </w:tc>
        <w:tc>
          <w:tcPr>
            <w:tcW w:w="594" w:type="dxa"/>
            <w:tcBorders>
              <w:tl2br w:val="nil"/>
              <w:tr2bl w:val="nil"/>
            </w:tcBorders>
            <w:vAlign w:val="center"/>
          </w:tcPr>
          <w:p w14:paraId="6B71B32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2.51</w:t>
            </w:r>
          </w:p>
        </w:tc>
        <w:tc>
          <w:tcPr>
            <w:tcW w:w="593" w:type="dxa"/>
            <w:tcBorders>
              <w:tl2br w:val="nil"/>
              <w:tr2bl w:val="nil"/>
            </w:tcBorders>
            <w:vAlign w:val="center"/>
          </w:tcPr>
          <w:p w14:paraId="2E3D87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w:t>
            </w:r>
          </w:p>
        </w:tc>
        <w:tc>
          <w:tcPr>
            <w:tcW w:w="593" w:type="dxa"/>
            <w:tcBorders>
              <w:tl2br w:val="nil"/>
              <w:tr2bl w:val="nil"/>
            </w:tcBorders>
            <w:vAlign w:val="center"/>
          </w:tcPr>
          <w:p w14:paraId="72A8439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2.49</w:t>
            </w:r>
          </w:p>
        </w:tc>
        <w:tc>
          <w:tcPr>
            <w:tcW w:w="594" w:type="dxa"/>
            <w:tcBorders>
              <w:tl2br w:val="nil"/>
              <w:tr2bl w:val="nil"/>
            </w:tcBorders>
            <w:vAlign w:val="center"/>
          </w:tcPr>
          <w:p w14:paraId="578EEE8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1.92</w:t>
            </w:r>
          </w:p>
        </w:tc>
        <w:tc>
          <w:tcPr>
            <w:tcW w:w="593" w:type="dxa"/>
            <w:tcBorders>
              <w:tl2br w:val="nil"/>
              <w:tr2bl w:val="nil"/>
            </w:tcBorders>
            <w:vAlign w:val="center"/>
          </w:tcPr>
          <w:p w14:paraId="5AEF715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2.19</w:t>
            </w:r>
          </w:p>
        </w:tc>
        <w:tc>
          <w:tcPr>
            <w:tcW w:w="594" w:type="dxa"/>
            <w:tcBorders>
              <w:tl2br w:val="nil"/>
              <w:tr2bl w:val="nil"/>
            </w:tcBorders>
            <w:vAlign w:val="center"/>
          </w:tcPr>
          <w:p w14:paraId="73928F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2.08</w:t>
            </w:r>
          </w:p>
        </w:tc>
        <w:tc>
          <w:tcPr>
            <w:tcW w:w="594" w:type="dxa"/>
            <w:tcBorders>
              <w:tl2br w:val="nil"/>
              <w:tr2bl w:val="nil"/>
            </w:tcBorders>
            <w:vAlign w:val="center"/>
          </w:tcPr>
          <w:p w14:paraId="285C9EA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2.13</w:t>
            </w:r>
          </w:p>
        </w:tc>
        <w:tc>
          <w:tcPr>
            <w:tcW w:w="594" w:type="dxa"/>
            <w:tcBorders>
              <w:tl2br w:val="nil"/>
              <w:tr2bl w:val="nil"/>
            </w:tcBorders>
            <w:vAlign w:val="center"/>
          </w:tcPr>
          <w:p w14:paraId="3CECBA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1.66</w:t>
            </w:r>
          </w:p>
        </w:tc>
        <w:tc>
          <w:tcPr>
            <w:tcW w:w="608" w:type="dxa"/>
            <w:tcBorders>
              <w:tl2br w:val="nil"/>
              <w:tr2bl w:val="nil"/>
            </w:tcBorders>
            <w:vAlign w:val="center"/>
          </w:tcPr>
          <w:p w14:paraId="08C9D547">
            <w:pPr>
              <w:pStyle w:val="146"/>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2.08</w:t>
            </w:r>
          </w:p>
        </w:tc>
      </w:tr>
    </w:tbl>
    <w:p w14:paraId="27C95842">
      <w:pPr>
        <w:spacing w:line="3310" w:lineRule="exact"/>
        <w:rPr>
          <w:color w:val="auto"/>
          <w:highlight w:val="none"/>
        </w:rPr>
      </w:pPr>
      <w:r>
        <w:rPr>
          <w:color w:val="auto"/>
          <w:highlight w:val="none"/>
        </w:rPr>
        <w:drawing>
          <wp:anchor distT="0" distB="0" distL="114300" distR="114300" simplePos="0" relativeHeight="251694080" behindDoc="0" locked="0" layoutInCell="1" allowOverlap="1">
            <wp:simplePos x="0" y="0"/>
            <wp:positionH relativeFrom="column">
              <wp:posOffset>-33020</wp:posOffset>
            </wp:positionH>
            <wp:positionV relativeFrom="paragraph">
              <wp:posOffset>39370</wp:posOffset>
            </wp:positionV>
            <wp:extent cx="5394960" cy="2049780"/>
            <wp:effectExtent l="0" t="0" r="15240" b="7620"/>
            <wp:wrapNone/>
            <wp:docPr id="1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1"/>
                    </pic:cNvPicPr>
                  </pic:nvPicPr>
                  <pic:blipFill>
                    <a:blip r:embed="rId68"/>
                    <a:stretch>
                      <a:fillRect/>
                    </a:stretch>
                  </pic:blipFill>
                  <pic:spPr>
                    <a:xfrm>
                      <a:off x="0" y="0"/>
                      <a:ext cx="5394960" cy="2049780"/>
                    </a:xfrm>
                    <a:prstGeom prst="rect">
                      <a:avLst/>
                    </a:prstGeom>
                    <a:noFill/>
                    <a:ln>
                      <a:noFill/>
                    </a:ln>
                  </pic:spPr>
                </pic:pic>
              </a:graphicData>
            </a:graphic>
          </wp:anchor>
        </w:drawing>
      </w:r>
    </w:p>
    <w:p w14:paraId="21B5693A">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图</w:t>
      </w:r>
      <w:r>
        <w:rPr>
          <w:rFonts w:hint="eastAsia" w:ascii="Times New Roman" w:hAnsi="Times New Roman" w:cs="Times New Roman"/>
          <w:color w:val="auto"/>
          <w:highlight w:val="none"/>
          <w:lang w:val="en-US" w:eastAsia="zh-CN"/>
        </w:rPr>
        <w:t>5.2-4</w:t>
      </w:r>
      <w:r>
        <w:rPr>
          <w:rFonts w:hint="default" w:ascii="Times New Roman" w:hAnsi="Times New Roman" w:cs="Times New Roman"/>
          <w:color w:val="auto"/>
          <w:highlight w:val="none"/>
        </w:rPr>
        <w:t xml:space="preserve">    2024 年评价区域月平均风速变化图</w:t>
      </w:r>
    </w:p>
    <w:p w14:paraId="030D7E5D">
      <w:pPr>
        <w:spacing w:before="182" w:line="362" w:lineRule="auto"/>
        <w:ind w:left="8" w:firstLine="481"/>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年评价区域各季小时平均风速的日变化见表</w:t>
      </w:r>
      <w:r>
        <w:rPr>
          <w:rFonts w:ascii="Times New Roman" w:hAnsi="Times New Roman" w:eastAsia="Times New Roman" w:cs="Times New Roman"/>
          <w:color w:val="auto"/>
          <w:spacing w:val="-2"/>
          <w:sz w:val="24"/>
          <w:szCs w:val="24"/>
          <w:highlight w:val="none"/>
        </w:rPr>
        <w:t>5</w:t>
      </w:r>
      <w:r>
        <w:rPr>
          <w:rFonts w:hint="eastAsia" w:eastAsia="宋体" w:cs="Times New Roman"/>
          <w:color w:val="auto"/>
          <w:spacing w:val="-2"/>
          <w:sz w:val="24"/>
          <w:szCs w:val="24"/>
          <w:highlight w:val="none"/>
          <w:lang w:val="en-US" w:eastAsia="zh-CN"/>
        </w:rPr>
        <w:t>-</w:t>
      </w:r>
      <w:r>
        <w:rPr>
          <w:rFonts w:ascii="Times New Roman" w:hAnsi="Times New Roman" w:eastAsia="Times New Roman" w:cs="Times New Roman"/>
          <w:color w:val="auto"/>
          <w:spacing w:val="-2"/>
          <w:sz w:val="24"/>
          <w:szCs w:val="24"/>
          <w:highlight w:val="none"/>
        </w:rPr>
        <w:t>2-</w:t>
      </w:r>
      <w:r>
        <w:rPr>
          <w:rFonts w:hint="eastAsia" w:cs="Times New Roman"/>
          <w:color w:val="auto"/>
          <w:spacing w:val="-2"/>
          <w:sz w:val="24"/>
          <w:szCs w:val="24"/>
          <w:highlight w:val="none"/>
          <w:lang w:val="en-US" w:eastAsia="zh-CN"/>
        </w:rPr>
        <w:t>10</w:t>
      </w:r>
      <w:r>
        <w:rPr>
          <w:rFonts w:ascii="宋体" w:hAnsi="宋体" w:eastAsia="宋体" w:cs="宋体"/>
          <w:color w:val="auto"/>
          <w:spacing w:val="-2"/>
          <w:sz w:val="24"/>
          <w:szCs w:val="24"/>
          <w:highlight w:val="none"/>
        </w:rPr>
        <w:t>。</w:t>
      </w:r>
      <w:r>
        <w:rPr>
          <w:rFonts w:ascii="Times New Roman" w:hAnsi="Times New Roman" w:eastAsia="Times New Roman" w:cs="Times New Roman"/>
          <w:color w:val="auto"/>
          <w:spacing w:val="-2"/>
          <w:sz w:val="24"/>
          <w:szCs w:val="24"/>
          <w:highlight w:val="none"/>
        </w:rPr>
        <w:t>202</w:t>
      </w:r>
      <w:r>
        <w:rPr>
          <w:rFonts w:hint="eastAsia" w:eastAsia="宋体" w:cs="Times New Roman"/>
          <w:color w:val="auto"/>
          <w:spacing w:val="-2"/>
          <w:sz w:val="24"/>
          <w:szCs w:val="24"/>
          <w:highlight w:val="none"/>
          <w:lang w:val="en-US" w:eastAsia="zh-CN"/>
        </w:rPr>
        <w:t>5</w:t>
      </w:r>
      <w:r>
        <w:rPr>
          <w:rFonts w:ascii="宋体" w:hAnsi="宋体" w:eastAsia="宋体" w:cs="宋体"/>
          <w:color w:val="auto"/>
          <w:spacing w:val="-2"/>
          <w:sz w:val="24"/>
          <w:szCs w:val="24"/>
          <w:highlight w:val="none"/>
        </w:rPr>
        <w:t>年评价区域各季小时平均风速的日变化见图</w:t>
      </w:r>
      <w:r>
        <w:rPr>
          <w:rFonts w:ascii="Times New Roman" w:hAnsi="Times New Roman" w:eastAsia="Times New Roman" w:cs="Times New Roman"/>
          <w:color w:val="auto"/>
          <w:spacing w:val="-2"/>
          <w:sz w:val="24"/>
          <w:szCs w:val="24"/>
          <w:highlight w:val="none"/>
        </w:rPr>
        <w:t>5.2-</w:t>
      </w:r>
      <w:r>
        <w:rPr>
          <w:rFonts w:hint="eastAsia" w:eastAsia="宋体" w:cs="Times New Roman"/>
          <w:color w:val="auto"/>
          <w:spacing w:val="-2"/>
          <w:sz w:val="24"/>
          <w:szCs w:val="24"/>
          <w:highlight w:val="none"/>
          <w:lang w:val="en-US" w:eastAsia="zh-CN"/>
        </w:rPr>
        <w:t>5</w:t>
      </w:r>
      <w:r>
        <w:rPr>
          <w:rFonts w:ascii="宋体" w:hAnsi="宋体" w:eastAsia="宋体" w:cs="宋体"/>
          <w:color w:val="auto"/>
          <w:spacing w:val="-2"/>
          <w:sz w:val="24"/>
          <w:szCs w:val="24"/>
          <w:highlight w:val="none"/>
        </w:rPr>
        <w:t>。</w:t>
      </w:r>
    </w:p>
    <w:p w14:paraId="70EDDCEE">
      <w:pPr>
        <w:spacing w:line="362" w:lineRule="auto"/>
        <w:rPr>
          <w:rFonts w:ascii="宋体" w:hAnsi="宋体" w:eastAsia="宋体" w:cs="宋体"/>
          <w:color w:val="auto"/>
          <w:sz w:val="24"/>
          <w:szCs w:val="24"/>
          <w:highlight w:val="none"/>
        </w:rPr>
        <w:sectPr>
          <w:headerReference r:id="rId18" w:type="default"/>
          <w:footerReference r:id="rId19" w:type="default"/>
          <w:pgSz w:w="11906" w:h="16839"/>
          <w:pgMar w:top="1496" w:right="1700" w:bottom="1417" w:left="1701" w:header="1109" w:footer="1200" w:gutter="0"/>
          <w:pgBorders>
            <w:top w:val="none" w:sz="0" w:space="0"/>
            <w:left w:val="none" w:sz="0" w:space="0"/>
            <w:bottom w:val="none" w:sz="0" w:space="0"/>
            <w:right w:val="none" w:sz="0" w:space="0"/>
          </w:pgBorders>
          <w:cols w:space="720" w:num="1"/>
        </w:sectPr>
      </w:pPr>
    </w:p>
    <w:p w14:paraId="53EEB56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5-2-</w:t>
      </w:r>
      <w:r>
        <w:rPr>
          <w:rFonts w:hint="eastAsia" w:cs="Times New Roman"/>
          <w:color w:val="auto"/>
          <w:highlight w:val="none"/>
          <w:lang w:val="en-US" w:eastAsia="zh-CN"/>
        </w:rPr>
        <w:t xml:space="preserve">10 </w:t>
      </w:r>
      <w:r>
        <w:rPr>
          <w:rFonts w:hint="default" w:ascii="Times New Roman" w:hAnsi="Times New Roman" w:cs="Times New Roman"/>
          <w:color w:val="auto"/>
          <w:highlight w:val="none"/>
        </w:rPr>
        <w:t xml:space="preserve"> 2025 年评价区域各季小时平均风速的日变化（单位：m/s）</w:t>
      </w:r>
    </w:p>
    <w:tbl>
      <w:tblPr>
        <w:tblStyle w:val="47"/>
        <w:tblW w:w="4998"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Layout w:type="autofit"/>
        <w:tblCellMar>
          <w:top w:w="0" w:type="dxa"/>
          <w:left w:w="108" w:type="dxa"/>
          <w:bottom w:w="0" w:type="dxa"/>
          <w:right w:w="108" w:type="dxa"/>
        </w:tblCellMar>
      </w:tblPr>
      <w:tblGrid>
        <w:gridCol w:w="1969"/>
        <w:gridCol w:w="976"/>
        <w:gridCol w:w="976"/>
        <w:gridCol w:w="976"/>
        <w:gridCol w:w="976"/>
        <w:gridCol w:w="977"/>
        <w:gridCol w:w="977"/>
        <w:gridCol w:w="977"/>
        <w:gridCol w:w="977"/>
        <w:gridCol w:w="977"/>
        <w:gridCol w:w="977"/>
        <w:gridCol w:w="977"/>
        <w:gridCol w:w="977"/>
      </w:tblGrid>
      <w:tr w14:paraId="5069B48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00" w:hRule="atLeast"/>
        </w:trPr>
        <w:tc>
          <w:tcPr>
            <w:tcW w:w="718" w:type="pct"/>
            <w:tcBorders>
              <w:tl2br w:val="nil"/>
              <w:tr2bl w:val="nil"/>
            </w:tcBorders>
            <w:shd w:val="clear" w:color="auto" w:fill="auto"/>
            <w:noWrap/>
            <w:vAlign w:val="center"/>
          </w:tcPr>
          <w:p w14:paraId="3074BAD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风速(m/s)  小时(h)  </w:t>
            </w:r>
          </w:p>
        </w:tc>
        <w:tc>
          <w:tcPr>
            <w:tcW w:w="356" w:type="pct"/>
            <w:tcBorders>
              <w:tl2br w:val="nil"/>
              <w:tr2bl w:val="nil"/>
            </w:tcBorders>
            <w:shd w:val="clear" w:color="auto" w:fill="auto"/>
            <w:noWrap/>
            <w:vAlign w:val="center"/>
          </w:tcPr>
          <w:p w14:paraId="27E25FD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356" w:type="pct"/>
            <w:tcBorders>
              <w:tl2br w:val="nil"/>
              <w:tr2bl w:val="nil"/>
            </w:tcBorders>
            <w:shd w:val="clear" w:color="auto" w:fill="auto"/>
            <w:noWrap/>
            <w:vAlign w:val="center"/>
          </w:tcPr>
          <w:p w14:paraId="2498E37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356" w:type="pct"/>
            <w:tcBorders>
              <w:tl2br w:val="nil"/>
              <w:tr2bl w:val="nil"/>
            </w:tcBorders>
            <w:shd w:val="clear" w:color="auto" w:fill="auto"/>
            <w:noWrap/>
            <w:vAlign w:val="center"/>
          </w:tcPr>
          <w:p w14:paraId="50E789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356" w:type="pct"/>
            <w:tcBorders>
              <w:tl2br w:val="nil"/>
              <w:tr2bl w:val="nil"/>
            </w:tcBorders>
            <w:shd w:val="clear" w:color="auto" w:fill="auto"/>
            <w:noWrap/>
            <w:vAlign w:val="center"/>
          </w:tcPr>
          <w:p w14:paraId="2836FA6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356" w:type="pct"/>
            <w:tcBorders>
              <w:tl2br w:val="nil"/>
              <w:tr2bl w:val="nil"/>
            </w:tcBorders>
            <w:shd w:val="clear" w:color="auto" w:fill="auto"/>
            <w:noWrap/>
            <w:vAlign w:val="center"/>
          </w:tcPr>
          <w:p w14:paraId="48F239F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356" w:type="pct"/>
            <w:tcBorders>
              <w:tl2br w:val="nil"/>
              <w:tr2bl w:val="nil"/>
            </w:tcBorders>
            <w:shd w:val="clear" w:color="auto" w:fill="auto"/>
            <w:noWrap/>
            <w:vAlign w:val="center"/>
          </w:tcPr>
          <w:p w14:paraId="72E58DF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356" w:type="pct"/>
            <w:tcBorders>
              <w:tl2br w:val="nil"/>
              <w:tr2bl w:val="nil"/>
            </w:tcBorders>
            <w:shd w:val="clear" w:color="auto" w:fill="auto"/>
            <w:noWrap/>
            <w:vAlign w:val="center"/>
          </w:tcPr>
          <w:p w14:paraId="79DC7CF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356" w:type="pct"/>
            <w:tcBorders>
              <w:tl2br w:val="nil"/>
              <w:tr2bl w:val="nil"/>
            </w:tcBorders>
            <w:shd w:val="clear" w:color="auto" w:fill="auto"/>
            <w:noWrap/>
            <w:vAlign w:val="center"/>
          </w:tcPr>
          <w:p w14:paraId="2BA12D6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356" w:type="pct"/>
            <w:tcBorders>
              <w:tl2br w:val="nil"/>
              <w:tr2bl w:val="nil"/>
            </w:tcBorders>
            <w:shd w:val="clear" w:color="auto" w:fill="auto"/>
            <w:noWrap/>
            <w:vAlign w:val="center"/>
          </w:tcPr>
          <w:p w14:paraId="1D2B6CD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w:t>
            </w:r>
          </w:p>
        </w:tc>
        <w:tc>
          <w:tcPr>
            <w:tcW w:w="356" w:type="pct"/>
            <w:tcBorders>
              <w:tl2br w:val="nil"/>
              <w:tr2bl w:val="nil"/>
            </w:tcBorders>
            <w:shd w:val="clear" w:color="auto" w:fill="auto"/>
            <w:noWrap/>
            <w:vAlign w:val="center"/>
          </w:tcPr>
          <w:p w14:paraId="57CBFC3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356" w:type="pct"/>
            <w:tcBorders>
              <w:tl2br w:val="nil"/>
              <w:tr2bl w:val="nil"/>
            </w:tcBorders>
            <w:shd w:val="clear" w:color="auto" w:fill="auto"/>
            <w:noWrap/>
            <w:vAlign w:val="center"/>
          </w:tcPr>
          <w:p w14:paraId="649D023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356" w:type="pct"/>
            <w:tcBorders>
              <w:tl2br w:val="nil"/>
              <w:tr2bl w:val="nil"/>
            </w:tcBorders>
            <w:shd w:val="clear" w:color="auto" w:fill="auto"/>
            <w:noWrap/>
            <w:vAlign w:val="center"/>
          </w:tcPr>
          <w:p w14:paraId="025F734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r>
      <w:tr w14:paraId="1DF11158">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422532B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春季                </w:t>
            </w:r>
          </w:p>
        </w:tc>
        <w:tc>
          <w:tcPr>
            <w:tcW w:w="356" w:type="pct"/>
            <w:tcBorders>
              <w:tl2br w:val="nil"/>
              <w:tr2bl w:val="nil"/>
            </w:tcBorders>
            <w:shd w:val="clear" w:color="auto" w:fill="auto"/>
            <w:noWrap/>
            <w:vAlign w:val="bottom"/>
          </w:tcPr>
          <w:p w14:paraId="3E366E5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1.70 </w:t>
            </w:r>
          </w:p>
        </w:tc>
        <w:tc>
          <w:tcPr>
            <w:tcW w:w="356" w:type="pct"/>
            <w:tcBorders>
              <w:tl2br w:val="nil"/>
              <w:tr2bl w:val="nil"/>
            </w:tcBorders>
            <w:shd w:val="clear" w:color="auto" w:fill="auto"/>
            <w:noWrap/>
            <w:vAlign w:val="bottom"/>
          </w:tcPr>
          <w:p w14:paraId="403959F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1.63 </w:t>
            </w:r>
          </w:p>
        </w:tc>
        <w:tc>
          <w:tcPr>
            <w:tcW w:w="356" w:type="pct"/>
            <w:tcBorders>
              <w:tl2br w:val="nil"/>
              <w:tr2bl w:val="nil"/>
            </w:tcBorders>
            <w:shd w:val="clear" w:color="auto" w:fill="auto"/>
            <w:noWrap/>
            <w:vAlign w:val="bottom"/>
          </w:tcPr>
          <w:p w14:paraId="00F92E3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1.53 </w:t>
            </w:r>
          </w:p>
        </w:tc>
        <w:tc>
          <w:tcPr>
            <w:tcW w:w="356" w:type="pct"/>
            <w:tcBorders>
              <w:tl2br w:val="nil"/>
              <w:tr2bl w:val="nil"/>
            </w:tcBorders>
            <w:shd w:val="clear" w:color="auto" w:fill="auto"/>
            <w:noWrap/>
            <w:vAlign w:val="bottom"/>
          </w:tcPr>
          <w:p w14:paraId="44EBA75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1.64 </w:t>
            </w:r>
          </w:p>
        </w:tc>
        <w:tc>
          <w:tcPr>
            <w:tcW w:w="356" w:type="pct"/>
            <w:tcBorders>
              <w:tl2br w:val="nil"/>
              <w:tr2bl w:val="nil"/>
            </w:tcBorders>
            <w:shd w:val="clear" w:color="auto" w:fill="auto"/>
            <w:noWrap/>
            <w:vAlign w:val="bottom"/>
          </w:tcPr>
          <w:p w14:paraId="163A085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1.54 </w:t>
            </w:r>
          </w:p>
        </w:tc>
        <w:tc>
          <w:tcPr>
            <w:tcW w:w="356" w:type="pct"/>
            <w:tcBorders>
              <w:tl2br w:val="nil"/>
              <w:tr2bl w:val="nil"/>
            </w:tcBorders>
            <w:shd w:val="clear" w:color="auto" w:fill="auto"/>
            <w:noWrap/>
            <w:vAlign w:val="bottom"/>
          </w:tcPr>
          <w:p w14:paraId="57FFEBB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1.84 </w:t>
            </w:r>
          </w:p>
        </w:tc>
        <w:tc>
          <w:tcPr>
            <w:tcW w:w="356" w:type="pct"/>
            <w:tcBorders>
              <w:tl2br w:val="nil"/>
              <w:tr2bl w:val="nil"/>
            </w:tcBorders>
            <w:shd w:val="clear" w:color="auto" w:fill="auto"/>
            <w:noWrap/>
            <w:vAlign w:val="bottom"/>
          </w:tcPr>
          <w:p w14:paraId="6ACE709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2.03 </w:t>
            </w:r>
          </w:p>
        </w:tc>
        <w:tc>
          <w:tcPr>
            <w:tcW w:w="356" w:type="pct"/>
            <w:tcBorders>
              <w:tl2br w:val="nil"/>
              <w:tr2bl w:val="nil"/>
            </w:tcBorders>
            <w:shd w:val="clear" w:color="auto" w:fill="auto"/>
            <w:noWrap/>
            <w:vAlign w:val="bottom"/>
          </w:tcPr>
          <w:p w14:paraId="42C2984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2.43 </w:t>
            </w:r>
          </w:p>
        </w:tc>
        <w:tc>
          <w:tcPr>
            <w:tcW w:w="356" w:type="pct"/>
            <w:tcBorders>
              <w:tl2br w:val="nil"/>
              <w:tr2bl w:val="nil"/>
            </w:tcBorders>
            <w:shd w:val="clear" w:color="auto" w:fill="auto"/>
            <w:noWrap/>
            <w:vAlign w:val="bottom"/>
          </w:tcPr>
          <w:p w14:paraId="6A2EE3A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2.70 </w:t>
            </w:r>
          </w:p>
        </w:tc>
        <w:tc>
          <w:tcPr>
            <w:tcW w:w="356" w:type="pct"/>
            <w:tcBorders>
              <w:tl2br w:val="nil"/>
              <w:tr2bl w:val="nil"/>
            </w:tcBorders>
            <w:shd w:val="clear" w:color="auto" w:fill="auto"/>
            <w:noWrap/>
            <w:vAlign w:val="bottom"/>
          </w:tcPr>
          <w:p w14:paraId="1D4BEC4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3.04 </w:t>
            </w:r>
          </w:p>
        </w:tc>
        <w:tc>
          <w:tcPr>
            <w:tcW w:w="356" w:type="pct"/>
            <w:tcBorders>
              <w:tl2br w:val="nil"/>
              <w:tr2bl w:val="nil"/>
            </w:tcBorders>
            <w:shd w:val="clear" w:color="auto" w:fill="auto"/>
            <w:noWrap/>
            <w:vAlign w:val="bottom"/>
          </w:tcPr>
          <w:p w14:paraId="7D4E0D2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3.49 </w:t>
            </w:r>
          </w:p>
        </w:tc>
        <w:tc>
          <w:tcPr>
            <w:tcW w:w="356" w:type="pct"/>
            <w:tcBorders>
              <w:tl2br w:val="nil"/>
              <w:tr2bl w:val="nil"/>
            </w:tcBorders>
            <w:shd w:val="clear" w:color="auto" w:fill="auto"/>
            <w:noWrap/>
            <w:vAlign w:val="bottom"/>
          </w:tcPr>
          <w:p w14:paraId="704287A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3.44 </w:t>
            </w:r>
          </w:p>
        </w:tc>
      </w:tr>
      <w:tr w14:paraId="0BE8EF7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6172060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夏季                </w:t>
            </w:r>
          </w:p>
        </w:tc>
        <w:tc>
          <w:tcPr>
            <w:tcW w:w="356" w:type="pct"/>
            <w:tcBorders>
              <w:tl2br w:val="nil"/>
              <w:tr2bl w:val="nil"/>
            </w:tcBorders>
            <w:shd w:val="clear" w:color="auto" w:fill="auto"/>
            <w:noWrap/>
            <w:vAlign w:val="bottom"/>
          </w:tcPr>
          <w:p w14:paraId="67A5F19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1.58 </w:t>
            </w:r>
          </w:p>
        </w:tc>
        <w:tc>
          <w:tcPr>
            <w:tcW w:w="356" w:type="pct"/>
            <w:tcBorders>
              <w:tl2br w:val="nil"/>
              <w:tr2bl w:val="nil"/>
            </w:tcBorders>
            <w:shd w:val="clear" w:color="auto" w:fill="auto"/>
            <w:noWrap/>
            <w:vAlign w:val="bottom"/>
          </w:tcPr>
          <w:p w14:paraId="5B5097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1.45 </w:t>
            </w:r>
          </w:p>
        </w:tc>
        <w:tc>
          <w:tcPr>
            <w:tcW w:w="356" w:type="pct"/>
            <w:tcBorders>
              <w:tl2br w:val="nil"/>
              <w:tr2bl w:val="nil"/>
            </w:tcBorders>
            <w:shd w:val="clear" w:color="auto" w:fill="auto"/>
            <w:noWrap/>
            <w:vAlign w:val="bottom"/>
          </w:tcPr>
          <w:p w14:paraId="3F477FB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1.48 </w:t>
            </w:r>
          </w:p>
        </w:tc>
        <w:tc>
          <w:tcPr>
            <w:tcW w:w="356" w:type="pct"/>
            <w:tcBorders>
              <w:tl2br w:val="nil"/>
              <w:tr2bl w:val="nil"/>
            </w:tcBorders>
            <w:shd w:val="clear" w:color="auto" w:fill="auto"/>
            <w:noWrap/>
            <w:vAlign w:val="bottom"/>
          </w:tcPr>
          <w:p w14:paraId="74299F4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1.49 </w:t>
            </w:r>
          </w:p>
        </w:tc>
        <w:tc>
          <w:tcPr>
            <w:tcW w:w="356" w:type="pct"/>
            <w:tcBorders>
              <w:tl2br w:val="nil"/>
              <w:tr2bl w:val="nil"/>
            </w:tcBorders>
            <w:shd w:val="clear" w:color="auto" w:fill="auto"/>
            <w:noWrap/>
            <w:vAlign w:val="bottom"/>
          </w:tcPr>
          <w:p w14:paraId="3A383FB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1.49 </w:t>
            </w:r>
          </w:p>
        </w:tc>
        <w:tc>
          <w:tcPr>
            <w:tcW w:w="356" w:type="pct"/>
            <w:tcBorders>
              <w:tl2br w:val="nil"/>
              <w:tr2bl w:val="nil"/>
            </w:tcBorders>
            <w:shd w:val="clear" w:color="auto" w:fill="auto"/>
            <w:noWrap/>
            <w:vAlign w:val="bottom"/>
          </w:tcPr>
          <w:p w14:paraId="2A3CAE2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1.72 </w:t>
            </w:r>
          </w:p>
        </w:tc>
        <w:tc>
          <w:tcPr>
            <w:tcW w:w="356" w:type="pct"/>
            <w:tcBorders>
              <w:tl2br w:val="nil"/>
              <w:tr2bl w:val="nil"/>
            </w:tcBorders>
            <w:shd w:val="clear" w:color="auto" w:fill="auto"/>
            <w:noWrap/>
            <w:vAlign w:val="bottom"/>
          </w:tcPr>
          <w:p w14:paraId="053D0DA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2.04 </w:t>
            </w:r>
          </w:p>
        </w:tc>
        <w:tc>
          <w:tcPr>
            <w:tcW w:w="356" w:type="pct"/>
            <w:tcBorders>
              <w:tl2br w:val="nil"/>
              <w:tr2bl w:val="nil"/>
            </w:tcBorders>
            <w:shd w:val="clear" w:color="auto" w:fill="auto"/>
            <w:noWrap/>
            <w:vAlign w:val="bottom"/>
          </w:tcPr>
          <w:p w14:paraId="1876CBE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2.27 </w:t>
            </w:r>
          </w:p>
        </w:tc>
        <w:tc>
          <w:tcPr>
            <w:tcW w:w="356" w:type="pct"/>
            <w:tcBorders>
              <w:tl2br w:val="nil"/>
              <w:tr2bl w:val="nil"/>
            </w:tcBorders>
            <w:shd w:val="clear" w:color="auto" w:fill="auto"/>
            <w:noWrap/>
            <w:vAlign w:val="bottom"/>
          </w:tcPr>
          <w:p w14:paraId="4B60C35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2.55 </w:t>
            </w:r>
          </w:p>
        </w:tc>
        <w:tc>
          <w:tcPr>
            <w:tcW w:w="356" w:type="pct"/>
            <w:tcBorders>
              <w:tl2br w:val="nil"/>
              <w:tr2bl w:val="nil"/>
            </w:tcBorders>
            <w:shd w:val="clear" w:color="auto" w:fill="auto"/>
            <w:noWrap/>
            <w:vAlign w:val="bottom"/>
          </w:tcPr>
          <w:p w14:paraId="3573EA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2.78 </w:t>
            </w:r>
          </w:p>
        </w:tc>
        <w:tc>
          <w:tcPr>
            <w:tcW w:w="356" w:type="pct"/>
            <w:tcBorders>
              <w:tl2br w:val="nil"/>
              <w:tr2bl w:val="nil"/>
            </w:tcBorders>
            <w:shd w:val="clear" w:color="auto" w:fill="auto"/>
            <w:noWrap/>
            <w:vAlign w:val="bottom"/>
          </w:tcPr>
          <w:p w14:paraId="6C09982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3.01 </w:t>
            </w:r>
          </w:p>
        </w:tc>
        <w:tc>
          <w:tcPr>
            <w:tcW w:w="356" w:type="pct"/>
            <w:tcBorders>
              <w:tl2br w:val="nil"/>
              <w:tr2bl w:val="nil"/>
            </w:tcBorders>
            <w:shd w:val="clear" w:color="auto" w:fill="auto"/>
            <w:noWrap/>
            <w:vAlign w:val="bottom"/>
          </w:tcPr>
          <w:p w14:paraId="137D9C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2.98 </w:t>
            </w:r>
          </w:p>
        </w:tc>
      </w:tr>
      <w:tr w14:paraId="6C77841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0746816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秋季                </w:t>
            </w:r>
          </w:p>
        </w:tc>
        <w:tc>
          <w:tcPr>
            <w:tcW w:w="356" w:type="pct"/>
            <w:tcBorders>
              <w:tl2br w:val="nil"/>
              <w:tr2bl w:val="nil"/>
            </w:tcBorders>
            <w:shd w:val="clear" w:color="auto" w:fill="auto"/>
            <w:noWrap/>
            <w:vAlign w:val="bottom"/>
          </w:tcPr>
          <w:p w14:paraId="2F88C1A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1.62 </w:t>
            </w:r>
          </w:p>
        </w:tc>
        <w:tc>
          <w:tcPr>
            <w:tcW w:w="356" w:type="pct"/>
            <w:tcBorders>
              <w:tl2br w:val="nil"/>
              <w:tr2bl w:val="nil"/>
            </w:tcBorders>
            <w:shd w:val="clear" w:color="auto" w:fill="auto"/>
            <w:noWrap/>
            <w:vAlign w:val="bottom"/>
          </w:tcPr>
          <w:p w14:paraId="384E327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1.62 </w:t>
            </w:r>
          </w:p>
        </w:tc>
        <w:tc>
          <w:tcPr>
            <w:tcW w:w="356" w:type="pct"/>
            <w:tcBorders>
              <w:tl2br w:val="nil"/>
              <w:tr2bl w:val="nil"/>
            </w:tcBorders>
            <w:shd w:val="clear" w:color="auto" w:fill="auto"/>
            <w:noWrap/>
            <w:vAlign w:val="bottom"/>
          </w:tcPr>
          <w:p w14:paraId="3B3A277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1.62 </w:t>
            </w:r>
          </w:p>
        </w:tc>
        <w:tc>
          <w:tcPr>
            <w:tcW w:w="356" w:type="pct"/>
            <w:tcBorders>
              <w:tl2br w:val="nil"/>
              <w:tr2bl w:val="nil"/>
            </w:tcBorders>
            <w:shd w:val="clear" w:color="auto" w:fill="auto"/>
            <w:noWrap/>
            <w:vAlign w:val="bottom"/>
          </w:tcPr>
          <w:p w14:paraId="38EF140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1.58 </w:t>
            </w:r>
          </w:p>
        </w:tc>
        <w:tc>
          <w:tcPr>
            <w:tcW w:w="356" w:type="pct"/>
            <w:tcBorders>
              <w:tl2br w:val="nil"/>
              <w:tr2bl w:val="nil"/>
            </w:tcBorders>
            <w:shd w:val="clear" w:color="auto" w:fill="auto"/>
            <w:noWrap/>
            <w:vAlign w:val="bottom"/>
          </w:tcPr>
          <w:p w14:paraId="1CC373A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1.57 </w:t>
            </w:r>
          </w:p>
        </w:tc>
        <w:tc>
          <w:tcPr>
            <w:tcW w:w="356" w:type="pct"/>
            <w:tcBorders>
              <w:tl2br w:val="nil"/>
              <w:tr2bl w:val="nil"/>
            </w:tcBorders>
            <w:shd w:val="clear" w:color="auto" w:fill="auto"/>
            <w:noWrap/>
            <w:vAlign w:val="bottom"/>
          </w:tcPr>
          <w:p w14:paraId="2689952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1.73 </w:t>
            </w:r>
          </w:p>
        </w:tc>
        <w:tc>
          <w:tcPr>
            <w:tcW w:w="356" w:type="pct"/>
            <w:tcBorders>
              <w:tl2br w:val="nil"/>
              <w:tr2bl w:val="nil"/>
            </w:tcBorders>
            <w:shd w:val="clear" w:color="auto" w:fill="auto"/>
            <w:noWrap/>
            <w:vAlign w:val="bottom"/>
          </w:tcPr>
          <w:p w14:paraId="30AA6B4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1.70 </w:t>
            </w:r>
          </w:p>
        </w:tc>
        <w:tc>
          <w:tcPr>
            <w:tcW w:w="356" w:type="pct"/>
            <w:tcBorders>
              <w:tl2br w:val="nil"/>
              <w:tr2bl w:val="nil"/>
            </w:tcBorders>
            <w:shd w:val="clear" w:color="auto" w:fill="auto"/>
            <w:noWrap/>
            <w:vAlign w:val="bottom"/>
          </w:tcPr>
          <w:p w14:paraId="14196DC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2.05 </w:t>
            </w:r>
          </w:p>
        </w:tc>
        <w:tc>
          <w:tcPr>
            <w:tcW w:w="356" w:type="pct"/>
            <w:tcBorders>
              <w:tl2br w:val="nil"/>
              <w:tr2bl w:val="nil"/>
            </w:tcBorders>
            <w:shd w:val="clear" w:color="auto" w:fill="auto"/>
            <w:noWrap/>
            <w:vAlign w:val="bottom"/>
          </w:tcPr>
          <w:p w14:paraId="77129B9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2.38 </w:t>
            </w:r>
          </w:p>
        </w:tc>
        <w:tc>
          <w:tcPr>
            <w:tcW w:w="356" w:type="pct"/>
            <w:tcBorders>
              <w:tl2br w:val="nil"/>
              <w:tr2bl w:val="nil"/>
            </w:tcBorders>
            <w:shd w:val="clear" w:color="auto" w:fill="auto"/>
            <w:noWrap/>
            <w:vAlign w:val="bottom"/>
          </w:tcPr>
          <w:p w14:paraId="40F8D1C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2.61 </w:t>
            </w:r>
          </w:p>
        </w:tc>
        <w:tc>
          <w:tcPr>
            <w:tcW w:w="356" w:type="pct"/>
            <w:tcBorders>
              <w:tl2br w:val="nil"/>
              <w:tr2bl w:val="nil"/>
            </w:tcBorders>
            <w:shd w:val="clear" w:color="auto" w:fill="auto"/>
            <w:noWrap/>
            <w:vAlign w:val="bottom"/>
          </w:tcPr>
          <w:p w14:paraId="597BED5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2.92 </w:t>
            </w:r>
          </w:p>
        </w:tc>
        <w:tc>
          <w:tcPr>
            <w:tcW w:w="356" w:type="pct"/>
            <w:tcBorders>
              <w:tl2br w:val="nil"/>
              <w:tr2bl w:val="nil"/>
            </w:tcBorders>
            <w:shd w:val="clear" w:color="auto" w:fill="auto"/>
            <w:noWrap/>
            <w:vAlign w:val="bottom"/>
          </w:tcPr>
          <w:p w14:paraId="1CA05E7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2.94 </w:t>
            </w:r>
          </w:p>
        </w:tc>
      </w:tr>
      <w:tr w14:paraId="6CD1AF0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194BFDF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冬季                </w:t>
            </w:r>
          </w:p>
        </w:tc>
        <w:tc>
          <w:tcPr>
            <w:tcW w:w="356" w:type="pct"/>
            <w:tcBorders>
              <w:tl2br w:val="nil"/>
              <w:tr2bl w:val="nil"/>
            </w:tcBorders>
            <w:shd w:val="clear" w:color="auto" w:fill="auto"/>
            <w:noWrap/>
            <w:vAlign w:val="bottom"/>
          </w:tcPr>
          <w:p w14:paraId="061EA5A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1.36 </w:t>
            </w:r>
          </w:p>
        </w:tc>
        <w:tc>
          <w:tcPr>
            <w:tcW w:w="356" w:type="pct"/>
            <w:tcBorders>
              <w:tl2br w:val="nil"/>
              <w:tr2bl w:val="nil"/>
            </w:tcBorders>
            <w:shd w:val="clear" w:color="auto" w:fill="auto"/>
            <w:noWrap/>
            <w:vAlign w:val="bottom"/>
          </w:tcPr>
          <w:p w14:paraId="0257281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1.34 </w:t>
            </w:r>
          </w:p>
        </w:tc>
        <w:tc>
          <w:tcPr>
            <w:tcW w:w="356" w:type="pct"/>
            <w:tcBorders>
              <w:tl2br w:val="nil"/>
              <w:tr2bl w:val="nil"/>
            </w:tcBorders>
            <w:shd w:val="clear" w:color="auto" w:fill="auto"/>
            <w:noWrap/>
            <w:vAlign w:val="bottom"/>
          </w:tcPr>
          <w:p w14:paraId="4A9FF39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1.45 </w:t>
            </w:r>
          </w:p>
        </w:tc>
        <w:tc>
          <w:tcPr>
            <w:tcW w:w="356" w:type="pct"/>
            <w:tcBorders>
              <w:tl2br w:val="nil"/>
              <w:tr2bl w:val="nil"/>
            </w:tcBorders>
            <w:shd w:val="clear" w:color="auto" w:fill="auto"/>
            <w:noWrap/>
            <w:vAlign w:val="bottom"/>
          </w:tcPr>
          <w:p w14:paraId="5230A0C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1.37 </w:t>
            </w:r>
          </w:p>
        </w:tc>
        <w:tc>
          <w:tcPr>
            <w:tcW w:w="356" w:type="pct"/>
            <w:tcBorders>
              <w:tl2br w:val="nil"/>
              <w:tr2bl w:val="nil"/>
            </w:tcBorders>
            <w:shd w:val="clear" w:color="auto" w:fill="auto"/>
            <w:noWrap/>
            <w:vAlign w:val="bottom"/>
          </w:tcPr>
          <w:p w14:paraId="2A97998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1.30 </w:t>
            </w:r>
          </w:p>
        </w:tc>
        <w:tc>
          <w:tcPr>
            <w:tcW w:w="356" w:type="pct"/>
            <w:tcBorders>
              <w:tl2br w:val="nil"/>
              <w:tr2bl w:val="nil"/>
            </w:tcBorders>
            <w:shd w:val="clear" w:color="auto" w:fill="auto"/>
            <w:noWrap/>
            <w:vAlign w:val="bottom"/>
          </w:tcPr>
          <w:p w14:paraId="52769AB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1.30 </w:t>
            </w:r>
          </w:p>
        </w:tc>
        <w:tc>
          <w:tcPr>
            <w:tcW w:w="356" w:type="pct"/>
            <w:tcBorders>
              <w:tl2br w:val="nil"/>
              <w:tr2bl w:val="nil"/>
            </w:tcBorders>
            <w:shd w:val="clear" w:color="auto" w:fill="auto"/>
            <w:noWrap/>
            <w:vAlign w:val="bottom"/>
          </w:tcPr>
          <w:p w14:paraId="2AD5550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1.37 </w:t>
            </w:r>
          </w:p>
        </w:tc>
        <w:tc>
          <w:tcPr>
            <w:tcW w:w="356" w:type="pct"/>
            <w:tcBorders>
              <w:tl2br w:val="nil"/>
              <w:tr2bl w:val="nil"/>
            </w:tcBorders>
            <w:shd w:val="clear" w:color="auto" w:fill="auto"/>
            <w:noWrap/>
            <w:vAlign w:val="bottom"/>
          </w:tcPr>
          <w:p w14:paraId="794DA3C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1.33 </w:t>
            </w:r>
          </w:p>
        </w:tc>
        <w:tc>
          <w:tcPr>
            <w:tcW w:w="356" w:type="pct"/>
            <w:tcBorders>
              <w:tl2br w:val="nil"/>
              <w:tr2bl w:val="nil"/>
            </w:tcBorders>
            <w:shd w:val="clear" w:color="auto" w:fill="auto"/>
            <w:noWrap/>
            <w:vAlign w:val="bottom"/>
          </w:tcPr>
          <w:p w14:paraId="6354E47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1.47 </w:t>
            </w:r>
          </w:p>
        </w:tc>
        <w:tc>
          <w:tcPr>
            <w:tcW w:w="356" w:type="pct"/>
            <w:tcBorders>
              <w:tl2br w:val="nil"/>
              <w:tr2bl w:val="nil"/>
            </w:tcBorders>
            <w:shd w:val="clear" w:color="auto" w:fill="auto"/>
            <w:noWrap/>
            <w:vAlign w:val="bottom"/>
          </w:tcPr>
          <w:p w14:paraId="5B10F57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1.56 </w:t>
            </w:r>
          </w:p>
        </w:tc>
        <w:tc>
          <w:tcPr>
            <w:tcW w:w="356" w:type="pct"/>
            <w:tcBorders>
              <w:tl2br w:val="nil"/>
              <w:tr2bl w:val="nil"/>
            </w:tcBorders>
            <w:shd w:val="clear" w:color="auto" w:fill="auto"/>
            <w:noWrap/>
            <w:vAlign w:val="bottom"/>
          </w:tcPr>
          <w:p w14:paraId="43BF53C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1.77 </w:t>
            </w:r>
          </w:p>
        </w:tc>
        <w:tc>
          <w:tcPr>
            <w:tcW w:w="356" w:type="pct"/>
            <w:tcBorders>
              <w:tl2br w:val="nil"/>
              <w:tr2bl w:val="nil"/>
            </w:tcBorders>
            <w:shd w:val="clear" w:color="auto" w:fill="auto"/>
            <w:noWrap/>
            <w:vAlign w:val="bottom"/>
          </w:tcPr>
          <w:p w14:paraId="3D83A08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1.94 </w:t>
            </w:r>
          </w:p>
        </w:tc>
      </w:tr>
      <w:tr w14:paraId="49CAD2C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855" w:hRule="atLeast"/>
        </w:trPr>
        <w:tc>
          <w:tcPr>
            <w:tcW w:w="718" w:type="pct"/>
            <w:tcBorders>
              <w:tl2br w:val="nil"/>
              <w:tr2bl w:val="nil"/>
            </w:tcBorders>
            <w:shd w:val="clear" w:color="auto" w:fill="auto"/>
            <w:noWrap/>
            <w:vAlign w:val="center"/>
          </w:tcPr>
          <w:p w14:paraId="516CD35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风速(m/s)  小时(h)  </w:t>
            </w:r>
          </w:p>
        </w:tc>
        <w:tc>
          <w:tcPr>
            <w:tcW w:w="356" w:type="pct"/>
            <w:tcBorders>
              <w:tl2br w:val="nil"/>
              <w:tr2bl w:val="nil"/>
            </w:tcBorders>
            <w:shd w:val="clear" w:color="auto" w:fill="auto"/>
            <w:noWrap/>
            <w:vAlign w:val="center"/>
          </w:tcPr>
          <w:p w14:paraId="411BB5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w:t>
            </w:r>
          </w:p>
        </w:tc>
        <w:tc>
          <w:tcPr>
            <w:tcW w:w="356" w:type="pct"/>
            <w:tcBorders>
              <w:tl2br w:val="nil"/>
              <w:tr2bl w:val="nil"/>
            </w:tcBorders>
            <w:shd w:val="clear" w:color="auto" w:fill="auto"/>
            <w:noWrap/>
            <w:vAlign w:val="center"/>
          </w:tcPr>
          <w:p w14:paraId="5E33547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w:t>
            </w:r>
          </w:p>
        </w:tc>
        <w:tc>
          <w:tcPr>
            <w:tcW w:w="356" w:type="pct"/>
            <w:tcBorders>
              <w:tl2br w:val="nil"/>
              <w:tr2bl w:val="nil"/>
            </w:tcBorders>
            <w:shd w:val="clear" w:color="auto" w:fill="auto"/>
            <w:noWrap/>
            <w:vAlign w:val="center"/>
          </w:tcPr>
          <w:p w14:paraId="611E017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c>
          <w:tcPr>
            <w:tcW w:w="356" w:type="pct"/>
            <w:tcBorders>
              <w:tl2br w:val="nil"/>
              <w:tr2bl w:val="nil"/>
            </w:tcBorders>
            <w:shd w:val="clear" w:color="auto" w:fill="auto"/>
            <w:noWrap/>
            <w:vAlign w:val="center"/>
          </w:tcPr>
          <w:p w14:paraId="5EFD536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w:t>
            </w:r>
          </w:p>
        </w:tc>
        <w:tc>
          <w:tcPr>
            <w:tcW w:w="356" w:type="pct"/>
            <w:tcBorders>
              <w:tl2br w:val="nil"/>
              <w:tr2bl w:val="nil"/>
            </w:tcBorders>
            <w:shd w:val="clear" w:color="auto" w:fill="auto"/>
            <w:noWrap/>
            <w:vAlign w:val="center"/>
          </w:tcPr>
          <w:p w14:paraId="415BB2A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w:t>
            </w:r>
          </w:p>
        </w:tc>
        <w:tc>
          <w:tcPr>
            <w:tcW w:w="356" w:type="pct"/>
            <w:tcBorders>
              <w:tl2br w:val="nil"/>
              <w:tr2bl w:val="nil"/>
            </w:tcBorders>
            <w:shd w:val="clear" w:color="auto" w:fill="auto"/>
            <w:noWrap/>
            <w:vAlign w:val="center"/>
          </w:tcPr>
          <w:p w14:paraId="3ABE23A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w:t>
            </w:r>
          </w:p>
        </w:tc>
        <w:tc>
          <w:tcPr>
            <w:tcW w:w="356" w:type="pct"/>
            <w:tcBorders>
              <w:tl2br w:val="nil"/>
              <w:tr2bl w:val="nil"/>
            </w:tcBorders>
            <w:shd w:val="clear" w:color="auto" w:fill="auto"/>
            <w:noWrap/>
            <w:vAlign w:val="center"/>
          </w:tcPr>
          <w:p w14:paraId="0F9D1CC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w:t>
            </w:r>
          </w:p>
        </w:tc>
        <w:tc>
          <w:tcPr>
            <w:tcW w:w="356" w:type="pct"/>
            <w:tcBorders>
              <w:tl2br w:val="nil"/>
              <w:tr2bl w:val="nil"/>
            </w:tcBorders>
            <w:shd w:val="clear" w:color="auto" w:fill="auto"/>
            <w:noWrap/>
            <w:vAlign w:val="center"/>
          </w:tcPr>
          <w:p w14:paraId="661133A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356" w:type="pct"/>
            <w:tcBorders>
              <w:tl2br w:val="nil"/>
              <w:tr2bl w:val="nil"/>
            </w:tcBorders>
            <w:shd w:val="clear" w:color="auto" w:fill="auto"/>
            <w:noWrap/>
            <w:vAlign w:val="center"/>
          </w:tcPr>
          <w:p w14:paraId="356DC1D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w:t>
            </w:r>
          </w:p>
        </w:tc>
        <w:tc>
          <w:tcPr>
            <w:tcW w:w="356" w:type="pct"/>
            <w:tcBorders>
              <w:tl2br w:val="nil"/>
              <w:tr2bl w:val="nil"/>
            </w:tcBorders>
            <w:shd w:val="clear" w:color="auto" w:fill="auto"/>
            <w:noWrap/>
            <w:vAlign w:val="center"/>
          </w:tcPr>
          <w:p w14:paraId="26F6726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w:t>
            </w:r>
          </w:p>
        </w:tc>
        <w:tc>
          <w:tcPr>
            <w:tcW w:w="356" w:type="pct"/>
            <w:tcBorders>
              <w:tl2br w:val="nil"/>
              <w:tr2bl w:val="nil"/>
            </w:tcBorders>
            <w:shd w:val="clear" w:color="auto" w:fill="auto"/>
            <w:noWrap/>
            <w:vAlign w:val="center"/>
          </w:tcPr>
          <w:p w14:paraId="1384302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w:t>
            </w:r>
          </w:p>
        </w:tc>
        <w:tc>
          <w:tcPr>
            <w:tcW w:w="356" w:type="pct"/>
            <w:tcBorders>
              <w:tl2br w:val="nil"/>
              <w:tr2bl w:val="nil"/>
            </w:tcBorders>
            <w:shd w:val="clear" w:color="auto" w:fill="auto"/>
            <w:noWrap/>
            <w:vAlign w:val="center"/>
          </w:tcPr>
          <w:p w14:paraId="510D72B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w:t>
            </w:r>
          </w:p>
        </w:tc>
      </w:tr>
      <w:tr w14:paraId="3FEE596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4C977BD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春季                </w:t>
            </w:r>
          </w:p>
        </w:tc>
        <w:tc>
          <w:tcPr>
            <w:tcW w:w="356" w:type="pct"/>
            <w:tcBorders>
              <w:tl2br w:val="nil"/>
              <w:tr2bl w:val="nil"/>
            </w:tcBorders>
            <w:shd w:val="clear" w:color="auto" w:fill="auto"/>
            <w:noWrap/>
            <w:vAlign w:val="bottom"/>
          </w:tcPr>
          <w:p w14:paraId="2AAEF1B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3.41 </w:t>
            </w:r>
          </w:p>
        </w:tc>
        <w:tc>
          <w:tcPr>
            <w:tcW w:w="356" w:type="pct"/>
            <w:tcBorders>
              <w:tl2br w:val="nil"/>
              <w:tr2bl w:val="nil"/>
            </w:tcBorders>
            <w:shd w:val="clear" w:color="auto" w:fill="auto"/>
            <w:noWrap/>
            <w:vAlign w:val="bottom"/>
          </w:tcPr>
          <w:p w14:paraId="01A25BE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3.52 </w:t>
            </w:r>
          </w:p>
        </w:tc>
        <w:tc>
          <w:tcPr>
            <w:tcW w:w="356" w:type="pct"/>
            <w:tcBorders>
              <w:tl2br w:val="nil"/>
              <w:tr2bl w:val="nil"/>
            </w:tcBorders>
            <w:shd w:val="clear" w:color="auto" w:fill="auto"/>
            <w:noWrap/>
            <w:vAlign w:val="bottom"/>
          </w:tcPr>
          <w:p w14:paraId="2C67B4C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3.35 </w:t>
            </w:r>
          </w:p>
        </w:tc>
        <w:tc>
          <w:tcPr>
            <w:tcW w:w="356" w:type="pct"/>
            <w:tcBorders>
              <w:tl2br w:val="nil"/>
              <w:tr2bl w:val="nil"/>
            </w:tcBorders>
            <w:shd w:val="clear" w:color="auto" w:fill="auto"/>
            <w:noWrap/>
            <w:vAlign w:val="bottom"/>
          </w:tcPr>
          <w:p w14:paraId="039E0A3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3.45 </w:t>
            </w:r>
          </w:p>
        </w:tc>
        <w:tc>
          <w:tcPr>
            <w:tcW w:w="356" w:type="pct"/>
            <w:tcBorders>
              <w:tl2br w:val="nil"/>
              <w:tr2bl w:val="nil"/>
            </w:tcBorders>
            <w:shd w:val="clear" w:color="auto" w:fill="auto"/>
            <w:noWrap/>
            <w:vAlign w:val="bottom"/>
          </w:tcPr>
          <w:p w14:paraId="33F6101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3.09 </w:t>
            </w:r>
          </w:p>
        </w:tc>
        <w:tc>
          <w:tcPr>
            <w:tcW w:w="356" w:type="pct"/>
            <w:tcBorders>
              <w:tl2br w:val="nil"/>
              <w:tr2bl w:val="nil"/>
            </w:tcBorders>
            <w:shd w:val="clear" w:color="auto" w:fill="auto"/>
            <w:noWrap/>
            <w:vAlign w:val="bottom"/>
          </w:tcPr>
          <w:p w14:paraId="33EE0C6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2.59 </w:t>
            </w:r>
          </w:p>
        </w:tc>
        <w:tc>
          <w:tcPr>
            <w:tcW w:w="356" w:type="pct"/>
            <w:tcBorders>
              <w:tl2br w:val="nil"/>
              <w:tr2bl w:val="nil"/>
            </w:tcBorders>
            <w:shd w:val="clear" w:color="auto" w:fill="auto"/>
            <w:noWrap/>
            <w:vAlign w:val="bottom"/>
          </w:tcPr>
          <w:p w14:paraId="61A190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2.01 </w:t>
            </w:r>
          </w:p>
        </w:tc>
        <w:tc>
          <w:tcPr>
            <w:tcW w:w="356" w:type="pct"/>
            <w:tcBorders>
              <w:tl2br w:val="nil"/>
              <w:tr2bl w:val="nil"/>
            </w:tcBorders>
            <w:shd w:val="clear" w:color="auto" w:fill="auto"/>
            <w:noWrap/>
            <w:vAlign w:val="bottom"/>
          </w:tcPr>
          <w:p w14:paraId="57A1521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2.12 </w:t>
            </w:r>
          </w:p>
        </w:tc>
        <w:tc>
          <w:tcPr>
            <w:tcW w:w="356" w:type="pct"/>
            <w:tcBorders>
              <w:tl2br w:val="nil"/>
              <w:tr2bl w:val="nil"/>
            </w:tcBorders>
            <w:shd w:val="clear" w:color="auto" w:fill="auto"/>
            <w:noWrap/>
            <w:vAlign w:val="bottom"/>
          </w:tcPr>
          <w:p w14:paraId="38C4653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1.89 </w:t>
            </w:r>
          </w:p>
        </w:tc>
        <w:tc>
          <w:tcPr>
            <w:tcW w:w="356" w:type="pct"/>
            <w:tcBorders>
              <w:tl2br w:val="nil"/>
              <w:tr2bl w:val="nil"/>
            </w:tcBorders>
            <w:shd w:val="clear" w:color="auto" w:fill="auto"/>
            <w:noWrap/>
            <w:vAlign w:val="bottom"/>
          </w:tcPr>
          <w:p w14:paraId="0D9AE9B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1.81 </w:t>
            </w:r>
          </w:p>
        </w:tc>
        <w:tc>
          <w:tcPr>
            <w:tcW w:w="356" w:type="pct"/>
            <w:tcBorders>
              <w:tl2br w:val="nil"/>
              <w:tr2bl w:val="nil"/>
            </w:tcBorders>
            <w:shd w:val="clear" w:color="auto" w:fill="auto"/>
            <w:noWrap/>
            <w:vAlign w:val="bottom"/>
          </w:tcPr>
          <w:p w14:paraId="2EF6D57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1.79 </w:t>
            </w:r>
          </w:p>
        </w:tc>
        <w:tc>
          <w:tcPr>
            <w:tcW w:w="356" w:type="pct"/>
            <w:tcBorders>
              <w:tl2br w:val="nil"/>
              <w:tr2bl w:val="nil"/>
            </w:tcBorders>
            <w:shd w:val="clear" w:color="auto" w:fill="auto"/>
            <w:noWrap/>
            <w:vAlign w:val="bottom"/>
          </w:tcPr>
          <w:p w14:paraId="294FD19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1.66 </w:t>
            </w:r>
          </w:p>
        </w:tc>
      </w:tr>
      <w:tr w14:paraId="15F8274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7DA13A1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夏季                </w:t>
            </w:r>
          </w:p>
        </w:tc>
        <w:tc>
          <w:tcPr>
            <w:tcW w:w="356" w:type="pct"/>
            <w:tcBorders>
              <w:tl2br w:val="nil"/>
              <w:tr2bl w:val="nil"/>
            </w:tcBorders>
            <w:shd w:val="clear" w:color="auto" w:fill="auto"/>
            <w:noWrap/>
            <w:vAlign w:val="bottom"/>
          </w:tcPr>
          <w:p w14:paraId="0D8F62F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3.05 </w:t>
            </w:r>
          </w:p>
        </w:tc>
        <w:tc>
          <w:tcPr>
            <w:tcW w:w="356" w:type="pct"/>
            <w:tcBorders>
              <w:tl2br w:val="nil"/>
              <w:tr2bl w:val="nil"/>
            </w:tcBorders>
            <w:shd w:val="clear" w:color="auto" w:fill="auto"/>
            <w:noWrap/>
            <w:vAlign w:val="bottom"/>
          </w:tcPr>
          <w:p w14:paraId="0384230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3.16 </w:t>
            </w:r>
          </w:p>
        </w:tc>
        <w:tc>
          <w:tcPr>
            <w:tcW w:w="356" w:type="pct"/>
            <w:tcBorders>
              <w:tl2br w:val="nil"/>
              <w:tr2bl w:val="nil"/>
            </w:tcBorders>
            <w:shd w:val="clear" w:color="auto" w:fill="auto"/>
            <w:noWrap/>
            <w:vAlign w:val="bottom"/>
          </w:tcPr>
          <w:p w14:paraId="3E8BC1E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3.02 </w:t>
            </w:r>
          </w:p>
        </w:tc>
        <w:tc>
          <w:tcPr>
            <w:tcW w:w="356" w:type="pct"/>
            <w:tcBorders>
              <w:tl2br w:val="nil"/>
              <w:tr2bl w:val="nil"/>
            </w:tcBorders>
            <w:shd w:val="clear" w:color="auto" w:fill="auto"/>
            <w:noWrap/>
            <w:vAlign w:val="bottom"/>
          </w:tcPr>
          <w:p w14:paraId="553C084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2.94 </w:t>
            </w:r>
          </w:p>
        </w:tc>
        <w:tc>
          <w:tcPr>
            <w:tcW w:w="356" w:type="pct"/>
            <w:tcBorders>
              <w:tl2br w:val="nil"/>
              <w:tr2bl w:val="nil"/>
            </w:tcBorders>
            <w:shd w:val="clear" w:color="auto" w:fill="auto"/>
            <w:noWrap/>
            <w:vAlign w:val="bottom"/>
          </w:tcPr>
          <w:p w14:paraId="51A28A9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2.61 </w:t>
            </w:r>
          </w:p>
        </w:tc>
        <w:tc>
          <w:tcPr>
            <w:tcW w:w="356" w:type="pct"/>
            <w:tcBorders>
              <w:tl2br w:val="nil"/>
              <w:tr2bl w:val="nil"/>
            </w:tcBorders>
            <w:shd w:val="clear" w:color="auto" w:fill="auto"/>
            <w:noWrap/>
            <w:vAlign w:val="bottom"/>
          </w:tcPr>
          <w:p w14:paraId="12C1C48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2.11 </w:t>
            </w:r>
          </w:p>
        </w:tc>
        <w:tc>
          <w:tcPr>
            <w:tcW w:w="356" w:type="pct"/>
            <w:tcBorders>
              <w:tl2br w:val="nil"/>
              <w:tr2bl w:val="nil"/>
            </w:tcBorders>
            <w:shd w:val="clear" w:color="auto" w:fill="auto"/>
            <w:noWrap/>
            <w:vAlign w:val="bottom"/>
          </w:tcPr>
          <w:p w14:paraId="7764FC5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1.79 </w:t>
            </w:r>
          </w:p>
        </w:tc>
        <w:tc>
          <w:tcPr>
            <w:tcW w:w="356" w:type="pct"/>
            <w:tcBorders>
              <w:tl2br w:val="nil"/>
              <w:tr2bl w:val="nil"/>
            </w:tcBorders>
            <w:shd w:val="clear" w:color="auto" w:fill="auto"/>
            <w:noWrap/>
            <w:vAlign w:val="bottom"/>
          </w:tcPr>
          <w:p w14:paraId="2C28100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1.63 </w:t>
            </w:r>
          </w:p>
        </w:tc>
        <w:tc>
          <w:tcPr>
            <w:tcW w:w="356" w:type="pct"/>
            <w:tcBorders>
              <w:tl2br w:val="nil"/>
              <w:tr2bl w:val="nil"/>
            </w:tcBorders>
            <w:shd w:val="clear" w:color="auto" w:fill="auto"/>
            <w:noWrap/>
            <w:vAlign w:val="bottom"/>
          </w:tcPr>
          <w:p w14:paraId="7F2B74E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1.57 </w:t>
            </w:r>
          </w:p>
        </w:tc>
        <w:tc>
          <w:tcPr>
            <w:tcW w:w="356" w:type="pct"/>
            <w:tcBorders>
              <w:tl2br w:val="nil"/>
              <w:tr2bl w:val="nil"/>
            </w:tcBorders>
            <w:shd w:val="clear" w:color="auto" w:fill="auto"/>
            <w:noWrap/>
            <w:vAlign w:val="bottom"/>
          </w:tcPr>
          <w:p w14:paraId="7D82764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1.47 </w:t>
            </w:r>
          </w:p>
        </w:tc>
        <w:tc>
          <w:tcPr>
            <w:tcW w:w="356" w:type="pct"/>
            <w:tcBorders>
              <w:tl2br w:val="nil"/>
              <w:tr2bl w:val="nil"/>
            </w:tcBorders>
            <w:shd w:val="clear" w:color="auto" w:fill="auto"/>
            <w:noWrap/>
            <w:vAlign w:val="bottom"/>
          </w:tcPr>
          <w:p w14:paraId="03CA0E9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1.50 </w:t>
            </w:r>
          </w:p>
        </w:tc>
        <w:tc>
          <w:tcPr>
            <w:tcW w:w="356" w:type="pct"/>
            <w:tcBorders>
              <w:tl2br w:val="nil"/>
              <w:tr2bl w:val="nil"/>
            </w:tcBorders>
            <w:shd w:val="clear" w:color="auto" w:fill="auto"/>
            <w:noWrap/>
            <w:vAlign w:val="bottom"/>
          </w:tcPr>
          <w:p w14:paraId="3DA5963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1.54 </w:t>
            </w:r>
          </w:p>
        </w:tc>
      </w:tr>
      <w:tr w14:paraId="7E2CE84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71B82B7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秋季                </w:t>
            </w:r>
          </w:p>
        </w:tc>
        <w:tc>
          <w:tcPr>
            <w:tcW w:w="356" w:type="pct"/>
            <w:tcBorders>
              <w:tl2br w:val="nil"/>
              <w:tr2bl w:val="nil"/>
            </w:tcBorders>
            <w:shd w:val="clear" w:color="auto" w:fill="auto"/>
            <w:noWrap/>
            <w:vAlign w:val="bottom"/>
          </w:tcPr>
          <w:p w14:paraId="791444B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2.93 </w:t>
            </w:r>
          </w:p>
        </w:tc>
        <w:tc>
          <w:tcPr>
            <w:tcW w:w="356" w:type="pct"/>
            <w:tcBorders>
              <w:tl2br w:val="nil"/>
              <w:tr2bl w:val="nil"/>
            </w:tcBorders>
            <w:shd w:val="clear" w:color="auto" w:fill="auto"/>
            <w:noWrap/>
            <w:vAlign w:val="bottom"/>
          </w:tcPr>
          <w:p w14:paraId="133529E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3.14 </w:t>
            </w:r>
          </w:p>
        </w:tc>
        <w:tc>
          <w:tcPr>
            <w:tcW w:w="356" w:type="pct"/>
            <w:tcBorders>
              <w:tl2br w:val="nil"/>
              <w:tr2bl w:val="nil"/>
            </w:tcBorders>
            <w:shd w:val="clear" w:color="auto" w:fill="auto"/>
            <w:noWrap/>
            <w:vAlign w:val="bottom"/>
          </w:tcPr>
          <w:p w14:paraId="6BCA9FB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2.91 </w:t>
            </w:r>
          </w:p>
        </w:tc>
        <w:tc>
          <w:tcPr>
            <w:tcW w:w="356" w:type="pct"/>
            <w:tcBorders>
              <w:tl2br w:val="nil"/>
              <w:tr2bl w:val="nil"/>
            </w:tcBorders>
            <w:shd w:val="clear" w:color="auto" w:fill="auto"/>
            <w:noWrap/>
            <w:vAlign w:val="bottom"/>
          </w:tcPr>
          <w:p w14:paraId="3021203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2.69 </w:t>
            </w:r>
          </w:p>
        </w:tc>
        <w:tc>
          <w:tcPr>
            <w:tcW w:w="356" w:type="pct"/>
            <w:tcBorders>
              <w:tl2br w:val="nil"/>
              <w:tr2bl w:val="nil"/>
            </w:tcBorders>
            <w:shd w:val="clear" w:color="auto" w:fill="auto"/>
            <w:noWrap/>
            <w:vAlign w:val="bottom"/>
          </w:tcPr>
          <w:p w14:paraId="02C4148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2.39 </w:t>
            </w:r>
          </w:p>
        </w:tc>
        <w:tc>
          <w:tcPr>
            <w:tcW w:w="356" w:type="pct"/>
            <w:tcBorders>
              <w:tl2br w:val="nil"/>
              <w:tr2bl w:val="nil"/>
            </w:tcBorders>
            <w:shd w:val="clear" w:color="auto" w:fill="auto"/>
            <w:noWrap/>
            <w:vAlign w:val="bottom"/>
          </w:tcPr>
          <w:p w14:paraId="1A253D8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2.11 </w:t>
            </w:r>
          </w:p>
        </w:tc>
        <w:tc>
          <w:tcPr>
            <w:tcW w:w="356" w:type="pct"/>
            <w:tcBorders>
              <w:tl2br w:val="nil"/>
              <w:tr2bl w:val="nil"/>
            </w:tcBorders>
            <w:shd w:val="clear" w:color="auto" w:fill="auto"/>
            <w:noWrap/>
            <w:vAlign w:val="bottom"/>
          </w:tcPr>
          <w:p w14:paraId="6887689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1.95 </w:t>
            </w:r>
          </w:p>
        </w:tc>
        <w:tc>
          <w:tcPr>
            <w:tcW w:w="356" w:type="pct"/>
            <w:tcBorders>
              <w:tl2br w:val="nil"/>
              <w:tr2bl w:val="nil"/>
            </w:tcBorders>
            <w:shd w:val="clear" w:color="auto" w:fill="auto"/>
            <w:noWrap/>
            <w:vAlign w:val="bottom"/>
          </w:tcPr>
          <w:p w14:paraId="7B03CBE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1.92 </w:t>
            </w:r>
          </w:p>
        </w:tc>
        <w:tc>
          <w:tcPr>
            <w:tcW w:w="356" w:type="pct"/>
            <w:tcBorders>
              <w:tl2br w:val="nil"/>
              <w:tr2bl w:val="nil"/>
            </w:tcBorders>
            <w:shd w:val="clear" w:color="auto" w:fill="auto"/>
            <w:noWrap/>
            <w:vAlign w:val="bottom"/>
          </w:tcPr>
          <w:p w14:paraId="4916FC1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1.81 </w:t>
            </w:r>
          </w:p>
        </w:tc>
        <w:tc>
          <w:tcPr>
            <w:tcW w:w="356" w:type="pct"/>
            <w:tcBorders>
              <w:tl2br w:val="nil"/>
              <w:tr2bl w:val="nil"/>
            </w:tcBorders>
            <w:shd w:val="clear" w:color="auto" w:fill="auto"/>
            <w:noWrap/>
            <w:vAlign w:val="bottom"/>
          </w:tcPr>
          <w:p w14:paraId="076B3A6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1.62 </w:t>
            </w:r>
          </w:p>
        </w:tc>
        <w:tc>
          <w:tcPr>
            <w:tcW w:w="356" w:type="pct"/>
            <w:tcBorders>
              <w:tl2br w:val="nil"/>
              <w:tr2bl w:val="nil"/>
            </w:tcBorders>
            <w:shd w:val="clear" w:color="auto" w:fill="auto"/>
            <w:noWrap/>
            <w:vAlign w:val="bottom"/>
          </w:tcPr>
          <w:p w14:paraId="463AF70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1.71 </w:t>
            </w:r>
          </w:p>
        </w:tc>
        <w:tc>
          <w:tcPr>
            <w:tcW w:w="356" w:type="pct"/>
            <w:tcBorders>
              <w:tl2br w:val="nil"/>
              <w:tr2bl w:val="nil"/>
            </w:tcBorders>
            <w:shd w:val="clear" w:color="auto" w:fill="auto"/>
            <w:noWrap/>
            <w:vAlign w:val="bottom"/>
          </w:tcPr>
          <w:p w14:paraId="6D36504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1.64 </w:t>
            </w:r>
          </w:p>
        </w:tc>
      </w:tr>
      <w:tr w14:paraId="3ED3059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285" w:hRule="atLeast"/>
        </w:trPr>
        <w:tc>
          <w:tcPr>
            <w:tcW w:w="718" w:type="pct"/>
            <w:tcBorders>
              <w:tl2br w:val="nil"/>
              <w:tr2bl w:val="nil"/>
            </w:tcBorders>
            <w:shd w:val="clear" w:color="auto" w:fill="auto"/>
            <w:noWrap/>
            <w:vAlign w:val="bottom"/>
          </w:tcPr>
          <w:p w14:paraId="31AAA3C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冬季                </w:t>
            </w:r>
          </w:p>
        </w:tc>
        <w:tc>
          <w:tcPr>
            <w:tcW w:w="356" w:type="pct"/>
            <w:tcBorders>
              <w:tl2br w:val="nil"/>
              <w:tr2bl w:val="nil"/>
            </w:tcBorders>
            <w:shd w:val="clear" w:color="auto" w:fill="auto"/>
            <w:noWrap/>
            <w:vAlign w:val="bottom"/>
          </w:tcPr>
          <w:p w14:paraId="0D471DE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2.09 </w:t>
            </w:r>
          </w:p>
        </w:tc>
        <w:tc>
          <w:tcPr>
            <w:tcW w:w="356" w:type="pct"/>
            <w:tcBorders>
              <w:tl2br w:val="nil"/>
              <w:tr2bl w:val="nil"/>
            </w:tcBorders>
            <w:shd w:val="clear" w:color="auto" w:fill="auto"/>
            <w:noWrap/>
            <w:vAlign w:val="bottom"/>
          </w:tcPr>
          <w:p w14:paraId="524EFF3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2.24 </w:t>
            </w:r>
          </w:p>
        </w:tc>
        <w:tc>
          <w:tcPr>
            <w:tcW w:w="356" w:type="pct"/>
            <w:tcBorders>
              <w:tl2br w:val="nil"/>
              <w:tr2bl w:val="nil"/>
            </w:tcBorders>
            <w:shd w:val="clear" w:color="auto" w:fill="auto"/>
            <w:noWrap/>
            <w:vAlign w:val="bottom"/>
          </w:tcPr>
          <w:p w14:paraId="15CBF5E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2.13 </w:t>
            </w:r>
          </w:p>
        </w:tc>
        <w:tc>
          <w:tcPr>
            <w:tcW w:w="356" w:type="pct"/>
            <w:tcBorders>
              <w:tl2br w:val="nil"/>
              <w:tr2bl w:val="nil"/>
            </w:tcBorders>
            <w:shd w:val="clear" w:color="auto" w:fill="auto"/>
            <w:noWrap/>
            <w:vAlign w:val="bottom"/>
          </w:tcPr>
          <w:p w14:paraId="4C5A43B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2.05 </w:t>
            </w:r>
          </w:p>
        </w:tc>
        <w:tc>
          <w:tcPr>
            <w:tcW w:w="356" w:type="pct"/>
            <w:tcBorders>
              <w:tl2br w:val="nil"/>
              <w:tr2bl w:val="nil"/>
            </w:tcBorders>
            <w:shd w:val="clear" w:color="auto" w:fill="auto"/>
            <w:noWrap/>
            <w:vAlign w:val="bottom"/>
          </w:tcPr>
          <w:p w14:paraId="19128D7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1.99 </w:t>
            </w:r>
          </w:p>
        </w:tc>
        <w:tc>
          <w:tcPr>
            <w:tcW w:w="356" w:type="pct"/>
            <w:tcBorders>
              <w:tl2br w:val="nil"/>
              <w:tr2bl w:val="nil"/>
            </w:tcBorders>
            <w:shd w:val="clear" w:color="auto" w:fill="auto"/>
            <w:noWrap/>
            <w:vAlign w:val="bottom"/>
          </w:tcPr>
          <w:p w14:paraId="5606E7C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1.75 </w:t>
            </w:r>
          </w:p>
        </w:tc>
        <w:tc>
          <w:tcPr>
            <w:tcW w:w="356" w:type="pct"/>
            <w:tcBorders>
              <w:tl2br w:val="nil"/>
              <w:tr2bl w:val="nil"/>
            </w:tcBorders>
            <w:shd w:val="clear" w:color="auto" w:fill="auto"/>
            <w:noWrap/>
            <w:vAlign w:val="bottom"/>
          </w:tcPr>
          <w:p w14:paraId="421713C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1.68 </w:t>
            </w:r>
          </w:p>
        </w:tc>
        <w:tc>
          <w:tcPr>
            <w:tcW w:w="356" w:type="pct"/>
            <w:tcBorders>
              <w:tl2br w:val="nil"/>
              <w:tr2bl w:val="nil"/>
            </w:tcBorders>
            <w:shd w:val="clear" w:color="auto" w:fill="auto"/>
            <w:noWrap/>
            <w:vAlign w:val="bottom"/>
          </w:tcPr>
          <w:p w14:paraId="1593080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1.73 </w:t>
            </w:r>
          </w:p>
        </w:tc>
        <w:tc>
          <w:tcPr>
            <w:tcW w:w="356" w:type="pct"/>
            <w:tcBorders>
              <w:tl2br w:val="nil"/>
              <w:tr2bl w:val="nil"/>
            </w:tcBorders>
            <w:shd w:val="clear" w:color="auto" w:fill="auto"/>
            <w:noWrap/>
            <w:vAlign w:val="bottom"/>
          </w:tcPr>
          <w:p w14:paraId="6B1F62C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1.62 </w:t>
            </w:r>
          </w:p>
        </w:tc>
        <w:tc>
          <w:tcPr>
            <w:tcW w:w="356" w:type="pct"/>
            <w:tcBorders>
              <w:tl2br w:val="nil"/>
              <w:tr2bl w:val="nil"/>
            </w:tcBorders>
            <w:shd w:val="clear" w:color="auto" w:fill="auto"/>
            <w:noWrap/>
            <w:vAlign w:val="bottom"/>
          </w:tcPr>
          <w:p w14:paraId="45CFF09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1.48 </w:t>
            </w:r>
          </w:p>
        </w:tc>
        <w:tc>
          <w:tcPr>
            <w:tcW w:w="356" w:type="pct"/>
            <w:tcBorders>
              <w:tl2br w:val="nil"/>
              <w:tr2bl w:val="nil"/>
            </w:tcBorders>
            <w:shd w:val="clear" w:color="auto" w:fill="auto"/>
            <w:noWrap/>
            <w:vAlign w:val="bottom"/>
          </w:tcPr>
          <w:p w14:paraId="464736E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1.39 </w:t>
            </w:r>
          </w:p>
        </w:tc>
        <w:tc>
          <w:tcPr>
            <w:tcW w:w="356" w:type="pct"/>
            <w:tcBorders>
              <w:tl2br w:val="nil"/>
              <w:tr2bl w:val="nil"/>
            </w:tcBorders>
            <w:shd w:val="clear" w:color="auto" w:fill="auto"/>
            <w:noWrap/>
            <w:vAlign w:val="bottom"/>
          </w:tcPr>
          <w:p w14:paraId="7BA23E4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1.33 </w:t>
            </w:r>
          </w:p>
        </w:tc>
      </w:tr>
    </w:tbl>
    <w:p w14:paraId="6ED01CD8">
      <w:pPr>
        <w:pStyle w:val="19"/>
        <w:rPr>
          <w:color w:val="auto"/>
          <w:highlight w:val="none"/>
        </w:rPr>
      </w:pPr>
    </w:p>
    <w:p w14:paraId="60BD25C4">
      <w:pPr>
        <w:rPr>
          <w:color w:val="auto"/>
          <w:highlight w:val="none"/>
        </w:rPr>
        <w:sectPr>
          <w:headerReference r:id="rId20" w:type="default"/>
          <w:footerReference r:id="rId21" w:type="default"/>
          <w:pgSz w:w="16839" w:h="11906"/>
          <w:pgMar w:top="1483" w:right="1701" w:bottom="1415" w:left="1444" w:header="1109" w:footer="1200" w:gutter="0"/>
          <w:pgBorders>
            <w:top w:val="none" w:sz="0" w:space="0"/>
            <w:left w:val="none" w:sz="0" w:space="0"/>
            <w:bottom w:val="none" w:sz="0" w:space="0"/>
            <w:right w:val="none" w:sz="0" w:space="0"/>
          </w:pgBorders>
          <w:cols w:space="720" w:num="1"/>
        </w:sectPr>
      </w:pPr>
    </w:p>
    <w:p w14:paraId="634D71A3">
      <w:pPr>
        <w:spacing w:before="238" w:line="346" w:lineRule="auto"/>
        <w:ind w:left="8" w:firstLine="480"/>
        <w:rPr>
          <w:rFonts w:ascii="宋体" w:hAnsi="宋体" w:eastAsia="宋体" w:cs="宋体"/>
          <w:color w:val="auto"/>
          <w:sz w:val="24"/>
          <w:szCs w:val="24"/>
          <w:highlight w:val="none"/>
        </w:rPr>
      </w:pPr>
      <w:r>
        <w:rPr>
          <w:rFonts w:ascii="宋体" w:hAnsi="宋体" w:eastAsia="宋体" w:cs="宋体"/>
          <w:color w:val="auto"/>
          <w:spacing w:val="-2"/>
          <w:sz w:val="24"/>
          <w:szCs w:val="24"/>
          <w:highlight w:val="none"/>
        </w:rPr>
        <w:t>表</w:t>
      </w:r>
      <w:r>
        <w:rPr>
          <w:rFonts w:ascii="Times New Roman" w:hAnsi="Times New Roman" w:eastAsia="Times New Roman" w:cs="Times New Roman"/>
          <w:color w:val="auto"/>
          <w:spacing w:val="-2"/>
          <w:sz w:val="24"/>
          <w:szCs w:val="24"/>
          <w:highlight w:val="none"/>
        </w:rPr>
        <w:t>5.2-</w:t>
      </w:r>
      <w:r>
        <w:rPr>
          <w:rFonts w:hint="eastAsia" w:cs="Times New Roman"/>
          <w:color w:val="auto"/>
          <w:spacing w:val="-2"/>
          <w:sz w:val="24"/>
          <w:szCs w:val="24"/>
          <w:highlight w:val="none"/>
          <w:lang w:val="en-US" w:eastAsia="zh-CN"/>
        </w:rPr>
        <w:t>10</w:t>
      </w:r>
      <w:r>
        <w:rPr>
          <w:rFonts w:ascii="宋体" w:hAnsi="宋体" w:eastAsia="宋体" w:cs="宋体"/>
          <w:color w:val="auto"/>
          <w:spacing w:val="-2"/>
          <w:sz w:val="24"/>
          <w:szCs w:val="24"/>
          <w:highlight w:val="none"/>
        </w:rPr>
        <w:t>给出了风速日变化趋势。由表可知，各季节内，风速较小值一般出现</w:t>
      </w:r>
      <w:r>
        <w:rPr>
          <w:rFonts w:ascii="宋体" w:hAnsi="宋体" w:eastAsia="宋体" w:cs="宋体"/>
          <w:color w:val="auto"/>
          <w:spacing w:val="-1"/>
          <w:sz w:val="24"/>
          <w:szCs w:val="24"/>
          <w:highlight w:val="none"/>
        </w:rPr>
        <w:t>在夜间，风速在下午达到最大，有利于大气污染物的扩散。</w:t>
      </w:r>
    </w:p>
    <w:p w14:paraId="357EA125">
      <w:pPr>
        <w:spacing w:line="3578" w:lineRule="exact"/>
        <w:rPr>
          <w:color w:val="auto"/>
          <w:highlight w:val="none"/>
        </w:rPr>
      </w:pPr>
      <w:r>
        <w:rPr>
          <w:color w:val="auto"/>
          <w:highlight w:val="none"/>
        </w:rPr>
        <w:drawing>
          <wp:anchor distT="0" distB="0" distL="114300" distR="114300" simplePos="0" relativeHeight="251695104" behindDoc="0" locked="0" layoutInCell="1" allowOverlap="1">
            <wp:simplePos x="0" y="0"/>
            <wp:positionH relativeFrom="column">
              <wp:posOffset>10795</wp:posOffset>
            </wp:positionH>
            <wp:positionV relativeFrom="paragraph">
              <wp:posOffset>19050</wp:posOffset>
            </wp:positionV>
            <wp:extent cx="5394960" cy="2249805"/>
            <wp:effectExtent l="0" t="0" r="15240" b="17145"/>
            <wp:wrapNone/>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69"/>
                    <a:stretch>
                      <a:fillRect/>
                    </a:stretch>
                  </pic:blipFill>
                  <pic:spPr>
                    <a:xfrm>
                      <a:off x="0" y="0"/>
                      <a:ext cx="5394960" cy="2249805"/>
                    </a:xfrm>
                    <a:prstGeom prst="rect">
                      <a:avLst/>
                    </a:prstGeom>
                    <a:noFill/>
                    <a:ln>
                      <a:noFill/>
                    </a:ln>
                  </pic:spPr>
                </pic:pic>
              </a:graphicData>
            </a:graphic>
          </wp:anchor>
        </w:drawing>
      </w:r>
    </w:p>
    <w:p w14:paraId="20465955">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图</w:t>
      </w:r>
      <w:r>
        <w:rPr>
          <w:rFonts w:hint="default" w:ascii="Times New Roman" w:hAnsi="Times New Roman" w:cs="Times New Roman"/>
          <w:color w:val="auto"/>
          <w:highlight w:val="none"/>
          <w:lang w:val="en-US" w:eastAsia="zh-CN"/>
        </w:rPr>
        <w:t>5</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 xml:space="preserve">   2025 年评价区域各季小时平均风速的日变化</w:t>
      </w:r>
    </w:p>
    <w:p w14:paraId="73E3FFB5">
      <w:pPr>
        <w:spacing w:before="184" w:line="220" w:lineRule="auto"/>
        <w:ind w:left="484"/>
        <w:rPr>
          <w:rFonts w:ascii="宋体" w:hAnsi="宋体" w:eastAsia="宋体" w:cs="宋体"/>
          <w:color w:val="auto"/>
          <w:sz w:val="24"/>
          <w:szCs w:val="24"/>
          <w:highlight w:val="none"/>
        </w:rPr>
      </w:pPr>
      <w:r>
        <w:rPr>
          <w:rFonts w:ascii="Times New Roman" w:hAnsi="Times New Roman" w:eastAsia="Times New Roman" w:cs="Times New Roman"/>
          <w:color w:val="auto"/>
          <w:spacing w:val="-3"/>
          <w:sz w:val="24"/>
          <w:szCs w:val="24"/>
          <w:highlight w:val="none"/>
        </w:rPr>
        <w:t>4</w:t>
      </w:r>
      <w:r>
        <w:rPr>
          <w:rFonts w:ascii="Times New Roman" w:hAnsi="Times New Roman" w:eastAsia="Times New Roman" w:cs="Times New Roman"/>
          <w:color w:val="auto"/>
          <w:spacing w:val="-32"/>
          <w:sz w:val="24"/>
          <w:szCs w:val="24"/>
          <w:highlight w:val="none"/>
        </w:rPr>
        <w:t xml:space="preserve"> </w:t>
      </w:r>
      <w:r>
        <w:rPr>
          <w:rFonts w:ascii="宋体" w:hAnsi="宋体" w:eastAsia="宋体" w:cs="宋体"/>
          <w:color w:val="auto"/>
          <w:spacing w:val="-3"/>
          <w:sz w:val="24"/>
          <w:szCs w:val="24"/>
          <w:highlight w:val="none"/>
        </w:rPr>
        <w:t>、风向、风频统计分析</w:t>
      </w:r>
    </w:p>
    <w:p w14:paraId="6531EE97">
      <w:pPr>
        <w:spacing w:before="180" w:line="362" w:lineRule="auto"/>
        <w:ind w:left="10" w:right="35" w:firstLine="474"/>
        <w:rPr>
          <w:rFonts w:ascii="宋体" w:hAnsi="宋体" w:eastAsia="宋体" w:cs="宋体"/>
          <w:color w:val="auto"/>
          <w:sz w:val="24"/>
          <w:szCs w:val="24"/>
          <w:highlight w:val="none"/>
        </w:rPr>
      </w:pPr>
      <w:r>
        <w:rPr>
          <w:rFonts w:ascii="Times New Roman" w:hAnsi="Times New Roman" w:eastAsia="Times New Roman" w:cs="Times New Roman"/>
          <w:color w:val="auto"/>
          <w:spacing w:val="-2"/>
          <w:sz w:val="24"/>
          <w:szCs w:val="24"/>
          <w:highlight w:val="none"/>
        </w:rPr>
        <w:t>2025</w:t>
      </w:r>
      <w:r>
        <w:rPr>
          <w:rFonts w:ascii="宋体" w:hAnsi="宋体" w:eastAsia="宋体" w:cs="宋体"/>
          <w:color w:val="auto"/>
          <w:spacing w:val="-2"/>
          <w:sz w:val="24"/>
          <w:szCs w:val="24"/>
          <w:highlight w:val="none"/>
        </w:rPr>
        <w:t>年每月、各季及长期平均各向风频变化情况见表</w:t>
      </w:r>
      <w:r>
        <w:rPr>
          <w:rFonts w:ascii="Times New Roman" w:hAnsi="Times New Roman" w:eastAsia="Times New Roman" w:cs="Times New Roman"/>
          <w:color w:val="auto"/>
          <w:spacing w:val="-3"/>
          <w:sz w:val="24"/>
          <w:szCs w:val="24"/>
          <w:highlight w:val="none"/>
        </w:rPr>
        <w:t>5</w:t>
      </w:r>
      <w:r>
        <w:rPr>
          <w:rFonts w:hint="eastAsia" w:eastAsia="宋体" w:cs="Times New Roman"/>
          <w:color w:val="auto"/>
          <w:spacing w:val="-3"/>
          <w:sz w:val="24"/>
          <w:szCs w:val="24"/>
          <w:highlight w:val="none"/>
          <w:lang w:val="en-US" w:eastAsia="zh-CN"/>
        </w:rPr>
        <w:t>-2-</w:t>
      </w:r>
      <w:r>
        <w:rPr>
          <w:rFonts w:hint="eastAsia" w:cs="Times New Roman"/>
          <w:color w:val="auto"/>
          <w:spacing w:val="-3"/>
          <w:sz w:val="24"/>
          <w:szCs w:val="24"/>
          <w:highlight w:val="none"/>
          <w:lang w:val="en-US" w:eastAsia="zh-CN"/>
        </w:rPr>
        <w:t>11</w:t>
      </w:r>
      <w:r>
        <w:rPr>
          <w:rFonts w:ascii="Times New Roman" w:hAnsi="Times New Roman" w:eastAsia="Times New Roman" w:cs="Times New Roman"/>
          <w:color w:val="auto"/>
          <w:spacing w:val="-3"/>
          <w:sz w:val="24"/>
          <w:szCs w:val="24"/>
          <w:highlight w:val="none"/>
        </w:rPr>
        <w:t>~</w:t>
      </w:r>
      <w:r>
        <w:rPr>
          <w:rFonts w:ascii="宋体" w:hAnsi="宋体" w:eastAsia="宋体" w:cs="宋体"/>
          <w:color w:val="auto"/>
          <w:spacing w:val="-3"/>
          <w:sz w:val="24"/>
          <w:szCs w:val="24"/>
          <w:highlight w:val="none"/>
        </w:rPr>
        <w:t>表</w:t>
      </w:r>
      <w:r>
        <w:rPr>
          <w:rFonts w:ascii="Times New Roman" w:hAnsi="Times New Roman" w:eastAsia="Times New Roman" w:cs="Times New Roman"/>
          <w:color w:val="auto"/>
          <w:spacing w:val="-3"/>
          <w:sz w:val="24"/>
          <w:szCs w:val="24"/>
          <w:highlight w:val="none"/>
        </w:rPr>
        <w:t>5</w:t>
      </w:r>
      <w:r>
        <w:rPr>
          <w:rFonts w:hint="eastAsia" w:eastAsia="宋体" w:cs="Times New Roman"/>
          <w:color w:val="auto"/>
          <w:spacing w:val="-3"/>
          <w:sz w:val="24"/>
          <w:szCs w:val="24"/>
          <w:highlight w:val="none"/>
          <w:lang w:val="en-US" w:eastAsia="zh-CN"/>
        </w:rPr>
        <w:t>-2-</w:t>
      </w:r>
      <w:r>
        <w:rPr>
          <w:rFonts w:hint="eastAsia" w:cs="Times New Roman"/>
          <w:color w:val="auto"/>
          <w:spacing w:val="-3"/>
          <w:sz w:val="24"/>
          <w:szCs w:val="24"/>
          <w:highlight w:val="none"/>
          <w:lang w:val="en-US" w:eastAsia="zh-CN"/>
        </w:rPr>
        <w:t>12</w:t>
      </w:r>
      <w:r>
        <w:rPr>
          <w:rFonts w:ascii="宋体" w:hAnsi="宋体" w:eastAsia="宋体" w:cs="宋体"/>
          <w:color w:val="auto"/>
          <w:spacing w:val="-3"/>
          <w:sz w:val="24"/>
          <w:szCs w:val="24"/>
          <w:highlight w:val="none"/>
        </w:rPr>
        <w:t>，风向、</w:t>
      </w:r>
      <w:r>
        <w:rPr>
          <w:rFonts w:ascii="宋体" w:hAnsi="宋体" w:eastAsia="宋体" w:cs="宋体"/>
          <w:color w:val="auto"/>
          <w:spacing w:val="-2"/>
          <w:sz w:val="24"/>
          <w:szCs w:val="24"/>
          <w:highlight w:val="none"/>
        </w:rPr>
        <w:t>风频统计见图</w:t>
      </w:r>
      <w:r>
        <w:rPr>
          <w:rFonts w:ascii="Times New Roman" w:hAnsi="Times New Roman" w:eastAsia="Times New Roman" w:cs="Times New Roman"/>
          <w:color w:val="auto"/>
          <w:spacing w:val="-2"/>
          <w:sz w:val="24"/>
          <w:szCs w:val="24"/>
          <w:highlight w:val="none"/>
        </w:rPr>
        <w:t>5.2-</w:t>
      </w:r>
      <w:r>
        <w:rPr>
          <w:rFonts w:hint="eastAsia" w:eastAsia="宋体" w:cs="Times New Roman"/>
          <w:color w:val="auto"/>
          <w:spacing w:val="-2"/>
          <w:sz w:val="24"/>
          <w:szCs w:val="24"/>
          <w:highlight w:val="none"/>
          <w:lang w:val="en-US" w:eastAsia="zh-CN"/>
        </w:rPr>
        <w:t>6</w:t>
      </w:r>
      <w:r>
        <w:rPr>
          <w:rFonts w:ascii="宋体" w:hAnsi="宋体" w:eastAsia="宋体" w:cs="宋体"/>
          <w:color w:val="auto"/>
          <w:spacing w:val="-2"/>
          <w:sz w:val="24"/>
          <w:szCs w:val="24"/>
          <w:highlight w:val="none"/>
        </w:rPr>
        <w:t>。</w:t>
      </w:r>
    </w:p>
    <w:p w14:paraId="3F27D1BD">
      <w:pPr>
        <w:spacing w:line="362" w:lineRule="auto"/>
        <w:rPr>
          <w:rFonts w:ascii="宋体" w:hAnsi="宋体" w:eastAsia="宋体" w:cs="宋体"/>
          <w:color w:val="auto"/>
          <w:sz w:val="24"/>
          <w:szCs w:val="24"/>
          <w:highlight w:val="none"/>
        </w:rPr>
        <w:sectPr>
          <w:headerReference r:id="rId22" w:type="default"/>
          <w:footerReference r:id="rId23" w:type="default"/>
          <w:pgSz w:w="11906" w:h="16839"/>
          <w:pgMar w:top="1496" w:right="1700" w:bottom="1417" w:left="1701" w:header="1109" w:footer="1200" w:gutter="0"/>
          <w:pgBorders>
            <w:top w:val="none" w:sz="0" w:space="0"/>
            <w:left w:val="none" w:sz="0" w:space="0"/>
            <w:bottom w:val="none" w:sz="0" w:space="0"/>
            <w:right w:val="none" w:sz="0" w:space="0"/>
          </w:pgBorders>
          <w:cols w:space="720" w:num="1"/>
        </w:sectPr>
      </w:pPr>
    </w:p>
    <w:p w14:paraId="56F7088C">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表 </w:t>
      </w:r>
      <w:r>
        <w:rPr>
          <w:rFonts w:hint="eastAsia" w:ascii="Times New Roman" w:hAnsi="Times New Roman" w:cs="Times New Roman"/>
          <w:color w:val="auto"/>
          <w:highlight w:val="none"/>
          <w:lang w:val="en-US" w:eastAsia="zh-CN"/>
        </w:rPr>
        <w:t>5-2-</w:t>
      </w:r>
      <w:r>
        <w:rPr>
          <w:rFonts w:hint="eastAsia" w:cs="Times New Roman"/>
          <w:color w:val="auto"/>
          <w:highlight w:val="none"/>
          <w:lang w:val="en-US" w:eastAsia="zh-CN"/>
        </w:rPr>
        <w:t>11</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黑河</w:t>
      </w:r>
      <w:r>
        <w:rPr>
          <w:rFonts w:hint="default" w:ascii="Times New Roman" w:hAnsi="Times New Roman" w:cs="Times New Roman"/>
          <w:color w:val="auto"/>
          <w:highlight w:val="none"/>
        </w:rPr>
        <w:t>市2025年各月平均风频的月变化</w:t>
      </w:r>
    </w:p>
    <w:p w14:paraId="682AFBAC">
      <w:pPr>
        <w:spacing w:line="146" w:lineRule="exact"/>
        <w:rPr>
          <w:color w:val="auto"/>
          <w:highlight w:val="none"/>
        </w:rPr>
      </w:pPr>
    </w:p>
    <w:tbl>
      <w:tblPr>
        <w:tblStyle w:val="486"/>
        <w:tblW w:w="13707" w:type="dxa"/>
        <w:tblInd w:w="12"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855"/>
        <w:gridCol w:w="696"/>
        <w:gridCol w:w="759"/>
        <w:gridCol w:w="770"/>
        <w:gridCol w:w="677"/>
        <w:gridCol w:w="770"/>
        <w:gridCol w:w="777"/>
        <w:gridCol w:w="745"/>
        <w:gridCol w:w="770"/>
        <w:gridCol w:w="783"/>
        <w:gridCol w:w="770"/>
        <w:gridCol w:w="783"/>
        <w:gridCol w:w="827"/>
        <w:gridCol w:w="780"/>
        <w:gridCol w:w="876"/>
        <w:gridCol w:w="622"/>
        <w:gridCol w:w="810"/>
        <w:gridCol w:w="637"/>
      </w:tblGrid>
      <w:tr w14:paraId="3AC45728">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1174" w:hRule="atLeast"/>
        </w:trPr>
        <w:tc>
          <w:tcPr>
            <w:tcW w:w="855" w:type="dxa"/>
            <w:tcBorders>
              <w:tl2br w:val="nil"/>
              <w:tr2bl w:val="nil"/>
            </w:tcBorders>
            <w:vAlign w:val="center"/>
          </w:tcPr>
          <w:p w14:paraId="0078A15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风向</w:t>
            </w:r>
          </w:p>
          <w:p w14:paraId="082C8A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频率%</w:t>
            </w:r>
          </w:p>
        </w:tc>
        <w:tc>
          <w:tcPr>
            <w:tcW w:w="696" w:type="dxa"/>
            <w:tcBorders>
              <w:tl2br w:val="nil"/>
              <w:tr2bl w:val="nil"/>
            </w:tcBorders>
            <w:vAlign w:val="center"/>
          </w:tcPr>
          <w:p w14:paraId="54288B2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w:t>
            </w:r>
          </w:p>
        </w:tc>
        <w:tc>
          <w:tcPr>
            <w:tcW w:w="759" w:type="dxa"/>
            <w:tcBorders>
              <w:tl2br w:val="nil"/>
              <w:tr2bl w:val="nil"/>
            </w:tcBorders>
            <w:vAlign w:val="center"/>
          </w:tcPr>
          <w:p w14:paraId="0CDE5D2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NNE</w:t>
            </w:r>
          </w:p>
        </w:tc>
        <w:tc>
          <w:tcPr>
            <w:tcW w:w="770" w:type="dxa"/>
            <w:tcBorders>
              <w:tl2br w:val="nil"/>
              <w:tr2bl w:val="nil"/>
            </w:tcBorders>
            <w:vAlign w:val="center"/>
          </w:tcPr>
          <w:p w14:paraId="7B93F74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NE</w:t>
            </w:r>
          </w:p>
        </w:tc>
        <w:tc>
          <w:tcPr>
            <w:tcW w:w="677" w:type="dxa"/>
            <w:tcBorders>
              <w:tl2br w:val="nil"/>
              <w:tr2bl w:val="nil"/>
            </w:tcBorders>
            <w:vAlign w:val="center"/>
          </w:tcPr>
          <w:p w14:paraId="574B9F1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ENE</w:t>
            </w:r>
          </w:p>
        </w:tc>
        <w:tc>
          <w:tcPr>
            <w:tcW w:w="770" w:type="dxa"/>
            <w:tcBorders>
              <w:tl2br w:val="nil"/>
              <w:tr2bl w:val="nil"/>
            </w:tcBorders>
            <w:vAlign w:val="center"/>
          </w:tcPr>
          <w:p w14:paraId="632F779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w:t>
            </w:r>
          </w:p>
        </w:tc>
        <w:tc>
          <w:tcPr>
            <w:tcW w:w="777" w:type="dxa"/>
            <w:tcBorders>
              <w:tl2br w:val="nil"/>
              <w:tr2bl w:val="nil"/>
            </w:tcBorders>
            <w:vAlign w:val="center"/>
          </w:tcPr>
          <w:p w14:paraId="7CD6751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ESE</w:t>
            </w:r>
          </w:p>
        </w:tc>
        <w:tc>
          <w:tcPr>
            <w:tcW w:w="745" w:type="dxa"/>
            <w:tcBorders>
              <w:tl2br w:val="nil"/>
              <w:tr2bl w:val="nil"/>
            </w:tcBorders>
            <w:vAlign w:val="center"/>
          </w:tcPr>
          <w:p w14:paraId="4873F53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SE</w:t>
            </w:r>
          </w:p>
        </w:tc>
        <w:tc>
          <w:tcPr>
            <w:tcW w:w="770" w:type="dxa"/>
            <w:tcBorders>
              <w:tl2br w:val="nil"/>
              <w:tr2bl w:val="nil"/>
            </w:tcBorders>
            <w:vAlign w:val="center"/>
          </w:tcPr>
          <w:p w14:paraId="4FE03A1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SSE</w:t>
            </w:r>
          </w:p>
        </w:tc>
        <w:tc>
          <w:tcPr>
            <w:tcW w:w="783" w:type="dxa"/>
            <w:tcBorders>
              <w:tl2br w:val="nil"/>
              <w:tr2bl w:val="nil"/>
            </w:tcBorders>
            <w:vAlign w:val="center"/>
          </w:tcPr>
          <w:p w14:paraId="339AFC7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w:t>
            </w:r>
          </w:p>
        </w:tc>
        <w:tc>
          <w:tcPr>
            <w:tcW w:w="770" w:type="dxa"/>
            <w:tcBorders>
              <w:tl2br w:val="nil"/>
              <w:tr2bl w:val="nil"/>
            </w:tcBorders>
            <w:vAlign w:val="center"/>
          </w:tcPr>
          <w:p w14:paraId="55FF6F2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SSW</w:t>
            </w:r>
          </w:p>
        </w:tc>
        <w:tc>
          <w:tcPr>
            <w:tcW w:w="783" w:type="dxa"/>
            <w:tcBorders>
              <w:tl2br w:val="nil"/>
              <w:tr2bl w:val="nil"/>
            </w:tcBorders>
            <w:vAlign w:val="center"/>
          </w:tcPr>
          <w:p w14:paraId="6FAAA27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SW</w:t>
            </w:r>
          </w:p>
        </w:tc>
        <w:tc>
          <w:tcPr>
            <w:tcW w:w="827" w:type="dxa"/>
            <w:tcBorders>
              <w:tl2br w:val="nil"/>
              <w:tr2bl w:val="nil"/>
            </w:tcBorders>
            <w:vAlign w:val="center"/>
          </w:tcPr>
          <w:p w14:paraId="0874C75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WSW</w:t>
            </w:r>
          </w:p>
        </w:tc>
        <w:tc>
          <w:tcPr>
            <w:tcW w:w="780" w:type="dxa"/>
            <w:tcBorders>
              <w:tl2br w:val="nil"/>
              <w:tr2bl w:val="nil"/>
            </w:tcBorders>
            <w:vAlign w:val="center"/>
          </w:tcPr>
          <w:p w14:paraId="12F2A9F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w:t>
            </w:r>
          </w:p>
        </w:tc>
        <w:tc>
          <w:tcPr>
            <w:tcW w:w="876" w:type="dxa"/>
            <w:tcBorders>
              <w:tl2br w:val="nil"/>
              <w:tr2bl w:val="nil"/>
            </w:tcBorders>
            <w:vAlign w:val="center"/>
          </w:tcPr>
          <w:p w14:paraId="670CE0A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WNW</w:t>
            </w:r>
          </w:p>
        </w:tc>
        <w:tc>
          <w:tcPr>
            <w:tcW w:w="622" w:type="dxa"/>
            <w:tcBorders>
              <w:tl2br w:val="nil"/>
              <w:tr2bl w:val="nil"/>
            </w:tcBorders>
            <w:vAlign w:val="center"/>
          </w:tcPr>
          <w:p w14:paraId="03C18ED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NW</w:t>
            </w:r>
          </w:p>
        </w:tc>
        <w:tc>
          <w:tcPr>
            <w:tcW w:w="810" w:type="dxa"/>
            <w:tcBorders>
              <w:tl2br w:val="nil"/>
              <w:tr2bl w:val="nil"/>
            </w:tcBorders>
            <w:vAlign w:val="center"/>
          </w:tcPr>
          <w:p w14:paraId="028EC2A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NNW</w:t>
            </w:r>
          </w:p>
        </w:tc>
        <w:tc>
          <w:tcPr>
            <w:tcW w:w="637" w:type="dxa"/>
            <w:tcBorders>
              <w:tl2br w:val="nil"/>
              <w:tr2bl w:val="nil"/>
            </w:tcBorders>
            <w:vAlign w:val="center"/>
          </w:tcPr>
          <w:p w14:paraId="41713C9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w:t>
            </w:r>
          </w:p>
        </w:tc>
      </w:tr>
      <w:tr w14:paraId="1BF1E1D4">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3AD7EAA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1月</w:t>
            </w:r>
          </w:p>
        </w:tc>
        <w:tc>
          <w:tcPr>
            <w:tcW w:w="696" w:type="dxa"/>
            <w:tcBorders>
              <w:tl2br w:val="nil"/>
              <w:tr2bl w:val="nil"/>
            </w:tcBorders>
            <w:vAlign w:val="center"/>
          </w:tcPr>
          <w:p w14:paraId="40C2226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6.99</w:t>
            </w:r>
          </w:p>
        </w:tc>
        <w:tc>
          <w:tcPr>
            <w:tcW w:w="759" w:type="dxa"/>
            <w:tcBorders>
              <w:tl2br w:val="nil"/>
              <w:tr2bl w:val="nil"/>
            </w:tcBorders>
            <w:vAlign w:val="center"/>
          </w:tcPr>
          <w:p w14:paraId="168A99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5.51</w:t>
            </w:r>
          </w:p>
        </w:tc>
        <w:tc>
          <w:tcPr>
            <w:tcW w:w="770" w:type="dxa"/>
            <w:tcBorders>
              <w:tl2br w:val="nil"/>
              <w:tr2bl w:val="nil"/>
            </w:tcBorders>
            <w:vAlign w:val="center"/>
          </w:tcPr>
          <w:p w14:paraId="63AE3E6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5.51</w:t>
            </w:r>
          </w:p>
        </w:tc>
        <w:tc>
          <w:tcPr>
            <w:tcW w:w="677" w:type="dxa"/>
            <w:tcBorders>
              <w:tl2br w:val="nil"/>
              <w:tr2bl w:val="nil"/>
            </w:tcBorders>
            <w:vAlign w:val="center"/>
          </w:tcPr>
          <w:p w14:paraId="17BCF4C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6.99</w:t>
            </w:r>
          </w:p>
        </w:tc>
        <w:tc>
          <w:tcPr>
            <w:tcW w:w="770" w:type="dxa"/>
            <w:tcBorders>
              <w:tl2br w:val="nil"/>
              <w:tr2bl w:val="nil"/>
            </w:tcBorders>
            <w:vAlign w:val="center"/>
          </w:tcPr>
          <w:p w14:paraId="5BBE389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9.41</w:t>
            </w:r>
          </w:p>
        </w:tc>
        <w:tc>
          <w:tcPr>
            <w:tcW w:w="777" w:type="dxa"/>
            <w:tcBorders>
              <w:tl2br w:val="nil"/>
              <w:tr2bl w:val="nil"/>
            </w:tcBorders>
            <w:vAlign w:val="center"/>
          </w:tcPr>
          <w:p w14:paraId="2565D45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745" w:type="dxa"/>
            <w:tcBorders>
              <w:tl2br w:val="nil"/>
              <w:tr2bl w:val="nil"/>
            </w:tcBorders>
            <w:vAlign w:val="center"/>
          </w:tcPr>
          <w:p w14:paraId="35632AC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2.28</w:t>
            </w:r>
          </w:p>
        </w:tc>
        <w:tc>
          <w:tcPr>
            <w:tcW w:w="770" w:type="dxa"/>
            <w:tcBorders>
              <w:tl2br w:val="nil"/>
              <w:tr2bl w:val="nil"/>
            </w:tcBorders>
            <w:vAlign w:val="center"/>
          </w:tcPr>
          <w:p w14:paraId="4FD0BEF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1.21</w:t>
            </w:r>
          </w:p>
        </w:tc>
        <w:tc>
          <w:tcPr>
            <w:tcW w:w="783" w:type="dxa"/>
            <w:tcBorders>
              <w:tl2br w:val="nil"/>
              <w:tr2bl w:val="nil"/>
            </w:tcBorders>
            <w:vAlign w:val="center"/>
          </w:tcPr>
          <w:p w14:paraId="6FDF174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3.76</w:t>
            </w:r>
          </w:p>
        </w:tc>
        <w:tc>
          <w:tcPr>
            <w:tcW w:w="770" w:type="dxa"/>
            <w:tcBorders>
              <w:tl2br w:val="nil"/>
              <w:tr2bl w:val="nil"/>
            </w:tcBorders>
            <w:vAlign w:val="center"/>
          </w:tcPr>
          <w:p w14:paraId="70B4E30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7.53</w:t>
            </w:r>
          </w:p>
        </w:tc>
        <w:tc>
          <w:tcPr>
            <w:tcW w:w="783" w:type="dxa"/>
            <w:tcBorders>
              <w:tl2br w:val="nil"/>
              <w:tr2bl w:val="nil"/>
            </w:tcBorders>
            <w:vAlign w:val="center"/>
          </w:tcPr>
          <w:p w14:paraId="6A25CB4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17.74</w:t>
            </w:r>
          </w:p>
        </w:tc>
        <w:tc>
          <w:tcPr>
            <w:tcW w:w="827" w:type="dxa"/>
            <w:tcBorders>
              <w:tl2br w:val="nil"/>
              <w:tr2bl w:val="nil"/>
            </w:tcBorders>
            <w:vAlign w:val="center"/>
          </w:tcPr>
          <w:p w14:paraId="2BC105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11.42</w:t>
            </w:r>
          </w:p>
        </w:tc>
        <w:tc>
          <w:tcPr>
            <w:tcW w:w="780" w:type="dxa"/>
            <w:tcBorders>
              <w:tl2br w:val="nil"/>
              <w:tr2bl w:val="nil"/>
            </w:tcBorders>
            <w:vAlign w:val="center"/>
          </w:tcPr>
          <w:p w14:paraId="483973A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11.96</w:t>
            </w:r>
          </w:p>
        </w:tc>
        <w:tc>
          <w:tcPr>
            <w:tcW w:w="876" w:type="dxa"/>
            <w:tcBorders>
              <w:tl2br w:val="nil"/>
              <w:tr2bl w:val="nil"/>
            </w:tcBorders>
            <w:vAlign w:val="center"/>
          </w:tcPr>
          <w:p w14:paraId="39E2C1D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622" w:type="dxa"/>
            <w:tcBorders>
              <w:tl2br w:val="nil"/>
              <w:tr2bl w:val="nil"/>
            </w:tcBorders>
            <w:vAlign w:val="center"/>
          </w:tcPr>
          <w:p w14:paraId="2BE3D1C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1.61</w:t>
            </w:r>
          </w:p>
        </w:tc>
        <w:tc>
          <w:tcPr>
            <w:tcW w:w="810" w:type="dxa"/>
            <w:tcBorders>
              <w:tl2br w:val="nil"/>
              <w:tr2bl w:val="nil"/>
            </w:tcBorders>
            <w:vAlign w:val="center"/>
          </w:tcPr>
          <w:p w14:paraId="6CC984F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2.02</w:t>
            </w:r>
          </w:p>
        </w:tc>
        <w:tc>
          <w:tcPr>
            <w:tcW w:w="637" w:type="dxa"/>
            <w:tcBorders>
              <w:tl2br w:val="nil"/>
              <w:tr2bl w:val="nil"/>
            </w:tcBorders>
            <w:vAlign w:val="center"/>
          </w:tcPr>
          <w:p w14:paraId="6FEC98F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0.40</w:t>
            </w:r>
          </w:p>
        </w:tc>
      </w:tr>
      <w:tr w14:paraId="5E35E753">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6" w:hRule="atLeast"/>
        </w:trPr>
        <w:tc>
          <w:tcPr>
            <w:tcW w:w="855" w:type="dxa"/>
            <w:tcBorders>
              <w:tl2br w:val="nil"/>
              <w:tr2bl w:val="nil"/>
            </w:tcBorders>
            <w:vAlign w:val="center"/>
          </w:tcPr>
          <w:p w14:paraId="61DDD54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2月</w:t>
            </w:r>
          </w:p>
        </w:tc>
        <w:tc>
          <w:tcPr>
            <w:tcW w:w="696" w:type="dxa"/>
            <w:tcBorders>
              <w:tl2br w:val="nil"/>
              <w:tr2bl w:val="nil"/>
            </w:tcBorders>
            <w:vAlign w:val="center"/>
          </w:tcPr>
          <w:p w14:paraId="7CE7EAD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5.21</w:t>
            </w:r>
          </w:p>
        </w:tc>
        <w:tc>
          <w:tcPr>
            <w:tcW w:w="759" w:type="dxa"/>
            <w:tcBorders>
              <w:tl2br w:val="nil"/>
              <w:tr2bl w:val="nil"/>
            </w:tcBorders>
            <w:vAlign w:val="center"/>
          </w:tcPr>
          <w:p w14:paraId="644FB38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2.53</w:t>
            </w:r>
          </w:p>
        </w:tc>
        <w:tc>
          <w:tcPr>
            <w:tcW w:w="770" w:type="dxa"/>
            <w:tcBorders>
              <w:tl2br w:val="nil"/>
              <w:tr2bl w:val="nil"/>
            </w:tcBorders>
            <w:vAlign w:val="center"/>
          </w:tcPr>
          <w:p w14:paraId="79AF10E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1.64</w:t>
            </w:r>
          </w:p>
        </w:tc>
        <w:tc>
          <w:tcPr>
            <w:tcW w:w="677" w:type="dxa"/>
            <w:tcBorders>
              <w:tl2br w:val="nil"/>
              <w:tr2bl w:val="nil"/>
            </w:tcBorders>
            <w:vAlign w:val="center"/>
          </w:tcPr>
          <w:p w14:paraId="2D8906D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2.98</w:t>
            </w:r>
          </w:p>
        </w:tc>
        <w:tc>
          <w:tcPr>
            <w:tcW w:w="770" w:type="dxa"/>
            <w:tcBorders>
              <w:tl2br w:val="nil"/>
              <w:tr2bl w:val="nil"/>
            </w:tcBorders>
            <w:vAlign w:val="center"/>
          </w:tcPr>
          <w:p w14:paraId="7D0939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3.57</w:t>
            </w:r>
          </w:p>
        </w:tc>
        <w:tc>
          <w:tcPr>
            <w:tcW w:w="777" w:type="dxa"/>
            <w:tcBorders>
              <w:tl2br w:val="nil"/>
              <w:tr2bl w:val="nil"/>
            </w:tcBorders>
            <w:vAlign w:val="center"/>
          </w:tcPr>
          <w:p w14:paraId="58E6201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1.79</w:t>
            </w:r>
          </w:p>
        </w:tc>
        <w:tc>
          <w:tcPr>
            <w:tcW w:w="745" w:type="dxa"/>
            <w:tcBorders>
              <w:tl2br w:val="nil"/>
              <w:tr2bl w:val="nil"/>
            </w:tcBorders>
            <w:vAlign w:val="center"/>
          </w:tcPr>
          <w:p w14:paraId="168F061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1.04</w:t>
            </w:r>
          </w:p>
        </w:tc>
        <w:tc>
          <w:tcPr>
            <w:tcW w:w="770" w:type="dxa"/>
            <w:tcBorders>
              <w:tl2br w:val="nil"/>
              <w:tr2bl w:val="nil"/>
            </w:tcBorders>
            <w:vAlign w:val="center"/>
          </w:tcPr>
          <w:p w14:paraId="08FC8BF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1.64</w:t>
            </w:r>
          </w:p>
        </w:tc>
        <w:tc>
          <w:tcPr>
            <w:tcW w:w="783" w:type="dxa"/>
            <w:tcBorders>
              <w:tl2br w:val="nil"/>
              <w:tr2bl w:val="nil"/>
            </w:tcBorders>
            <w:vAlign w:val="center"/>
          </w:tcPr>
          <w:p w14:paraId="21DAF7F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3.13</w:t>
            </w:r>
          </w:p>
        </w:tc>
        <w:tc>
          <w:tcPr>
            <w:tcW w:w="770" w:type="dxa"/>
            <w:tcBorders>
              <w:tl2br w:val="nil"/>
              <w:tr2bl w:val="nil"/>
            </w:tcBorders>
            <w:vAlign w:val="center"/>
          </w:tcPr>
          <w:p w14:paraId="4091ECF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6.99</w:t>
            </w:r>
          </w:p>
        </w:tc>
        <w:tc>
          <w:tcPr>
            <w:tcW w:w="783" w:type="dxa"/>
            <w:tcBorders>
              <w:tl2br w:val="nil"/>
              <w:tr2bl w:val="nil"/>
            </w:tcBorders>
            <w:vAlign w:val="center"/>
          </w:tcPr>
          <w:p w14:paraId="68C5CD4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17.41</w:t>
            </w:r>
          </w:p>
        </w:tc>
        <w:tc>
          <w:tcPr>
            <w:tcW w:w="827" w:type="dxa"/>
            <w:tcBorders>
              <w:tl2br w:val="nil"/>
              <w:tr2bl w:val="nil"/>
            </w:tcBorders>
            <w:vAlign w:val="center"/>
          </w:tcPr>
          <w:p w14:paraId="535DDEF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15.77</w:t>
            </w:r>
          </w:p>
        </w:tc>
        <w:tc>
          <w:tcPr>
            <w:tcW w:w="780" w:type="dxa"/>
            <w:tcBorders>
              <w:tl2br w:val="nil"/>
              <w:tr2bl w:val="nil"/>
            </w:tcBorders>
            <w:vAlign w:val="center"/>
          </w:tcPr>
          <w:p w14:paraId="3C367F8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23.21</w:t>
            </w:r>
          </w:p>
        </w:tc>
        <w:tc>
          <w:tcPr>
            <w:tcW w:w="876" w:type="dxa"/>
            <w:tcBorders>
              <w:tl2br w:val="nil"/>
              <w:tr2bl w:val="nil"/>
            </w:tcBorders>
            <w:vAlign w:val="center"/>
          </w:tcPr>
          <w:p w14:paraId="21CA5C3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6.25</w:t>
            </w:r>
          </w:p>
        </w:tc>
        <w:tc>
          <w:tcPr>
            <w:tcW w:w="622" w:type="dxa"/>
            <w:tcBorders>
              <w:tl2br w:val="nil"/>
              <w:tr2bl w:val="nil"/>
            </w:tcBorders>
            <w:vAlign w:val="center"/>
          </w:tcPr>
          <w:p w14:paraId="3D48C52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2.83</w:t>
            </w:r>
          </w:p>
        </w:tc>
        <w:tc>
          <w:tcPr>
            <w:tcW w:w="810" w:type="dxa"/>
            <w:tcBorders>
              <w:tl2br w:val="nil"/>
              <w:tr2bl w:val="nil"/>
            </w:tcBorders>
            <w:vAlign w:val="center"/>
          </w:tcPr>
          <w:p w14:paraId="616A9BE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4.02</w:t>
            </w:r>
          </w:p>
        </w:tc>
        <w:tc>
          <w:tcPr>
            <w:tcW w:w="637" w:type="dxa"/>
            <w:tcBorders>
              <w:tl2br w:val="nil"/>
              <w:tr2bl w:val="nil"/>
            </w:tcBorders>
            <w:vAlign w:val="center"/>
          </w:tcPr>
          <w:p w14:paraId="067A785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730F219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0BA28AE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3月</w:t>
            </w:r>
          </w:p>
        </w:tc>
        <w:tc>
          <w:tcPr>
            <w:tcW w:w="696" w:type="dxa"/>
            <w:tcBorders>
              <w:tl2br w:val="nil"/>
              <w:tr2bl w:val="nil"/>
            </w:tcBorders>
            <w:vAlign w:val="center"/>
          </w:tcPr>
          <w:p w14:paraId="78E8C1F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6.72</w:t>
            </w:r>
          </w:p>
        </w:tc>
        <w:tc>
          <w:tcPr>
            <w:tcW w:w="759" w:type="dxa"/>
            <w:tcBorders>
              <w:tl2br w:val="nil"/>
              <w:tr2bl w:val="nil"/>
            </w:tcBorders>
            <w:vAlign w:val="center"/>
          </w:tcPr>
          <w:p w14:paraId="5663FF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770" w:type="dxa"/>
            <w:tcBorders>
              <w:tl2br w:val="nil"/>
              <w:tr2bl w:val="nil"/>
            </w:tcBorders>
            <w:vAlign w:val="center"/>
          </w:tcPr>
          <w:p w14:paraId="2D93ACE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3.09</w:t>
            </w:r>
          </w:p>
        </w:tc>
        <w:tc>
          <w:tcPr>
            <w:tcW w:w="677" w:type="dxa"/>
            <w:tcBorders>
              <w:tl2br w:val="nil"/>
              <w:tr2bl w:val="nil"/>
            </w:tcBorders>
            <w:vAlign w:val="center"/>
          </w:tcPr>
          <w:p w14:paraId="356F699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4.84</w:t>
            </w:r>
          </w:p>
        </w:tc>
        <w:tc>
          <w:tcPr>
            <w:tcW w:w="770" w:type="dxa"/>
            <w:tcBorders>
              <w:tl2br w:val="nil"/>
              <w:tr2bl w:val="nil"/>
            </w:tcBorders>
            <w:vAlign w:val="center"/>
          </w:tcPr>
          <w:p w14:paraId="14150A3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8.06</w:t>
            </w:r>
          </w:p>
        </w:tc>
        <w:tc>
          <w:tcPr>
            <w:tcW w:w="777" w:type="dxa"/>
            <w:tcBorders>
              <w:tl2br w:val="nil"/>
              <w:tr2bl w:val="nil"/>
            </w:tcBorders>
            <w:vAlign w:val="center"/>
          </w:tcPr>
          <w:p w14:paraId="0732123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3.23</w:t>
            </w:r>
          </w:p>
        </w:tc>
        <w:tc>
          <w:tcPr>
            <w:tcW w:w="745" w:type="dxa"/>
            <w:tcBorders>
              <w:tl2br w:val="nil"/>
              <w:tr2bl w:val="nil"/>
            </w:tcBorders>
            <w:vAlign w:val="center"/>
          </w:tcPr>
          <w:p w14:paraId="55027A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0.94</w:t>
            </w:r>
          </w:p>
        </w:tc>
        <w:tc>
          <w:tcPr>
            <w:tcW w:w="770" w:type="dxa"/>
            <w:tcBorders>
              <w:tl2br w:val="nil"/>
              <w:tr2bl w:val="nil"/>
            </w:tcBorders>
            <w:vAlign w:val="center"/>
          </w:tcPr>
          <w:p w14:paraId="150517B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1.21</w:t>
            </w:r>
          </w:p>
        </w:tc>
        <w:tc>
          <w:tcPr>
            <w:tcW w:w="783" w:type="dxa"/>
            <w:tcBorders>
              <w:tl2br w:val="nil"/>
              <w:tr2bl w:val="nil"/>
            </w:tcBorders>
            <w:vAlign w:val="center"/>
          </w:tcPr>
          <w:p w14:paraId="07FF78D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4.44</w:t>
            </w:r>
          </w:p>
        </w:tc>
        <w:tc>
          <w:tcPr>
            <w:tcW w:w="770" w:type="dxa"/>
            <w:tcBorders>
              <w:tl2br w:val="nil"/>
              <w:tr2bl w:val="nil"/>
            </w:tcBorders>
            <w:vAlign w:val="center"/>
          </w:tcPr>
          <w:p w14:paraId="3170636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7.39</w:t>
            </w:r>
          </w:p>
        </w:tc>
        <w:tc>
          <w:tcPr>
            <w:tcW w:w="783" w:type="dxa"/>
            <w:tcBorders>
              <w:tl2br w:val="nil"/>
              <w:tr2bl w:val="nil"/>
            </w:tcBorders>
            <w:vAlign w:val="center"/>
          </w:tcPr>
          <w:p w14:paraId="77850A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14.65</w:t>
            </w:r>
          </w:p>
        </w:tc>
        <w:tc>
          <w:tcPr>
            <w:tcW w:w="827" w:type="dxa"/>
            <w:tcBorders>
              <w:tl2br w:val="nil"/>
              <w:tr2bl w:val="nil"/>
            </w:tcBorders>
            <w:vAlign w:val="center"/>
          </w:tcPr>
          <w:p w14:paraId="6C26575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12.23</w:t>
            </w:r>
          </w:p>
        </w:tc>
        <w:tc>
          <w:tcPr>
            <w:tcW w:w="780" w:type="dxa"/>
            <w:tcBorders>
              <w:tl2br w:val="nil"/>
              <w:tr2bl w:val="nil"/>
            </w:tcBorders>
            <w:vAlign w:val="center"/>
          </w:tcPr>
          <w:p w14:paraId="6F11C80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12.77</w:t>
            </w:r>
          </w:p>
        </w:tc>
        <w:tc>
          <w:tcPr>
            <w:tcW w:w="876" w:type="dxa"/>
            <w:tcBorders>
              <w:tl2br w:val="nil"/>
              <w:tr2bl w:val="nil"/>
            </w:tcBorders>
            <w:vAlign w:val="center"/>
          </w:tcPr>
          <w:p w14:paraId="3C03153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8.47</w:t>
            </w:r>
          </w:p>
        </w:tc>
        <w:tc>
          <w:tcPr>
            <w:tcW w:w="622" w:type="dxa"/>
            <w:tcBorders>
              <w:tl2br w:val="nil"/>
              <w:tr2bl w:val="nil"/>
            </w:tcBorders>
            <w:vAlign w:val="center"/>
          </w:tcPr>
          <w:p w14:paraId="355556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4.17</w:t>
            </w:r>
          </w:p>
        </w:tc>
        <w:tc>
          <w:tcPr>
            <w:tcW w:w="810" w:type="dxa"/>
            <w:tcBorders>
              <w:tl2br w:val="nil"/>
              <w:tr2bl w:val="nil"/>
            </w:tcBorders>
            <w:vAlign w:val="center"/>
          </w:tcPr>
          <w:p w14:paraId="0EEC04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4.70</w:t>
            </w:r>
          </w:p>
        </w:tc>
        <w:tc>
          <w:tcPr>
            <w:tcW w:w="637" w:type="dxa"/>
            <w:tcBorders>
              <w:tl2br w:val="nil"/>
              <w:tr2bl w:val="nil"/>
            </w:tcBorders>
            <w:vAlign w:val="center"/>
          </w:tcPr>
          <w:p w14:paraId="1074260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0.27</w:t>
            </w:r>
          </w:p>
        </w:tc>
      </w:tr>
      <w:tr w14:paraId="1B4DA19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29A8A2F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4月</w:t>
            </w:r>
          </w:p>
        </w:tc>
        <w:tc>
          <w:tcPr>
            <w:tcW w:w="696" w:type="dxa"/>
            <w:tcBorders>
              <w:tl2br w:val="nil"/>
              <w:tr2bl w:val="nil"/>
            </w:tcBorders>
            <w:vAlign w:val="center"/>
          </w:tcPr>
          <w:p w14:paraId="01727D4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10.56</w:t>
            </w:r>
          </w:p>
        </w:tc>
        <w:tc>
          <w:tcPr>
            <w:tcW w:w="759" w:type="dxa"/>
            <w:tcBorders>
              <w:tl2br w:val="nil"/>
              <w:tr2bl w:val="nil"/>
            </w:tcBorders>
            <w:vAlign w:val="center"/>
          </w:tcPr>
          <w:p w14:paraId="1C09DD7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7.08</w:t>
            </w:r>
          </w:p>
        </w:tc>
        <w:tc>
          <w:tcPr>
            <w:tcW w:w="770" w:type="dxa"/>
            <w:tcBorders>
              <w:tl2br w:val="nil"/>
              <w:tr2bl w:val="nil"/>
            </w:tcBorders>
            <w:vAlign w:val="center"/>
          </w:tcPr>
          <w:p w14:paraId="1BCC3AC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7.08</w:t>
            </w:r>
          </w:p>
        </w:tc>
        <w:tc>
          <w:tcPr>
            <w:tcW w:w="677" w:type="dxa"/>
            <w:tcBorders>
              <w:tl2br w:val="nil"/>
              <w:tr2bl w:val="nil"/>
            </w:tcBorders>
            <w:vAlign w:val="center"/>
          </w:tcPr>
          <w:p w14:paraId="20D1F50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6.25</w:t>
            </w:r>
          </w:p>
        </w:tc>
        <w:tc>
          <w:tcPr>
            <w:tcW w:w="770" w:type="dxa"/>
            <w:tcBorders>
              <w:tl2br w:val="nil"/>
              <w:tr2bl w:val="nil"/>
            </w:tcBorders>
            <w:vAlign w:val="center"/>
          </w:tcPr>
          <w:p w14:paraId="646D3A1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6.67</w:t>
            </w:r>
          </w:p>
        </w:tc>
        <w:tc>
          <w:tcPr>
            <w:tcW w:w="777" w:type="dxa"/>
            <w:tcBorders>
              <w:tl2br w:val="nil"/>
              <w:tr2bl w:val="nil"/>
            </w:tcBorders>
            <w:vAlign w:val="center"/>
          </w:tcPr>
          <w:p w14:paraId="1FCC2C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3.47</w:t>
            </w:r>
          </w:p>
        </w:tc>
        <w:tc>
          <w:tcPr>
            <w:tcW w:w="745" w:type="dxa"/>
            <w:tcBorders>
              <w:tl2br w:val="nil"/>
              <w:tr2bl w:val="nil"/>
            </w:tcBorders>
            <w:vAlign w:val="center"/>
          </w:tcPr>
          <w:p w14:paraId="0EFD0E0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2.22</w:t>
            </w:r>
          </w:p>
        </w:tc>
        <w:tc>
          <w:tcPr>
            <w:tcW w:w="770" w:type="dxa"/>
            <w:tcBorders>
              <w:tl2br w:val="nil"/>
              <w:tr2bl w:val="nil"/>
            </w:tcBorders>
            <w:vAlign w:val="center"/>
          </w:tcPr>
          <w:p w14:paraId="1CDFE49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2.78</w:t>
            </w:r>
          </w:p>
        </w:tc>
        <w:tc>
          <w:tcPr>
            <w:tcW w:w="783" w:type="dxa"/>
            <w:tcBorders>
              <w:tl2br w:val="nil"/>
              <w:tr2bl w:val="nil"/>
            </w:tcBorders>
            <w:vAlign w:val="center"/>
          </w:tcPr>
          <w:p w14:paraId="3F9EBB7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5.00</w:t>
            </w:r>
          </w:p>
        </w:tc>
        <w:tc>
          <w:tcPr>
            <w:tcW w:w="770" w:type="dxa"/>
            <w:tcBorders>
              <w:tl2br w:val="nil"/>
              <w:tr2bl w:val="nil"/>
            </w:tcBorders>
            <w:vAlign w:val="center"/>
          </w:tcPr>
          <w:p w14:paraId="39BB492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7.08</w:t>
            </w:r>
          </w:p>
        </w:tc>
        <w:tc>
          <w:tcPr>
            <w:tcW w:w="783" w:type="dxa"/>
            <w:tcBorders>
              <w:tl2br w:val="nil"/>
              <w:tr2bl w:val="nil"/>
            </w:tcBorders>
            <w:vAlign w:val="center"/>
          </w:tcPr>
          <w:p w14:paraId="2BCDA32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10.69</w:t>
            </w:r>
          </w:p>
        </w:tc>
        <w:tc>
          <w:tcPr>
            <w:tcW w:w="827" w:type="dxa"/>
            <w:tcBorders>
              <w:tl2br w:val="nil"/>
              <w:tr2bl w:val="nil"/>
            </w:tcBorders>
            <w:vAlign w:val="center"/>
          </w:tcPr>
          <w:p w14:paraId="6F35FA2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5.28</w:t>
            </w:r>
          </w:p>
        </w:tc>
        <w:tc>
          <w:tcPr>
            <w:tcW w:w="780" w:type="dxa"/>
            <w:tcBorders>
              <w:tl2br w:val="nil"/>
              <w:tr2bl w:val="nil"/>
            </w:tcBorders>
            <w:vAlign w:val="center"/>
          </w:tcPr>
          <w:p w14:paraId="6459276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10.00</w:t>
            </w:r>
          </w:p>
        </w:tc>
        <w:tc>
          <w:tcPr>
            <w:tcW w:w="876" w:type="dxa"/>
            <w:tcBorders>
              <w:tl2br w:val="nil"/>
              <w:tr2bl w:val="nil"/>
            </w:tcBorders>
            <w:vAlign w:val="center"/>
          </w:tcPr>
          <w:p w14:paraId="509ED41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6.39</w:t>
            </w:r>
          </w:p>
        </w:tc>
        <w:tc>
          <w:tcPr>
            <w:tcW w:w="622" w:type="dxa"/>
            <w:tcBorders>
              <w:tl2br w:val="nil"/>
              <w:tr2bl w:val="nil"/>
            </w:tcBorders>
            <w:vAlign w:val="center"/>
          </w:tcPr>
          <w:p w14:paraId="45E86E7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4.03</w:t>
            </w:r>
          </w:p>
        </w:tc>
        <w:tc>
          <w:tcPr>
            <w:tcW w:w="810" w:type="dxa"/>
            <w:tcBorders>
              <w:tl2br w:val="nil"/>
              <w:tr2bl w:val="nil"/>
            </w:tcBorders>
            <w:vAlign w:val="center"/>
          </w:tcPr>
          <w:p w14:paraId="4024FDC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3.47</w:t>
            </w:r>
          </w:p>
        </w:tc>
        <w:tc>
          <w:tcPr>
            <w:tcW w:w="637" w:type="dxa"/>
            <w:tcBorders>
              <w:tl2br w:val="nil"/>
              <w:tr2bl w:val="nil"/>
            </w:tcBorders>
            <w:vAlign w:val="center"/>
          </w:tcPr>
          <w:p w14:paraId="419D7F8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1.94</w:t>
            </w:r>
          </w:p>
        </w:tc>
      </w:tr>
      <w:tr w14:paraId="3FB88CFB">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0E0428C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5月</w:t>
            </w:r>
          </w:p>
        </w:tc>
        <w:tc>
          <w:tcPr>
            <w:tcW w:w="696" w:type="dxa"/>
            <w:tcBorders>
              <w:tl2br w:val="nil"/>
              <w:tr2bl w:val="nil"/>
            </w:tcBorders>
            <w:vAlign w:val="center"/>
          </w:tcPr>
          <w:p w14:paraId="6B74A30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4.97</w:t>
            </w:r>
          </w:p>
        </w:tc>
        <w:tc>
          <w:tcPr>
            <w:tcW w:w="759" w:type="dxa"/>
            <w:tcBorders>
              <w:tl2br w:val="nil"/>
              <w:tr2bl w:val="nil"/>
            </w:tcBorders>
            <w:vAlign w:val="center"/>
          </w:tcPr>
          <w:p w14:paraId="756916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3.36</w:t>
            </w:r>
          </w:p>
        </w:tc>
        <w:tc>
          <w:tcPr>
            <w:tcW w:w="770" w:type="dxa"/>
            <w:tcBorders>
              <w:tl2br w:val="nil"/>
              <w:tr2bl w:val="nil"/>
            </w:tcBorders>
            <w:vAlign w:val="center"/>
          </w:tcPr>
          <w:p w14:paraId="3732840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3.90</w:t>
            </w:r>
          </w:p>
        </w:tc>
        <w:tc>
          <w:tcPr>
            <w:tcW w:w="677" w:type="dxa"/>
            <w:tcBorders>
              <w:tl2br w:val="nil"/>
              <w:tr2bl w:val="nil"/>
            </w:tcBorders>
            <w:vAlign w:val="center"/>
          </w:tcPr>
          <w:p w14:paraId="2D65E96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3.09</w:t>
            </w:r>
          </w:p>
        </w:tc>
        <w:tc>
          <w:tcPr>
            <w:tcW w:w="770" w:type="dxa"/>
            <w:tcBorders>
              <w:tl2br w:val="nil"/>
              <w:tr2bl w:val="nil"/>
            </w:tcBorders>
            <w:vAlign w:val="center"/>
          </w:tcPr>
          <w:p w14:paraId="3D86831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4.03</w:t>
            </w:r>
          </w:p>
        </w:tc>
        <w:tc>
          <w:tcPr>
            <w:tcW w:w="777" w:type="dxa"/>
            <w:tcBorders>
              <w:tl2br w:val="nil"/>
              <w:tr2bl w:val="nil"/>
            </w:tcBorders>
            <w:vAlign w:val="center"/>
          </w:tcPr>
          <w:p w14:paraId="4803B03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2.15</w:t>
            </w:r>
          </w:p>
        </w:tc>
        <w:tc>
          <w:tcPr>
            <w:tcW w:w="745" w:type="dxa"/>
            <w:tcBorders>
              <w:tl2br w:val="nil"/>
              <w:tr2bl w:val="nil"/>
            </w:tcBorders>
            <w:vAlign w:val="center"/>
          </w:tcPr>
          <w:p w14:paraId="12B4125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w:t>
            </w:r>
          </w:p>
        </w:tc>
        <w:tc>
          <w:tcPr>
            <w:tcW w:w="770" w:type="dxa"/>
            <w:tcBorders>
              <w:tl2br w:val="nil"/>
              <w:tr2bl w:val="nil"/>
            </w:tcBorders>
            <w:vAlign w:val="center"/>
          </w:tcPr>
          <w:p w14:paraId="16655A4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1.75</w:t>
            </w:r>
          </w:p>
        </w:tc>
        <w:tc>
          <w:tcPr>
            <w:tcW w:w="783" w:type="dxa"/>
            <w:tcBorders>
              <w:tl2br w:val="nil"/>
              <w:tr2bl w:val="nil"/>
            </w:tcBorders>
            <w:vAlign w:val="center"/>
          </w:tcPr>
          <w:p w14:paraId="1AAD53C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4.70</w:t>
            </w:r>
          </w:p>
        </w:tc>
        <w:tc>
          <w:tcPr>
            <w:tcW w:w="770" w:type="dxa"/>
            <w:tcBorders>
              <w:tl2br w:val="nil"/>
              <w:tr2bl w:val="nil"/>
            </w:tcBorders>
            <w:vAlign w:val="center"/>
          </w:tcPr>
          <w:p w14:paraId="4C2E7C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5.11</w:t>
            </w:r>
          </w:p>
        </w:tc>
        <w:tc>
          <w:tcPr>
            <w:tcW w:w="783" w:type="dxa"/>
            <w:tcBorders>
              <w:tl2br w:val="nil"/>
              <w:tr2bl w:val="nil"/>
            </w:tcBorders>
            <w:vAlign w:val="center"/>
          </w:tcPr>
          <w:p w14:paraId="05D15D3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12.77</w:t>
            </w:r>
          </w:p>
        </w:tc>
        <w:tc>
          <w:tcPr>
            <w:tcW w:w="827" w:type="dxa"/>
            <w:tcBorders>
              <w:tl2br w:val="nil"/>
              <w:tr2bl w:val="nil"/>
            </w:tcBorders>
            <w:vAlign w:val="center"/>
          </w:tcPr>
          <w:p w14:paraId="1A1A235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17.74</w:t>
            </w:r>
          </w:p>
        </w:tc>
        <w:tc>
          <w:tcPr>
            <w:tcW w:w="780" w:type="dxa"/>
            <w:tcBorders>
              <w:tl2br w:val="nil"/>
              <w:tr2bl w:val="nil"/>
            </w:tcBorders>
            <w:vAlign w:val="center"/>
          </w:tcPr>
          <w:p w14:paraId="5655AC7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17.74</w:t>
            </w:r>
          </w:p>
        </w:tc>
        <w:tc>
          <w:tcPr>
            <w:tcW w:w="876" w:type="dxa"/>
            <w:tcBorders>
              <w:tl2br w:val="nil"/>
              <w:tr2bl w:val="nil"/>
            </w:tcBorders>
            <w:vAlign w:val="center"/>
          </w:tcPr>
          <w:p w14:paraId="46B791E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8.87</w:t>
            </w:r>
          </w:p>
        </w:tc>
        <w:tc>
          <w:tcPr>
            <w:tcW w:w="622" w:type="dxa"/>
            <w:tcBorders>
              <w:tl2br w:val="nil"/>
              <w:tr2bl w:val="nil"/>
            </w:tcBorders>
            <w:vAlign w:val="center"/>
          </w:tcPr>
          <w:p w14:paraId="2748906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4.44</w:t>
            </w:r>
          </w:p>
        </w:tc>
        <w:tc>
          <w:tcPr>
            <w:tcW w:w="810" w:type="dxa"/>
            <w:tcBorders>
              <w:tl2br w:val="nil"/>
              <w:tr2bl w:val="nil"/>
            </w:tcBorders>
            <w:vAlign w:val="center"/>
          </w:tcPr>
          <w:p w14:paraId="72D1EF0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4.03</w:t>
            </w:r>
          </w:p>
        </w:tc>
        <w:tc>
          <w:tcPr>
            <w:tcW w:w="637" w:type="dxa"/>
            <w:tcBorders>
              <w:tl2br w:val="nil"/>
              <w:tr2bl w:val="nil"/>
            </w:tcBorders>
            <w:vAlign w:val="center"/>
          </w:tcPr>
          <w:p w14:paraId="23F4529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303CD8A3">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3884B3D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6月</w:t>
            </w:r>
          </w:p>
        </w:tc>
        <w:tc>
          <w:tcPr>
            <w:tcW w:w="696" w:type="dxa"/>
            <w:tcBorders>
              <w:tl2br w:val="nil"/>
              <w:tr2bl w:val="nil"/>
            </w:tcBorders>
            <w:vAlign w:val="center"/>
          </w:tcPr>
          <w:p w14:paraId="4977742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5.97</w:t>
            </w:r>
          </w:p>
        </w:tc>
        <w:tc>
          <w:tcPr>
            <w:tcW w:w="759" w:type="dxa"/>
            <w:tcBorders>
              <w:tl2br w:val="nil"/>
              <w:tr2bl w:val="nil"/>
            </w:tcBorders>
            <w:vAlign w:val="center"/>
          </w:tcPr>
          <w:p w14:paraId="3E9ED03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6.81</w:t>
            </w:r>
          </w:p>
        </w:tc>
        <w:tc>
          <w:tcPr>
            <w:tcW w:w="770" w:type="dxa"/>
            <w:tcBorders>
              <w:tl2br w:val="nil"/>
              <w:tr2bl w:val="nil"/>
            </w:tcBorders>
            <w:vAlign w:val="center"/>
          </w:tcPr>
          <w:p w14:paraId="5EF0D4B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5.14</w:t>
            </w:r>
          </w:p>
        </w:tc>
        <w:tc>
          <w:tcPr>
            <w:tcW w:w="677" w:type="dxa"/>
            <w:tcBorders>
              <w:tl2br w:val="nil"/>
              <w:tr2bl w:val="nil"/>
            </w:tcBorders>
            <w:vAlign w:val="center"/>
          </w:tcPr>
          <w:p w14:paraId="4463854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5.56</w:t>
            </w:r>
          </w:p>
        </w:tc>
        <w:tc>
          <w:tcPr>
            <w:tcW w:w="770" w:type="dxa"/>
            <w:tcBorders>
              <w:tl2br w:val="nil"/>
              <w:tr2bl w:val="nil"/>
            </w:tcBorders>
            <w:vAlign w:val="center"/>
          </w:tcPr>
          <w:p w14:paraId="6C8FD9A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4.72</w:t>
            </w:r>
          </w:p>
        </w:tc>
        <w:tc>
          <w:tcPr>
            <w:tcW w:w="777" w:type="dxa"/>
            <w:tcBorders>
              <w:tl2br w:val="nil"/>
              <w:tr2bl w:val="nil"/>
            </w:tcBorders>
            <w:vAlign w:val="center"/>
          </w:tcPr>
          <w:p w14:paraId="51ED625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2.36</w:t>
            </w:r>
          </w:p>
        </w:tc>
        <w:tc>
          <w:tcPr>
            <w:tcW w:w="745" w:type="dxa"/>
            <w:tcBorders>
              <w:tl2br w:val="nil"/>
              <w:tr2bl w:val="nil"/>
            </w:tcBorders>
            <w:vAlign w:val="center"/>
          </w:tcPr>
          <w:p w14:paraId="660D16A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3.75</w:t>
            </w:r>
          </w:p>
        </w:tc>
        <w:tc>
          <w:tcPr>
            <w:tcW w:w="770" w:type="dxa"/>
            <w:tcBorders>
              <w:tl2br w:val="nil"/>
              <w:tr2bl w:val="nil"/>
            </w:tcBorders>
            <w:vAlign w:val="center"/>
          </w:tcPr>
          <w:p w14:paraId="056D914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2.92</w:t>
            </w:r>
          </w:p>
        </w:tc>
        <w:tc>
          <w:tcPr>
            <w:tcW w:w="783" w:type="dxa"/>
            <w:tcBorders>
              <w:tl2br w:val="nil"/>
              <w:tr2bl w:val="nil"/>
            </w:tcBorders>
            <w:vAlign w:val="center"/>
          </w:tcPr>
          <w:p w14:paraId="7268E61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8.47</w:t>
            </w:r>
          </w:p>
        </w:tc>
        <w:tc>
          <w:tcPr>
            <w:tcW w:w="770" w:type="dxa"/>
            <w:tcBorders>
              <w:tl2br w:val="nil"/>
              <w:tr2bl w:val="nil"/>
            </w:tcBorders>
            <w:vAlign w:val="center"/>
          </w:tcPr>
          <w:p w14:paraId="7356818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12.64</w:t>
            </w:r>
          </w:p>
        </w:tc>
        <w:tc>
          <w:tcPr>
            <w:tcW w:w="783" w:type="dxa"/>
            <w:tcBorders>
              <w:tl2br w:val="nil"/>
              <w:tr2bl w:val="nil"/>
            </w:tcBorders>
            <w:vAlign w:val="center"/>
          </w:tcPr>
          <w:p w14:paraId="235BC9B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9.86</w:t>
            </w:r>
          </w:p>
        </w:tc>
        <w:tc>
          <w:tcPr>
            <w:tcW w:w="827" w:type="dxa"/>
            <w:tcBorders>
              <w:tl2br w:val="nil"/>
              <w:tr2bl w:val="nil"/>
            </w:tcBorders>
            <w:vAlign w:val="center"/>
          </w:tcPr>
          <w:p w14:paraId="3CF2F63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9.72</w:t>
            </w:r>
          </w:p>
        </w:tc>
        <w:tc>
          <w:tcPr>
            <w:tcW w:w="780" w:type="dxa"/>
            <w:tcBorders>
              <w:tl2br w:val="nil"/>
              <w:tr2bl w:val="nil"/>
            </w:tcBorders>
            <w:vAlign w:val="center"/>
          </w:tcPr>
          <w:p w14:paraId="2EACD45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9.58</w:t>
            </w:r>
          </w:p>
        </w:tc>
        <w:tc>
          <w:tcPr>
            <w:tcW w:w="876" w:type="dxa"/>
            <w:tcBorders>
              <w:tl2br w:val="nil"/>
              <w:tr2bl w:val="nil"/>
            </w:tcBorders>
            <w:vAlign w:val="center"/>
          </w:tcPr>
          <w:p w14:paraId="75E6FAA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4.31</w:t>
            </w:r>
          </w:p>
        </w:tc>
        <w:tc>
          <w:tcPr>
            <w:tcW w:w="622" w:type="dxa"/>
            <w:tcBorders>
              <w:tl2br w:val="nil"/>
              <w:tr2bl w:val="nil"/>
            </w:tcBorders>
            <w:vAlign w:val="center"/>
          </w:tcPr>
          <w:p w14:paraId="3816B24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4.58</w:t>
            </w:r>
          </w:p>
        </w:tc>
        <w:tc>
          <w:tcPr>
            <w:tcW w:w="810" w:type="dxa"/>
            <w:tcBorders>
              <w:tl2br w:val="nil"/>
              <w:tr2bl w:val="nil"/>
            </w:tcBorders>
            <w:vAlign w:val="center"/>
          </w:tcPr>
          <w:p w14:paraId="57691A7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3.61</w:t>
            </w:r>
          </w:p>
        </w:tc>
        <w:tc>
          <w:tcPr>
            <w:tcW w:w="637" w:type="dxa"/>
            <w:tcBorders>
              <w:tl2br w:val="nil"/>
              <w:tr2bl w:val="nil"/>
            </w:tcBorders>
            <w:vAlign w:val="center"/>
          </w:tcPr>
          <w:p w14:paraId="71A53A0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1F8FB6DC">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6AE6126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7月</w:t>
            </w:r>
          </w:p>
        </w:tc>
        <w:tc>
          <w:tcPr>
            <w:tcW w:w="696" w:type="dxa"/>
            <w:tcBorders>
              <w:tl2br w:val="nil"/>
              <w:tr2bl w:val="nil"/>
            </w:tcBorders>
            <w:vAlign w:val="center"/>
          </w:tcPr>
          <w:p w14:paraId="01E47D2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3.90</w:t>
            </w:r>
          </w:p>
        </w:tc>
        <w:tc>
          <w:tcPr>
            <w:tcW w:w="759" w:type="dxa"/>
            <w:tcBorders>
              <w:tl2br w:val="nil"/>
              <w:tr2bl w:val="nil"/>
            </w:tcBorders>
            <w:vAlign w:val="center"/>
          </w:tcPr>
          <w:p w14:paraId="77E9463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2.42</w:t>
            </w:r>
          </w:p>
        </w:tc>
        <w:tc>
          <w:tcPr>
            <w:tcW w:w="770" w:type="dxa"/>
            <w:tcBorders>
              <w:tl2br w:val="nil"/>
              <w:tr2bl w:val="nil"/>
            </w:tcBorders>
            <w:vAlign w:val="center"/>
          </w:tcPr>
          <w:p w14:paraId="550C066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6.05</w:t>
            </w:r>
          </w:p>
        </w:tc>
        <w:tc>
          <w:tcPr>
            <w:tcW w:w="677" w:type="dxa"/>
            <w:tcBorders>
              <w:tl2br w:val="nil"/>
              <w:tr2bl w:val="nil"/>
            </w:tcBorders>
            <w:vAlign w:val="center"/>
          </w:tcPr>
          <w:p w14:paraId="02E8902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5.91</w:t>
            </w:r>
          </w:p>
        </w:tc>
        <w:tc>
          <w:tcPr>
            <w:tcW w:w="770" w:type="dxa"/>
            <w:tcBorders>
              <w:tl2br w:val="nil"/>
              <w:tr2bl w:val="nil"/>
            </w:tcBorders>
            <w:vAlign w:val="center"/>
          </w:tcPr>
          <w:p w14:paraId="3E24B74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6.18</w:t>
            </w:r>
          </w:p>
        </w:tc>
        <w:tc>
          <w:tcPr>
            <w:tcW w:w="777" w:type="dxa"/>
            <w:tcBorders>
              <w:tl2br w:val="nil"/>
              <w:tr2bl w:val="nil"/>
            </w:tcBorders>
            <w:vAlign w:val="center"/>
          </w:tcPr>
          <w:p w14:paraId="5FFEE62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1.61</w:t>
            </w:r>
          </w:p>
        </w:tc>
        <w:tc>
          <w:tcPr>
            <w:tcW w:w="745" w:type="dxa"/>
            <w:tcBorders>
              <w:tl2br w:val="nil"/>
              <w:tr2bl w:val="nil"/>
            </w:tcBorders>
            <w:vAlign w:val="center"/>
          </w:tcPr>
          <w:p w14:paraId="46951CE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2.42</w:t>
            </w:r>
          </w:p>
        </w:tc>
        <w:tc>
          <w:tcPr>
            <w:tcW w:w="770" w:type="dxa"/>
            <w:tcBorders>
              <w:tl2br w:val="nil"/>
              <w:tr2bl w:val="nil"/>
            </w:tcBorders>
            <w:vAlign w:val="center"/>
          </w:tcPr>
          <w:p w14:paraId="4962AF3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783" w:type="dxa"/>
            <w:tcBorders>
              <w:tl2br w:val="nil"/>
              <w:tr2bl w:val="nil"/>
            </w:tcBorders>
            <w:vAlign w:val="center"/>
          </w:tcPr>
          <w:p w14:paraId="2DFE890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9.41</w:t>
            </w:r>
          </w:p>
        </w:tc>
        <w:tc>
          <w:tcPr>
            <w:tcW w:w="770" w:type="dxa"/>
            <w:tcBorders>
              <w:tl2br w:val="nil"/>
              <w:tr2bl w:val="nil"/>
            </w:tcBorders>
            <w:vAlign w:val="center"/>
          </w:tcPr>
          <w:p w14:paraId="6F07B45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16.94</w:t>
            </w:r>
          </w:p>
        </w:tc>
        <w:tc>
          <w:tcPr>
            <w:tcW w:w="783" w:type="dxa"/>
            <w:tcBorders>
              <w:tl2br w:val="nil"/>
              <w:tr2bl w:val="nil"/>
            </w:tcBorders>
            <w:vAlign w:val="center"/>
          </w:tcPr>
          <w:p w14:paraId="4214864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15.05</w:t>
            </w:r>
          </w:p>
        </w:tc>
        <w:tc>
          <w:tcPr>
            <w:tcW w:w="827" w:type="dxa"/>
            <w:tcBorders>
              <w:tl2br w:val="nil"/>
              <w:tr2bl w:val="nil"/>
            </w:tcBorders>
            <w:vAlign w:val="center"/>
          </w:tcPr>
          <w:p w14:paraId="13EDA6A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13.98</w:t>
            </w:r>
          </w:p>
        </w:tc>
        <w:tc>
          <w:tcPr>
            <w:tcW w:w="780" w:type="dxa"/>
            <w:tcBorders>
              <w:tl2br w:val="nil"/>
              <w:tr2bl w:val="nil"/>
            </w:tcBorders>
            <w:vAlign w:val="center"/>
          </w:tcPr>
          <w:p w14:paraId="62F8E79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8.33</w:t>
            </w:r>
          </w:p>
        </w:tc>
        <w:tc>
          <w:tcPr>
            <w:tcW w:w="876" w:type="dxa"/>
            <w:tcBorders>
              <w:tl2br w:val="nil"/>
              <w:tr2bl w:val="nil"/>
            </w:tcBorders>
            <w:vAlign w:val="center"/>
          </w:tcPr>
          <w:p w14:paraId="2E2D7EF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2.02</w:t>
            </w:r>
          </w:p>
        </w:tc>
        <w:tc>
          <w:tcPr>
            <w:tcW w:w="622" w:type="dxa"/>
            <w:tcBorders>
              <w:tl2br w:val="nil"/>
              <w:tr2bl w:val="nil"/>
            </w:tcBorders>
            <w:vAlign w:val="center"/>
          </w:tcPr>
          <w:p w14:paraId="39C752C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1.08</w:t>
            </w:r>
          </w:p>
        </w:tc>
        <w:tc>
          <w:tcPr>
            <w:tcW w:w="810" w:type="dxa"/>
            <w:tcBorders>
              <w:tl2br w:val="nil"/>
              <w:tr2bl w:val="nil"/>
            </w:tcBorders>
            <w:vAlign w:val="center"/>
          </w:tcPr>
          <w:p w14:paraId="3C204A0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637" w:type="dxa"/>
            <w:tcBorders>
              <w:tl2br w:val="nil"/>
              <w:tr2bl w:val="nil"/>
            </w:tcBorders>
            <w:vAlign w:val="center"/>
          </w:tcPr>
          <w:p w14:paraId="3B960C4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6893D65E">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2B1EAD6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8月</w:t>
            </w:r>
          </w:p>
        </w:tc>
        <w:tc>
          <w:tcPr>
            <w:tcW w:w="696" w:type="dxa"/>
            <w:tcBorders>
              <w:tl2br w:val="nil"/>
              <w:tr2bl w:val="nil"/>
            </w:tcBorders>
            <w:vAlign w:val="center"/>
          </w:tcPr>
          <w:p w14:paraId="076EE42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8.47</w:t>
            </w:r>
          </w:p>
        </w:tc>
        <w:tc>
          <w:tcPr>
            <w:tcW w:w="759" w:type="dxa"/>
            <w:tcBorders>
              <w:tl2br w:val="nil"/>
              <w:tr2bl w:val="nil"/>
            </w:tcBorders>
            <w:vAlign w:val="center"/>
          </w:tcPr>
          <w:p w14:paraId="26C9E18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5.11</w:t>
            </w:r>
          </w:p>
        </w:tc>
        <w:tc>
          <w:tcPr>
            <w:tcW w:w="770" w:type="dxa"/>
            <w:tcBorders>
              <w:tl2br w:val="nil"/>
              <w:tr2bl w:val="nil"/>
            </w:tcBorders>
            <w:vAlign w:val="center"/>
          </w:tcPr>
          <w:p w14:paraId="2EB5F07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4.30</w:t>
            </w:r>
          </w:p>
        </w:tc>
        <w:tc>
          <w:tcPr>
            <w:tcW w:w="677" w:type="dxa"/>
            <w:tcBorders>
              <w:tl2br w:val="nil"/>
              <w:tr2bl w:val="nil"/>
            </w:tcBorders>
            <w:vAlign w:val="center"/>
          </w:tcPr>
          <w:p w14:paraId="0C70AF1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4.97</w:t>
            </w:r>
          </w:p>
        </w:tc>
        <w:tc>
          <w:tcPr>
            <w:tcW w:w="770" w:type="dxa"/>
            <w:tcBorders>
              <w:tl2br w:val="nil"/>
              <w:tr2bl w:val="nil"/>
            </w:tcBorders>
            <w:vAlign w:val="center"/>
          </w:tcPr>
          <w:p w14:paraId="774C254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4.03</w:t>
            </w:r>
          </w:p>
        </w:tc>
        <w:tc>
          <w:tcPr>
            <w:tcW w:w="777" w:type="dxa"/>
            <w:tcBorders>
              <w:tl2br w:val="nil"/>
              <w:tr2bl w:val="nil"/>
            </w:tcBorders>
            <w:vAlign w:val="center"/>
          </w:tcPr>
          <w:p w14:paraId="57193DF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1.75</w:t>
            </w:r>
          </w:p>
        </w:tc>
        <w:tc>
          <w:tcPr>
            <w:tcW w:w="745" w:type="dxa"/>
            <w:tcBorders>
              <w:tl2br w:val="nil"/>
              <w:tr2bl w:val="nil"/>
            </w:tcBorders>
            <w:vAlign w:val="center"/>
          </w:tcPr>
          <w:p w14:paraId="747A80A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2.15</w:t>
            </w:r>
          </w:p>
        </w:tc>
        <w:tc>
          <w:tcPr>
            <w:tcW w:w="770" w:type="dxa"/>
            <w:tcBorders>
              <w:tl2br w:val="nil"/>
              <w:tr2bl w:val="nil"/>
            </w:tcBorders>
            <w:vAlign w:val="center"/>
          </w:tcPr>
          <w:p w14:paraId="407E201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783" w:type="dxa"/>
            <w:tcBorders>
              <w:tl2br w:val="nil"/>
              <w:tr2bl w:val="nil"/>
            </w:tcBorders>
            <w:vAlign w:val="center"/>
          </w:tcPr>
          <w:p w14:paraId="369DBBF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11.16</w:t>
            </w:r>
          </w:p>
        </w:tc>
        <w:tc>
          <w:tcPr>
            <w:tcW w:w="770" w:type="dxa"/>
            <w:tcBorders>
              <w:tl2br w:val="nil"/>
              <w:tr2bl w:val="nil"/>
            </w:tcBorders>
            <w:vAlign w:val="center"/>
          </w:tcPr>
          <w:p w14:paraId="0935A51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12.77</w:t>
            </w:r>
          </w:p>
        </w:tc>
        <w:tc>
          <w:tcPr>
            <w:tcW w:w="783" w:type="dxa"/>
            <w:tcBorders>
              <w:tl2br w:val="nil"/>
              <w:tr2bl w:val="nil"/>
            </w:tcBorders>
            <w:vAlign w:val="center"/>
          </w:tcPr>
          <w:p w14:paraId="6A8588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9.01</w:t>
            </w:r>
          </w:p>
        </w:tc>
        <w:tc>
          <w:tcPr>
            <w:tcW w:w="827" w:type="dxa"/>
            <w:tcBorders>
              <w:tl2br w:val="nil"/>
              <w:tr2bl w:val="nil"/>
            </w:tcBorders>
            <w:vAlign w:val="center"/>
          </w:tcPr>
          <w:p w14:paraId="604E4B0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10.75</w:t>
            </w:r>
          </w:p>
        </w:tc>
        <w:tc>
          <w:tcPr>
            <w:tcW w:w="780" w:type="dxa"/>
            <w:tcBorders>
              <w:tl2br w:val="nil"/>
              <w:tr2bl w:val="nil"/>
            </w:tcBorders>
            <w:vAlign w:val="center"/>
          </w:tcPr>
          <w:p w14:paraId="4BE65F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8.06</w:t>
            </w:r>
          </w:p>
        </w:tc>
        <w:tc>
          <w:tcPr>
            <w:tcW w:w="876" w:type="dxa"/>
            <w:tcBorders>
              <w:tl2br w:val="nil"/>
              <w:tr2bl w:val="nil"/>
            </w:tcBorders>
            <w:vAlign w:val="center"/>
          </w:tcPr>
          <w:p w14:paraId="11C7D2A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5.91</w:t>
            </w:r>
          </w:p>
        </w:tc>
        <w:tc>
          <w:tcPr>
            <w:tcW w:w="622" w:type="dxa"/>
            <w:tcBorders>
              <w:tl2br w:val="nil"/>
              <w:tr2bl w:val="nil"/>
            </w:tcBorders>
            <w:vAlign w:val="center"/>
          </w:tcPr>
          <w:p w14:paraId="4FFCF59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4.57</w:t>
            </w:r>
          </w:p>
        </w:tc>
        <w:tc>
          <w:tcPr>
            <w:tcW w:w="810" w:type="dxa"/>
            <w:tcBorders>
              <w:tl2br w:val="nil"/>
              <w:tr2bl w:val="nil"/>
            </w:tcBorders>
            <w:vAlign w:val="center"/>
          </w:tcPr>
          <w:p w14:paraId="5CB86E6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4.17</w:t>
            </w:r>
          </w:p>
        </w:tc>
        <w:tc>
          <w:tcPr>
            <w:tcW w:w="637" w:type="dxa"/>
            <w:tcBorders>
              <w:tl2br w:val="nil"/>
              <w:tr2bl w:val="nil"/>
            </w:tcBorders>
            <w:vAlign w:val="center"/>
          </w:tcPr>
          <w:p w14:paraId="3143A3E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6D42AA35">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6" w:hRule="atLeast"/>
        </w:trPr>
        <w:tc>
          <w:tcPr>
            <w:tcW w:w="855" w:type="dxa"/>
            <w:tcBorders>
              <w:tl2br w:val="nil"/>
              <w:tr2bl w:val="nil"/>
            </w:tcBorders>
            <w:vAlign w:val="center"/>
          </w:tcPr>
          <w:p w14:paraId="4C80806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9月</w:t>
            </w:r>
          </w:p>
        </w:tc>
        <w:tc>
          <w:tcPr>
            <w:tcW w:w="696" w:type="dxa"/>
            <w:tcBorders>
              <w:tl2br w:val="nil"/>
              <w:tr2bl w:val="nil"/>
            </w:tcBorders>
            <w:vAlign w:val="center"/>
          </w:tcPr>
          <w:p w14:paraId="64D355C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4.17</w:t>
            </w:r>
          </w:p>
        </w:tc>
        <w:tc>
          <w:tcPr>
            <w:tcW w:w="759" w:type="dxa"/>
            <w:tcBorders>
              <w:tl2br w:val="nil"/>
              <w:tr2bl w:val="nil"/>
            </w:tcBorders>
            <w:vAlign w:val="center"/>
          </w:tcPr>
          <w:p w14:paraId="45A80B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2.50</w:t>
            </w:r>
          </w:p>
        </w:tc>
        <w:tc>
          <w:tcPr>
            <w:tcW w:w="770" w:type="dxa"/>
            <w:tcBorders>
              <w:tl2br w:val="nil"/>
              <w:tr2bl w:val="nil"/>
            </w:tcBorders>
            <w:vAlign w:val="center"/>
          </w:tcPr>
          <w:p w14:paraId="79E647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3.89</w:t>
            </w:r>
          </w:p>
        </w:tc>
        <w:tc>
          <w:tcPr>
            <w:tcW w:w="677" w:type="dxa"/>
            <w:tcBorders>
              <w:tl2br w:val="nil"/>
              <w:tr2bl w:val="nil"/>
            </w:tcBorders>
            <w:vAlign w:val="center"/>
          </w:tcPr>
          <w:p w14:paraId="03C9AF7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3.47</w:t>
            </w:r>
          </w:p>
        </w:tc>
        <w:tc>
          <w:tcPr>
            <w:tcW w:w="770" w:type="dxa"/>
            <w:tcBorders>
              <w:tl2br w:val="nil"/>
              <w:tr2bl w:val="nil"/>
            </w:tcBorders>
            <w:vAlign w:val="center"/>
          </w:tcPr>
          <w:p w14:paraId="50C305B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4.72</w:t>
            </w:r>
          </w:p>
        </w:tc>
        <w:tc>
          <w:tcPr>
            <w:tcW w:w="777" w:type="dxa"/>
            <w:tcBorders>
              <w:tl2br w:val="nil"/>
              <w:tr2bl w:val="nil"/>
            </w:tcBorders>
            <w:vAlign w:val="center"/>
          </w:tcPr>
          <w:p w14:paraId="3C98FF5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2.64</w:t>
            </w:r>
          </w:p>
        </w:tc>
        <w:tc>
          <w:tcPr>
            <w:tcW w:w="745" w:type="dxa"/>
            <w:tcBorders>
              <w:tl2br w:val="nil"/>
              <w:tr2bl w:val="nil"/>
            </w:tcBorders>
            <w:vAlign w:val="center"/>
          </w:tcPr>
          <w:p w14:paraId="4B28ADA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2.08</w:t>
            </w:r>
          </w:p>
        </w:tc>
        <w:tc>
          <w:tcPr>
            <w:tcW w:w="770" w:type="dxa"/>
            <w:tcBorders>
              <w:tl2br w:val="nil"/>
              <w:tr2bl w:val="nil"/>
            </w:tcBorders>
            <w:vAlign w:val="center"/>
          </w:tcPr>
          <w:p w14:paraId="07050A3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1.81</w:t>
            </w:r>
          </w:p>
        </w:tc>
        <w:tc>
          <w:tcPr>
            <w:tcW w:w="783" w:type="dxa"/>
            <w:tcBorders>
              <w:tl2br w:val="nil"/>
              <w:tr2bl w:val="nil"/>
            </w:tcBorders>
            <w:vAlign w:val="center"/>
          </w:tcPr>
          <w:p w14:paraId="4C6E4C2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11.25</w:t>
            </w:r>
          </w:p>
        </w:tc>
        <w:tc>
          <w:tcPr>
            <w:tcW w:w="770" w:type="dxa"/>
            <w:tcBorders>
              <w:tl2br w:val="nil"/>
              <w:tr2bl w:val="nil"/>
            </w:tcBorders>
            <w:vAlign w:val="center"/>
          </w:tcPr>
          <w:p w14:paraId="4D669E5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21.53</w:t>
            </w:r>
          </w:p>
        </w:tc>
        <w:tc>
          <w:tcPr>
            <w:tcW w:w="783" w:type="dxa"/>
            <w:tcBorders>
              <w:tl2br w:val="nil"/>
              <w:tr2bl w:val="nil"/>
            </w:tcBorders>
            <w:vAlign w:val="center"/>
          </w:tcPr>
          <w:p w14:paraId="756476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13.89</w:t>
            </w:r>
          </w:p>
        </w:tc>
        <w:tc>
          <w:tcPr>
            <w:tcW w:w="827" w:type="dxa"/>
            <w:tcBorders>
              <w:tl2br w:val="nil"/>
              <w:tr2bl w:val="nil"/>
            </w:tcBorders>
            <w:vAlign w:val="center"/>
          </w:tcPr>
          <w:p w14:paraId="1E4A6C0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17.78</w:t>
            </w:r>
          </w:p>
        </w:tc>
        <w:tc>
          <w:tcPr>
            <w:tcW w:w="780" w:type="dxa"/>
            <w:tcBorders>
              <w:tl2br w:val="nil"/>
              <w:tr2bl w:val="nil"/>
            </w:tcBorders>
            <w:vAlign w:val="center"/>
          </w:tcPr>
          <w:p w14:paraId="1066E4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4.72</w:t>
            </w:r>
          </w:p>
        </w:tc>
        <w:tc>
          <w:tcPr>
            <w:tcW w:w="876" w:type="dxa"/>
            <w:tcBorders>
              <w:tl2br w:val="nil"/>
              <w:tr2bl w:val="nil"/>
            </w:tcBorders>
            <w:vAlign w:val="center"/>
          </w:tcPr>
          <w:p w14:paraId="6C58FFD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2.22</w:t>
            </w:r>
          </w:p>
        </w:tc>
        <w:tc>
          <w:tcPr>
            <w:tcW w:w="622" w:type="dxa"/>
            <w:tcBorders>
              <w:tl2br w:val="nil"/>
              <w:tr2bl w:val="nil"/>
            </w:tcBorders>
            <w:vAlign w:val="center"/>
          </w:tcPr>
          <w:p w14:paraId="7E933F9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1.94</w:t>
            </w:r>
          </w:p>
        </w:tc>
        <w:tc>
          <w:tcPr>
            <w:tcW w:w="810" w:type="dxa"/>
            <w:tcBorders>
              <w:tl2br w:val="nil"/>
              <w:tr2bl w:val="nil"/>
            </w:tcBorders>
            <w:vAlign w:val="center"/>
          </w:tcPr>
          <w:p w14:paraId="694DF44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1.39</w:t>
            </w:r>
          </w:p>
        </w:tc>
        <w:tc>
          <w:tcPr>
            <w:tcW w:w="637" w:type="dxa"/>
            <w:tcBorders>
              <w:tl2br w:val="nil"/>
              <w:tr2bl w:val="nil"/>
            </w:tcBorders>
            <w:vAlign w:val="center"/>
          </w:tcPr>
          <w:p w14:paraId="239FDD9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3BE6762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0F70584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10月</w:t>
            </w:r>
          </w:p>
        </w:tc>
        <w:tc>
          <w:tcPr>
            <w:tcW w:w="696" w:type="dxa"/>
            <w:tcBorders>
              <w:tl2br w:val="nil"/>
              <w:tr2bl w:val="nil"/>
            </w:tcBorders>
            <w:vAlign w:val="center"/>
          </w:tcPr>
          <w:p w14:paraId="52EECC2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5.11</w:t>
            </w:r>
          </w:p>
        </w:tc>
        <w:tc>
          <w:tcPr>
            <w:tcW w:w="759" w:type="dxa"/>
            <w:tcBorders>
              <w:tl2br w:val="nil"/>
              <w:tr2bl w:val="nil"/>
            </w:tcBorders>
            <w:vAlign w:val="center"/>
          </w:tcPr>
          <w:p w14:paraId="25EDE37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770" w:type="dxa"/>
            <w:tcBorders>
              <w:tl2br w:val="nil"/>
              <w:tr2bl w:val="nil"/>
            </w:tcBorders>
            <w:vAlign w:val="center"/>
          </w:tcPr>
          <w:p w14:paraId="02BD719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5.51</w:t>
            </w:r>
          </w:p>
        </w:tc>
        <w:tc>
          <w:tcPr>
            <w:tcW w:w="677" w:type="dxa"/>
            <w:tcBorders>
              <w:tl2br w:val="nil"/>
              <w:tr2bl w:val="nil"/>
            </w:tcBorders>
            <w:vAlign w:val="center"/>
          </w:tcPr>
          <w:p w14:paraId="2873759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5.51</w:t>
            </w:r>
          </w:p>
        </w:tc>
        <w:tc>
          <w:tcPr>
            <w:tcW w:w="770" w:type="dxa"/>
            <w:tcBorders>
              <w:tl2br w:val="nil"/>
              <w:tr2bl w:val="nil"/>
            </w:tcBorders>
            <w:vAlign w:val="center"/>
          </w:tcPr>
          <w:p w14:paraId="2B046E5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3.63</w:t>
            </w:r>
          </w:p>
        </w:tc>
        <w:tc>
          <w:tcPr>
            <w:tcW w:w="777" w:type="dxa"/>
            <w:tcBorders>
              <w:tl2br w:val="nil"/>
              <w:tr2bl w:val="nil"/>
            </w:tcBorders>
            <w:vAlign w:val="center"/>
          </w:tcPr>
          <w:p w14:paraId="7A3D5B8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1.61</w:t>
            </w:r>
          </w:p>
        </w:tc>
        <w:tc>
          <w:tcPr>
            <w:tcW w:w="745" w:type="dxa"/>
            <w:tcBorders>
              <w:tl2br w:val="nil"/>
              <w:tr2bl w:val="nil"/>
            </w:tcBorders>
            <w:vAlign w:val="center"/>
          </w:tcPr>
          <w:p w14:paraId="715C7CF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770" w:type="dxa"/>
            <w:tcBorders>
              <w:tl2br w:val="nil"/>
              <w:tr2bl w:val="nil"/>
            </w:tcBorders>
            <w:vAlign w:val="center"/>
          </w:tcPr>
          <w:p w14:paraId="4448D24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783" w:type="dxa"/>
            <w:tcBorders>
              <w:tl2br w:val="nil"/>
              <w:tr2bl w:val="nil"/>
            </w:tcBorders>
            <w:vAlign w:val="center"/>
          </w:tcPr>
          <w:p w14:paraId="5845843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6.32</w:t>
            </w:r>
          </w:p>
        </w:tc>
        <w:tc>
          <w:tcPr>
            <w:tcW w:w="770" w:type="dxa"/>
            <w:tcBorders>
              <w:tl2br w:val="nil"/>
              <w:tr2bl w:val="nil"/>
            </w:tcBorders>
            <w:vAlign w:val="center"/>
          </w:tcPr>
          <w:p w14:paraId="7BCC466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11.83</w:t>
            </w:r>
          </w:p>
        </w:tc>
        <w:tc>
          <w:tcPr>
            <w:tcW w:w="783" w:type="dxa"/>
            <w:tcBorders>
              <w:tl2br w:val="nil"/>
              <w:tr2bl w:val="nil"/>
            </w:tcBorders>
            <w:vAlign w:val="center"/>
          </w:tcPr>
          <w:p w14:paraId="38A53B2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10.35</w:t>
            </w:r>
          </w:p>
        </w:tc>
        <w:tc>
          <w:tcPr>
            <w:tcW w:w="827" w:type="dxa"/>
            <w:tcBorders>
              <w:tl2br w:val="nil"/>
              <w:tr2bl w:val="nil"/>
            </w:tcBorders>
            <w:vAlign w:val="center"/>
          </w:tcPr>
          <w:p w14:paraId="0FB54F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13.71</w:t>
            </w:r>
          </w:p>
        </w:tc>
        <w:tc>
          <w:tcPr>
            <w:tcW w:w="780" w:type="dxa"/>
            <w:tcBorders>
              <w:tl2br w:val="nil"/>
              <w:tr2bl w:val="nil"/>
            </w:tcBorders>
            <w:vAlign w:val="center"/>
          </w:tcPr>
          <w:p w14:paraId="665AFA4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13.17</w:t>
            </w:r>
          </w:p>
        </w:tc>
        <w:tc>
          <w:tcPr>
            <w:tcW w:w="876" w:type="dxa"/>
            <w:tcBorders>
              <w:tl2br w:val="nil"/>
              <w:tr2bl w:val="nil"/>
            </w:tcBorders>
            <w:vAlign w:val="center"/>
          </w:tcPr>
          <w:p w14:paraId="2BD8176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9.41</w:t>
            </w:r>
          </w:p>
        </w:tc>
        <w:tc>
          <w:tcPr>
            <w:tcW w:w="622" w:type="dxa"/>
            <w:tcBorders>
              <w:tl2br w:val="nil"/>
              <w:tr2bl w:val="nil"/>
            </w:tcBorders>
            <w:vAlign w:val="center"/>
          </w:tcPr>
          <w:p w14:paraId="3FFB517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3.49</w:t>
            </w:r>
          </w:p>
        </w:tc>
        <w:tc>
          <w:tcPr>
            <w:tcW w:w="810" w:type="dxa"/>
            <w:tcBorders>
              <w:tl2br w:val="nil"/>
              <w:tr2bl w:val="nil"/>
            </w:tcBorders>
            <w:vAlign w:val="center"/>
          </w:tcPr>
          <w:p w14:paraId="14E89F9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3.76</w:t>
            </w:r>
          </w:p>
        </w:tc>
        <w:tc>
          <w:tcPr>
            <w:tcW w:w="637" w:type="dxa"/>
            <w:tcBorders>
              <w:tl2br w:val="nil"/>
              <w:tr2bl w:val="nil"/>
            </w:tcBorders>
            <w:vAlign w:val="center"/>
          </w:tcPr>
          <w:p w14:paraId="0025197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198E102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05" w:hRule="atLeast"/>
        </w:trPr>
        <w:tc>
          <w:tcPr>
            <w:tcW w:w="855" w:type="dxa"/>
            <w:tcBorders>
              <w:tl2br w:val="nil"/>
              <w:tr2bl w:val="nil"/>
            </w:tcBorders>
            <w:vAlign w:val="center"/>
          </w:tcPr>
          <w:p w14:paraId="6FA8DDF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11月</w:t>
            </w:r>
          </w:p>
        </w:tc>
        <w:tc>
          <w:tcPr>
            <w:tcW w:w="696" w:type="dxa"/>
            <w:tcBorders>
              <w:tl2br w:val="nil"/>
              <w:tr2bl w:val="nil"/>
            </w:tcBorders>
            <w:vAlign w:val="center"/>
          </w:tcPr>
          <w:p w14:paraId="50BB802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5.97</w:t>
            </w:r>
          </w:p>
        </w:tc>
        <w:tc>
          <w:tcPr>
            <w:tcW w:w="759" w:type="dxa"/>
            <w:tcBorders>
              <w:tl2br w:val="nil"/>
              <w:tr2bl w:val="nil"/>
            </w:tcBorders>
            <w:vAlign w:val="center"/>
          </w:tcPr>
          <w:p w14:paraId="7808787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4.31</w:t>
            </w:r>
          </w:p>
        </w:tc>
        <w:tc>
          <w:tcPr>
            <w:tcW w:w="770" w:type="dxa"/>
            <w:tcBorders>
              <w:tl2br w:val="nil"/>
              <w:tr2bl w:val="nil"/>
            </w:tcBorders>
            <w:vAlign w:val="center"/>
          </w:tcPr>
          <w:p w14:paraId="3FE3F03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5.28</w:t>
            </w:r>
          </w:p>
        </w:tc>
        <w:tc>
          <w:tcPr>
            <w:tcW w:w="677" w:type="dxa"/>
            <w:tcBorders>
              <w:tl2br w:val="nil"/>
              <w:tr2bl w:val="nil"/>
            </w:tcBorders>
            <w:vAlign w:val="center"/>
          </w:tcPr>
          <w:p w14:paraId="49543F0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7.08</w:t>
            </w:r>
          </w:p>
        </w:tc>
        <w:tc>
          <w:tcPr>
            <w:tcW w:w="770" w:type="dxa"/>
            <w:tcBorders>
              <w:tl2br w:val="nil"/>
              <w:tr2bl w:val="nil"/>
            </w:tcBorders>
            <w:vAlign w:val="center"/>
          </w:tcPr>
          <w:p w14:paraId="0251184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4.44</w:t>
            </w:r>
          </w:p>
        </w:tc>
        <w:tc>
          <w:tcPr>
            <w:tcW w:w="777" w:type="dxa"/>
            <w:tcBorders>
              <w:tl2br w:val="nil"/>
              <w:tr2bl w:val="nil"/>
            </w:tcBorders>
            <w:vAlign w:val="center"/>
          </w:tcPr>
          <w:p w14:paraId="60EBCEE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1.53</w:t>
            </w:r>
          </w:p>
        </w:tc>
        <w:tc>
          <w:tcPr>
            <w:tcW w:w="745" w:type="dxa"/>
            <w:tcBorders>
              <w:tl2br w:val="nil"/>
              <w:tr2bl w:val="nil"/>
            </w:tcBorders>
            <w:vAlign w:val="center"/>
          </w:tcPr>
          <w:p w14:paraId="7B05885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0.69</w:t>
            </w:r>
          </w:p>
        </w:tc>
        <w:tc>
          <w:tcPr>
            <w:tcW w:w="770" w:type="dxa"/>
            <w:tcBorders>
              <w:tl2br w:val="nil"/>
              <w:tr2bl w:val="nil"/>
            </w:tcBorders>
            <w:vAlign w:val="center"/>
          </w:tcPr>
          <w:p w14:paraId="4E654E1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0.83</w:t>
            </w:r>
          </w:p>
        </w:tc>
        <w:tc>
          <w:tcPr>
            <w:tcW w:w="783" w:type="dxa"/>
            <w:tcBorders>
              <w:tl2br w:val="nil"/>
              <w:tr2bl w:val="nil"/>
            </w:tcBorders>
            <w:vAlign w:val="center"/>
          </w:tcPr>
          <w:p w14:paraId="1ACF2AD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6.67</w:t>
            </w:r>
          </w:p>
        </w:tc>
        <w:tc>
          <w:tcPr>
            <w:tcW w:w="770" w:type="dxa"/>
            <w:tcBorders>
              <w:tl2br w:val="nil"/>
              <w:tr2bl w:val="nil"/>
            </w:tcBorders>
            <w:vAlign w:val="center"/>
          </w:tcPr>
          <w:p w14:paraId="5765BE2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9.58</w:t>
            </w:r>
          </w:p>
        </w:tc>
        <w:tc>
          <w:tcPr>
            <w:tcW w:w="783" w:type="dxa"/>
            <w:tcBorders>
              <w:tl2br w:val="nil"/>
              <w:tr2bl w:val="nil"/>
            </w:tcBorders>
            <w:vAlign w:val="center"/>
          </w:tcPr>
          <w:p w14:paraId="668F4FC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16.25</w:t>
            </w:r>
          </w:p>
        </w:tc>
        <w:tc>
          <w:tcPr>
            <w:tcW w:w="827" w:type="dxa"/>
            <w:tcBorders>
              <w:tl2br w:val="nil"/>
              <w:tr2bl w:val="nil"/>
            </w:tcBorders>
            <w:vAlign w:val="center"/>
          </w:tcPr>
          <w:p w14:paraId="08EB82D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13.61</w:t>
            </w:r>
          </w:p>
        </w:tc>
        <w:tc>
          <w:tcPr>
            <w:tcW w:w="780" w:type="dxa"/>
            <w:tcBorders>
              <w:tl2br w:val="nil"/>
              <w:tr2bl w:val="nil"/>
            </w:tcBorders>
            <w:vAlign w:val="center"/>
          </w:tcPr>
          <w:p w14:paraId="764A387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10.69</w:t>
            </w:r>
          </w:p>
        </w:tc>
        <w:tc>
          <w:tcPr>
            <w:tcW w:w="876" w:type="dxa"/>
            <w:tcBorders>
              <w:tl2br w:val="nil"/>
              <w:tr2bl w:val="nil"/>
            </w:tcBorders>
            <w:vAlign w:val="center"/>
          </w:tcPr>
          <w:p w14:paraId="3292480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5.56</w:t>
            </w:r>
          </w:p>
        </w:tc>
        <w:tc>
          <w:tcPr>
            <w:tcW w:w="622" w:type="dxa"/>
            <w:tcBorders>
              <w:tl2br w:val="nil"/>
              <w:tr2bl w:val="nil"/>
            </w:tcBorders>
            <w:vAlign w:val="center"/>
          </w:tcPr>
          <w:p w14:paraId="26AD2A5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4.31</w:t>
            </w:r>
          </w:p>
        </w:tc>
        <w:tc>
          <w:tcPr>
            <w:tcW w:w="810" w:type="dxa"/>
            <w:tcBorders>
              <w:tl2br w:val="nil"/>
              <w:tr2bl w:val="nil"/>
            </w:tcBorders>
            <w:vAlign w:val="center"/>
          </w:tcPr>
          <w:p w14:paraId="10CE2AE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3.19</w:t>
            </w:r>
          </w:p>
        </w:tc>
        <w:tc>
          <w:tcPr>
            <w:tcW w:w="637" w:type="dxa"/>
            <w:tcBorders>
              <w:tl2br w:val="nil"/>
              <w:tr2bl w:val="nil"/>
            </w:tcBorders>
            <w:vAlign w:val="center"/>
          </w:tcPr>
          <w:p w14:paraId="3A8573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0BFF3CF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427" w:hRule="atLeast"/>
        </w:trPr>
        <w:tc>
          <w:tcPr>
            <w:tcW w:w="855" w:type="dxa"/>
            <w:tcBorders>
              <w:tl2br w:val="nil"/>
              <w:tr2bl w:val="nil"/>
            </w:tcBorders>
            <w:vAlign w:val="center"/>
          </w:tcPr>
          <w:p w14:paraId="79AA586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12月</w:t>
            </w:r>
          </w:p>
        </w:tc>
        <w:tc>
          <w:tcPr>
            <w:tcW w:w="696" w:type="dxa"/>
            <w:tcBorders>
              <w:tl2br w:val="nil"/>
              <w:tr2bl w:val="nil"/>
            </w:tcBorders>
            <w:vAlign w:val="center"/>
          </w:tcPr>
          <w:p w14:paraId="1778B3C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3.49</w:t>
            </w:r>
          </w:p>
        </w:tc>
        <w:tc>
          <w:tcPr>
            <w:tcW w:w="759" w:type="dxa"/>
            <w:tcBorders>
              <w:tl2br w:val="nil"/>
              <w:tr2bl w:val="nil"/>
            </w:tcBorders>
            <w:vAlign w:val="center"/>
          </w:tcPr>
          <w:p w14:paraId="52CA677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2.15</w:t>
            </w:r>
          </w:p>
        </w:tc>
        <w:tc>
          <w:tcPr>
            <w:tcW w:w="770" w:type="dxa"/>
            <w:tcBorders>
              <w:tl2br w:val="nil"/>
              <w:tr2bl w:val="nil"/>
            </w:tcBorders>
            <w:vAlign w:val="center"/>
          </w:tcPr>
          <w:p w14:paraId="40A51D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2.96</w:t>
            </w:r>
          </w:p>
        </w:tc>
        <w:tc>
          <w:tcPr>
            <w:tcW w:w="677" w:type="dxa"/>
            <w:tcBorders>
              <w:tl2br w:val="nil"/>
              <w:tr2bl w:val="nil"/>
            </w:tcBorders>
            <w:vAlign w:val="center"/>
          </w:tcPr>
          <w:p w14:paraId="2052911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4.84</w:t>
            </w:r>
          </w:p>
        </w:tc>
        <w:tc>
          <w:tcPr>
            <w:tcW w:w="770" w:type="dxa"/>
            <w:tcBorders>
              <w:tl2br w:val="nil"/>
              <w:tr2bl w:val="nil"/>
            </w:tcBorders>
            <w:vAlign w:val="center"/>
          </w:tcPr>
          <w:p w14:paraId="6E76880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2.69</w:t>
            </w:r>
          </w:p>
        </w:tc>
        <w:tc>
          <w:tcPr>
            <w:tcW w:w="777" w:type="dxa"/>
            <w:tcBorders>
              <w:tl2br w:val="nil"/>
              <w:tr2bl w:val="nil"/>
            </w:tcBorders>
            <w:vAlign w:val="center"/>
          </w:tcPr>
          <w:p w14:paraId="2CE3065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745" w:type="dxa"/>
            <w:tcBorders>
              <w:tl2br w:val="nil"/>
              <w:tr2bl w:val="nil"/>
            </w:tcBorders>
            <w:vAlign w:val="center"/>
          </w:tcPr>
          <w:p w14:paraId="648754E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2.02</w:t>
            </w:r>
          </w:p>
        </w:tc>
        <w:tc>
          <w:tcPr>
            <w:tcW w:w="770" w:type="dxa"/>
            <w:tcBorders>
              <w:tl2br w:val="nil"/>
              <w:tr2bl w:val="nil"/>
            </w:tcBorders>
            <w:vAlign w:val="center"/>
          </w:tcPr>
          <w:p w14:paraId="4958E01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0.94</w:t>
            </w:r>
          </w:p>
        </w:tc>
        <w:tc>
          <w:tcPr>
            <w:tcW w:w="783" w:type="dxa"/>
            <w:tcBorders>
              <w:tl2br w:val="nil"/>
              <w:tr2bl w:val="nil"/>
            </w:tcBorders>
            <w:vAlign w:val="center"/>
          </w:tcPr>
          <w:p w14:paraId="3AF164B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5.65</w:t>
            </w:r>
          </w:p>
        </w:tc>
        <w:tc>
          <w:tcPr>
            <w:tcW w:w="770" w:type="dxa"/>
            <w:tcBorders>
              <w:tl2br w:val="nil"/>
              <w:tr2bl w:val="nil"/>
            </w:tcBorders>
            <w:vAlign w:val="center"/>
          </w:tcPr>
          <w:p w14:paraId="62AE223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15.99</w:t>
            </w:r>
          </w:p>
        </w:tc>
        <w:tc>
          <w:tcPr>
            <w:tcW w:w="783" w:type="dxa"/>
            <w:tcBorders>
              <w:tl2br w:val="nil"/>
              <w:tr2bl w:val="nil"/>
            </w:tcBorders>
            <w:vAlign w:val="center"/>
          </w:tcPr>
          <w:p w14:paraId="1009A8A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22.18</w:t>
            </w:r>
          </w:p>
        </w:tc>
        <w:tc>
          <w:tcPr>
            <w:tcW w:w="827" w:type="dxa"/>
            <w:tcBorders>
              <w:tl2br w:val="nil"/>
              <w:tr2bl w:val="nil"/>
            </w:tcBorders>
            <w:vAlign w:val="center"/>
          </w:tcPr>
          <w:p w14:paraId="3355781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19.89</w:t>
            </w:r>
          </w:p>
        </w:tc>
        <w:tc>
          <w:tcPr>
            <w:tcW w:w="780" w:type="dxa"/>
            <w:tcBorders>
              <w:tl2br w:val="nil"/>
              <w:tr2bl w:val="nil"/>
            </w:tcBorders>
            <w:vAlign w:val="center"/>
          </w:tcPr>
          <w:p w14:paraId="2A3F79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9.41</w:t>
            </w:r>
          </w:p>
        </w:tc>
        <w:tc>
          <w:tcPr>
            <w:tcW w:w="876" w:type="dxa"/>
            <w:tcBorders>
              <w:tl2br w:val="nil"/>
              <w:tr2bl w:val="nil"/>
            </w:tcBorders>
            <w:vAlign w:val="center"/>
          </w:tcPr>
          <w:p w14:paraId="2F8345F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2.28</w:t>
            </w:r>
          </w:p>
        </w:tc>
        <w:tc>
          <w:tcPr>
            <w:tcW w:w="622" w:type="dxa"/>
            <w:tcBorders>
              <w:tl2br w:val="nil"/>
              <w:tr2bl w:val="nil"/>
            </w:tcBorders>
            <w:vAlign w:val="center"/>
          </w:tcPr>
          <w:p w14:paraId="00AB3DC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1.21</w:t>
            </w:r>
          </w:p>
        </w:tc>
        <w:tc>
          <w:tcPr>
            <w:tcW w:w="810" w:type="dxa"/>
            <w:tcBorders>
              <w:tl2br w:val="nil"/>
              <w:tr2bl w:val="nil"/>
            </w:tcBorders>
            <w:vAlign w:val="center"/>
          </w:tcPr>
          <w:p w14:paraId="59E5D80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2.42</w:t>
            </w:r>
          </w:p>
        </w:tc>
        <w:tc>
          <w:tcPr>
            <w:tcW w:w="637" w:type="dxa"/>
            <w:tcBorders>
              <w:tl2br w:val="nil"/>
              <w:tr2bl w:val="nil"/>
            </w:tcBorders>
            <w:vAlign w:val="center"/>
          </w:tcPr>
          <w:p w14:paraId="3B909B9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bl>
    <w:p w14:paraId="58BB5C67">
      <w:pPr>
        <w:pStyle w:val="19"/>
        <w:rPr>
          <w:color w:val="auto"/>
          <w:highlight w:val="none"/>
        </w:rPr>
      </w:pPr>
    </w:p>
    <w:p w14:paraId="6B7AF42D">
      <w:pPr>
        <w:rPr>
          <w:color w:val="auto"/>
          <w:highlight w:val="none"/>
        </w:rPr>
        <w:sectPr>
          <w:headerReference r:id="rId24" w:type="default"/>
          <w:footerReference r:id="rId25" w:type="default"/>
          <w:pgSz w:w="16839" w:h="11906"/>
          <w:pgMar w:top="1483" w:right="1666" w:bottom="1415" w:left="1438" w:header="1109" w:footer="1200" w:gutter="0"/>
          <w:pgBorders>
            <w:top w:val="none" w:sz="0" w:space="0"/>
            <w:left w:val="none" w:sz="0" w:space="0"/>
            <w:bottom w:val="none" w:sz="0" w:space="0"/>
            <w:right w:val="none" w:sz="0" w:space="0"/>
          </w:pgBorders>
          <w:cols w:space="720" w:num="1"/>
        </w:sectPr>
      </w:pPr>
    </w:p>
    <w:p w14:paraId="1C9FBCBF">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5-2-1</w:t>
      </w:r>
      <w:r>
        <w:rPr>
          <w:rFonts w:hint="eastAsia" w:cs="Times New Roman"/>
          <w:color w:val="auto"/>
          <w:highlight w:val="none"/>
          <w:lang w:val="en-US" w:eastAsia="zh-CN"/>
        </w:rPr>
        <w:t>2</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黑河</w:t>
      </w:r>
      <w:r>
        <w:rPr>
          <w:rFonts w:hint="default" w:ascii="Times New Roman" w:hAnsi="Times New Roman" w:cs="Times New Roman"/>
          <w:color w:val="auto"/>
          <w:highlight w:val="none"/>
        </w:rPr>
        <w:t>市 2025 年均风频的季变化及年均风频</w:t>
      </w:r>
    </w:p>
    <w:p w14:paraId="0ABD3E49">
      <w:pPr>
        <w:spacing w:line="146" w:lineRule="exact"/>
        <w:rPr>
          <w:color w:val="auto"/>
          <w:highlight w:val="none"/>
        </w:rPr>
      </w:pPr>
    </w:p>
    <w:tbl>
      <w:tblPr>
        <w:tblStyle w:val="486"/>
        <w:tblW w:w="13712" w:type="dxa"/>
        <w:tblInd w:w="1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22"/>
        <w:gridCol w:w="774"/>
        <w:gridCol w:w="730"/>
        <w:gridCol w:w="656"/>
        <w:gridCol w:w="691"/>
        <w:gridCol w:w="664"/>
        <w:gridCol w:w="814"/>
        <w:gridCol w:w="658"/>
        <w:gridCol w:w="658"/>
        <w:gridCol w:w="773"/>
        <w:gridCol w:w="774"/>
        <w:gridCol w:w="825"/>
        <w:gridCol w:w="861"/>
        <w:gridCol w:w="825"/>
        <w:gridCol w:w="916"/>
        <w:gridCol w:w="658"/>
        <w:gridCol w:w="841"/>
        <w:gridCol w:w="672"/>
      </w:tblGrid>
      <w:tr w14:paraId="3DB451D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7" w:hRule="atLeast"/>
        </w:trPr>
        <w:tc>
          <w:tcPr>
            <w:tcW w:w="922" w:type="dxa"/>
            <w:tcBorders>
              <w:tl2br w:val="nil"/>
              <w:tr2bl w:val="nil"/>
            </w:tcBorders>
            <w:vAlign w:val="center"/>
          </w:tcPr>
          <w:p w14:paraId="3D37A94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风频率%</w:t>
            </w:r>
          </w:p>
        </w:tc>
        <w:tc>
          <w:tcPr>
            <w:tcW w:w="774" w:type="dxa"/>
            <w:tcBorders>
              <w:tl2br w:val="nil"/>
              <w:tr2bl w:val="nil"/>
            </w:tcBorders>
            <w:vAlign w:val="center"/>
          </w:tcPr>
          <w:p w14:paraId="75B0E05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w:t>
            </w:r>
          </w:p>
        </w:tc>
        <w:tc>
          <w:tcPr>
            <w:tcW w:w="730" w:type="dxa"/>
            <w:tcBorders>
              <w:tl2br w:val="nil"/>
              <w:tr2bl w:val="nil"/>
            </w:tcBorders>
            <w:vAlign w:val="center"/>
          </w:tcPr>
          <w:p w14:paraId="47E2A7E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NNE</w:t>
            </w:r>
          </w:p>
        </w:tc>
        <w:tc>
          <w:tcPr>
            <w:tcW w:w="656" w:type="dxa"/>
            <w:tcBorders>
              <w:tl2br w:val="nil"/>
              <w:tr2bl w:val="nil"/>
            </w:tcBorders>
            <w:vAlign w:val="center"/>
          </w:tcPr>
          <w:p w14:paraId="63D986A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NE</w:t>
            </w:r>
          </w:p>
        </w:tc>
        <w:tc>
          <w:tcPr>
            <w:tcW w:w="691" w:type="dxa"/>
            <w:tcBorders>
              <w:tl2br w:val="nil"/>
              <w:tr2bl w:val="nil"/>
            </w:tcBorders>
            <w:vAlign w:val="center"/>
          </w:tcPr>
          <w:p w14:paraId="245A0C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ENE</w:t>
            </w:r>
          </w:p>
        </w:tc>
        <w:tc>
          <w:tcPr>
            <w:tcW w:w="664" w:type="dxa"/>
            <w:tcBorders>
              <w:tl2br w:val="nil"/>
              <w:tr2bl w:val="nil"/>
            </w:tcBorders>
            <w:vAlign w:val="center"/>
          </w:tcPr>
          <w:p w14:paraId="6E11754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w:t>
            </w:r>
          </w:p>
        </w:tc>
        <w:tc>
          <w:tcPr>
            <w:tcW w:w="814" w:type="dxa"/>
            <w:tcBorders>
              <w:tl2br w:val="nil"/>
              <w:tr2bl w:val="nil"/>
            </w:tcBorders>
            <w:vAlign w:val="center"/>
          </w:tcPr>
          <w:p w14:paraId="3107619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ESE</w:t>
            </w:r>
          </w:p>
        </w:tc>
        <w:tc>
          <w:tcPr>
            <w:tcW w:w="658" w:type="dxa"/>
            <w:tcBorders>
              <w:tl2br w:val="nil"/>
              <w:tr2bl w:val="nil"/>
            </w:tcBorders>
            <w:vAlign w:val="center"/>
          </w:tcPr>
          <w:p w14:paraId="30B954F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SE</w:t>
            </w:r>
          </w:p>
        </w:tc>
        <w:tc>
          <w:tcPr>
            <w:tcW w:w="658" w:type="dxa"/>
            <w:tcBorders>
              <w:tl2br w:val="nil"/>
              <w:tr2bl w:val="nil"/>
            </w:tcBorders>
            <w:vAlign w:val="center"/>
          </w:tcPr>
          <w:p w14:paraId="1958BFE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SSE</w:t>
            </w:r>
          </w:p>
        </w:tc>
        <w:tc>
          <w:tcPr>
            <w:tcW w:w="773" w:type="dxa"/>
            <w:tcBorders>
              <w:tl2br w:val="nil"/>
              <w:tr2bl w:val="nil"/>
            </w:tcBorders>
            <w:vAlign w:val="center"/>
          </w:tcPr>
          <w:p w14:paraId="7B7B09E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w:t>
            </w:r>
          </w:p>
        </w:tc>
        <w:tc>
          <w:tcPr>
            <w:tcW w:w="774" w:type="dxa"/>
            <w:tcBorders>
              <w:tl2br w:val="nil"/>
              <w:tr2bl w:val="nil"/>
            </w:tcBorders>
            <w:vAlign w:val="center"/>
          </w:tcPr>
          <w:p w14:paraId="36541EA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SSW</w:t>
            </w:r>
          </w:p>
        </w:tc>
        <w:tc>
          <w:tcPr>
            <w:tcW w:w="825" w:type="dxa"/>
            <w:tcBorders>
              <w:tl2br w:val="nil"/>
              <w:tr2bl w:val="nil"/>
            </w:tcBorders>
            <w:vAlign w:val="center"/>
          </w:tcPr>
          <w:p w14:paraId="774241A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SW</w:t>
            </w:r>
          </w:p>
        </w:tc>
        <w:tc>
          <w:tcPr>
            <w:tcW w:w="861" w:type="dxa"/>
            <w:tcBorders>
              <w:tl2br w:val="nil"/>
              <w:tr2bl w:val="nil"/>
            </w:tcBorders>
            <w:vAlign w:val="center"/>
          </w:tcPr>
          <w:p w14:paraId="6285F1B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WSW</w:t>
            </w:r>
          </w:p>
        </w:tc>
        <w:tc>
          <w:tcPr>
            <w:tcW w:w="825" w:type="dxa"/>
            <w:tcBorders>
              <w:tl2br w:val="nil"/>
              <w:tr2bl w:val="nil"/>
            </w:tcBorders>
            <w:vAlign w:val="center"/>
          </w:tcPr>
          <w:p w14:paraId="77F8ED7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w:t>
            </w:r>
          </w:p>
        </w:tc>
        <w:tc>
          <w:tcPr>
            <w:tcW w:w="916" w:type="dxa"/>
            <w:tcBorders>
              <w:tl2br w:val="nil"/>
              <w:tr2bl w:val="nil"/>
            </w:tcBorders>
            <w:vAlign w:val="center"/>
          </w:tcPr>
          <w:p w14:paraId="3251AE9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WNW</w:t>
            </w:r>
          </w:p>
        </w:tc>
        <w:tc>
          <w:tcPr>
            <w:tcW w:w="658" w:type="dxa"/>
            <w:tcBorders>
              <w:tl2br w:val="nil"/>
              <w:tr2bl w:val="nil"/>
            </w:tcBorders>
            <w:vAlign w:val="center"/>
          </w:tcPr>
          <w:p w14:paraId="75BD293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NW</w:t>
            </w:r>
          </w:p>
        </w:tc>
        <w:tc>
          <w:tcPr>
            <w:tcW w:w="841" w:type="dxa"/>
            <w:tcBorders>
              <w:tl2br w:val="nil"/>
              <w:tr2bl w:val="nil"/>
            </w:tcBorders>
            <w:vAlign w:val="center"/>
          </w:tcPr>
          <w:p w14:paraId="185971D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NNW</w:t>
            </w:r>
          </w:p>
        </w:tc>
        <w:tc>
          <w:tcPr>
            <w:tcW w:w="672" w:type="dxa"/>
            <w:tcBorders>
              <w:tl2br w:val="nil"/>
              <w:tr2bl w:val="nil"/>
            </w:tcBorders>
            <w:vAlign w:val="center"/>
          </w:tcPr>
          <w:p w14:paraId="204C87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w:t>
            </w:r>
          </w:p>
        </w:tc>
      </w:tr>
      <w:tr w14:paraId="7861802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922" w:type="dxa"/>
            <w:tcBorders>
              <w:tl2br w:val="nil"/>
              <w:tr2bl w:val="nil"/>
            </w:tcBorders>
            <w:vAlign w:val="center"/>
          </w:tcPr>
          <w:p w14:paraId="0675F37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春季</w:t>
            </w:r>
          </w:p>
        </w:tc>
        <w:tc>
          <w:tcPr>
            <w:tcW w:w="774" w:type="dxa"/>
            <w:tcBorders>
              <w:tl2br w:val="nil"/>
              <w:tr2bl w:val="nil"/>
            </w:tcBorders>
            <w:vAlign w:val="center"/>
          </w:tcPr>
          <w:p w14:paraId="351079A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7.38</w:t>
            </w:r>
          </w:p>
        </w:tc>
        <w:tc>
          <w:tcPr>
            <w:tcW w:w="730" w:type="dxa"/>
            <w:tcBorders>
              <w:tl2br w:val="nil"/>
              <w:tr2bl w:val="nil"/>
            </w:tcBorders>
            <w:vAlign w:val="center"/>
          </w:tcPr>
          <w:p w14:paraId="009B8A3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4.39</w:t>
            </w:r>
          </w:p>
        </w:tc>
        <w:tc>
          <w:tcPr>
            <w:tcW w:w="656" w:type="dxa"/>
            <w:tcBorders>
              <w:tl2br w:val="nil"/>
              <w:tr2bl w:val="nil"/>
            </w:tcBorders>
            <w:vAlign w:val="center"/>
          </w:tcPr>
          <w:p w14:paraId="30EE111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4.66</w:t>
            </w:r>
          </w:p>
        </w:tc>
        <w:tc>
          <w:tcPr>
            <w:tcW w:w="691" w:type="dxa"/>
            <w:tcBorders>
              <w:tl2br w:val="nil"/>
              <w:tr2bl w:val="nil"/>
            </w:tcBorders>
            <w:vAlign w:val="center"/>
          </w:tcPr>
          <w:p w14:paraId="492B67F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4.71</w:t>
            </w:r>
          </w:p>
        </w:tc>
        <w:tc>
          <w:tcPr>
            <w:tcW w:w="664" w:type="dxa"/>
            <w:tcBorders>
              <w:tl2br w:val="nil"/>
              <w:tr2bl w:val="nil"/>
            </w:tcBorders>
            <w:vAlign w:val="center"/>
          </w:tcPr>
          <w:p w14:paraId="47BC416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6.25</w:t>
            </w:r>
          </w:p>
        </w:tc>
        <w:tc>
          <w:tcPr>
            <w:tcW w:w="814" w:type="dxa"/>
            <w:tcBorders>
              <w:tl2br w:val="nil"/>
              <w:tr2bl w:val="nil"/>
            </w:tcBorders>
            <w:vAlign w:val="center"/>
          </w:tcPr>
          <w:p w14:paraId="6D3526A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2.94</w:t>
            </w:r>
          </w:p>
        </w:tc>
        <w:tc>
          <w:tcPr>
            <w:tcW w:w="658" w:type="dxa"/>
            <w:tcBorders>
              <w:tl2br w:val="nil"/>
              <w:tr2bl w:val="nil"/>
            </w:tcBorders>
            <w:vAlign w:val="center"/>
          </w:tcPr>
          <w:p w14:paraId="00BF2FC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1.49</w:t>
            </w:r>
          </w:p>
        </w:tc>
        <w:tc>
          <w:tcPr>
            <w:tcW w:w="658" w:type="dxa"/>
            <w:tcBorders>
              <w:tl2br w:val="nil"/>
              <w:tr2bl w:val="nil"/>
            </w:tcBorders>
            <w:vAlign w:val="center"/>
          </w:tcPr>
          <w:p w14:paraId="4CC32B8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1.90</w:t>
            </w:r>
          </w:p>
        </w:tc>
        <w:tc>
          <w:tcPr>
            <w:tcW w:w="773" w:type="dxa"/>
            <w:tcBorders>
              <w:tl2br w:val="nil"/>
              <w:tr2bl w:val="nil"/>
            </w:tcBorders>
            <w:vAlign w:val="center"/>
          </w:tcPr>
          <w:p w14:paraId="0746D2D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4.71</w:t>
            </w:r>
          </w:p>
        </w:tc>
        <w:tc>
          <w:tcPr>
            <w:tcW w:w="774" w:type="dxa"/>
            <w:tcBorders>
              <w:tl2br w:val="nil"/>
              <w:tr2bl w:val="nil"/>
            </w:tcBorders>
            <w:vAlign w:val="center"/>
          </w:tcPr>
          <w:p w14:paraId="3DCE02C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6.52</w:t>
            </w:r>
          </w:p>
        </w:tc>
        <w:tc>
          <w:tcPr>
            <w:tcW w:w="825" w:type="dxa"/>
            <w:tcBorders>
              <w:tl2br w:val="nil"/>
              <w:tr2bl w:val="nil"/>
            </w:tcBorders>
            <w:vAlign w:val="center"/>
          </w:tcPr>
          <w:p w14:paraId="3329D23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12.73</w:t>
            </w:r>
          </w:p>
        </w:tc>
        <w:tc>
          <w:tcPr>
            <w:tcW w:w="861" w:type="dxa"/>
            <w:tcBorders>
              <w:tl2br w:val="nil"/>
              <w:tr2bl w:val="nil"/>
            </w:tcBorders>
            <w:vAlign w:val="center"/>
          </w:tcPr>
          <w:p w14:paraId="7E6B26A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11.82</w:t>
            </w:r>
          </w:p>
        </w:tc>
        <w:tc>
          <w:tcPr>
            <w:tcW w:w="825" w:type="dxa"/>
            <w:tcBorders>
              <w:tl2br w:val="nil"/>
              <w:tr2bl w:val="nil"/>
            </w:tcBorders>
            <w:vAlign w:val="center"/>
          </w:tcPr>
          <w:p w14:paraId="6C31CD9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13.54</w:t>
            </w:r>
          </w:p>
        </w:tc>
        <w:tc>
          <w:tcPr>
            <w:tcW w:w="916" w:type="dxa"/>
            <w:tcBorders>
              <w:tl2br w:val="nil"/>
              <w:tr2bl w:val="nil"/>
            </w:tcBorders>
            <w:vAlign w:val="center"/>
          </w:tcPr>
          <w:p w14:paraId="0D69990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7.93</w:t>
            </w:r>
          </w:p>
        </w:tc>
        <w:tc>
          <w:tcPr>
            <w:tcW w:w="658" w:type="dxa"/>
            <w:tcBorders>
              <w:tl2br w:val="nil"/>
              <w:tr2bl w:val="nil"/>
            </w:tcBorders>
            <w:vAlign w:val="center"/>
          </w:tcPr>
          <w:p w14:paraId="5A665B9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4.21</w:t>
            </w:r>
          </w:p>
        </w:tc>
        <w:tc>
          <w:tcPr>
            <w:tcW w:w="841" w:type="dxa"/>
            <w:tcBorders>
              <w:tl2br w:val="nil"/>
              <w:tr2bl w:val="nil"/>
            </w:tcBorders>
            <w:vAlign w:val="center"/>
          </w:tcPr>
          <w:p w14:paraId="3B5B0D3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4.08</w:t>
            </w:r>
          </w:p>
        </w:tc>
        <w:tc>
          <w:tcPr>
            <w:tcW w:w="672" w:type="dxa"/>
            <w:tcBorders>
              <w:tl2br w:val="nil"/>
              <w:tr2bl w:val="nil"/>
            </w:tcBorders>
            <w:vAlign w:val="center"/>
          </w:tcPr>
          <w:p w14:paraId="7C833CE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0.72</w:t>
            </w:r>
          </w:p>
        </w:tc>
      </w:tr>
      <w:tr w14:paraId="431BE25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922" w:type="dxa"/>
            <w:tcBorders>
              <w:tl2br w:val="nil"/>
              <w:tr2bl w:val="nil"/>
            </w:tcBorders>
            <w:vAlign w:val="center"/>
          </w:tcPr>
          <w:p w14:paraId="7F35A26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夏季</w:t>
            </w:r>
          </w:p>
        </w:tc>
        <w:tc>
          <w:tcPr>
            <w:tcW w:w="774" w:type="dxa"/>
            <w:tcBorders>
              <w:tl2br w:val="nil"/>
              <w:tr2bl w:val="nil"/>
            </w:tcBorders>
            <w:vAlign w:val="center"/>
          </w:tcPr>
          <w:p w14:paraId="503DB18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6.11</w:t>
            </w:r>
          </w:p>
        </w:tc>
        <w:tc>
          <w:tcPr>
            <w:tcW w:w="730" w:type="dxa"/>
            <w:tcBorders>
              <w:tl2br w:val="nil"/>
              <w:tr2bl w:val="nil"/>
            </w:tcBorders>
            <w:vAlign w:val="center"/>
          </w:tcPr>
          <w:p w14:paraId="4013891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4.76</w:t>
            </w:r>
          </w:p>
        </w:tc>
        <w:tc>
          <w:tcPr>
            <w:tcW w:w="656" w:type="dxa"/>
            <w:tcBorders>
              <w:tl2br w:val="nil"/>
              <w:tr2bl w:val="nil"/>
            </w:tcBorders>
            <w:vAlign w:val="center"/>
          </w:tcPr>
          <w:p w14:paraId="6FFFED7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5.16</w:t>
            </w:r>
          </w:p>
        </w:tc>
        <w:tc>
          <w:tcPr>
            <w:tcW w:w="691" w:type="dxa"/>
            <w:tcBorders>
              <w:tl2br w:val="nil"/>
              <w:tr2bl w:val="nil"/>
            </w:tcBorders>
            <w:vAlign w:val="center"/>
          </w:tcPr>
          <w:p w14:paraId="0D48393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5.48</w:t>
            </w:r>
          </w:p>
        </w:tc>
        <w:tc>
          <w:tcPr>
            <w:tcW w:w="664" w:type="dxa"/>
            <w:tcBorders>
              <w:tl2br w:val="nil"/>
              <w:tr2bl w:val="nil"/>
            </w:tcBorders>
            <w:vAlign w:val="center"/>
          </w:tcPr>
          <w:p w14:paraId="3B19BF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4.98</w:t>
            </w:r>
          </w:p>
        </w:tc>
        <w:tc>
          <w:tcPr>
            <w:tcW w:w="814" w:type="dxa"/>
            <w:tcBorders>
              <w:tl2br w:val="nil"/>
              <w:tr2bl w:val="nil"/>
            </w:tcBorders>
            <w:vAlign w:val="center"/>
          </w:tcPr>
          <w:p w14:paraId="0C86A77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1.90</w:t>
            </w:r>
          </w:p>
        </w:tc>
        <w:tc>
          <w:tcPr>
            <w:tcW w:w="658" w:type="dxa"/>
            <w:tcBorders>
              <w:tl2br w:val="nil"/>
              <w:tr2bl w:val="nil"/>
            </w:tcBorders>
            <w:vAlign w:val="center"/>
          </w:tcPr>
          <w:p w14:paraId="6D69550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2.76</w:t>
            </w:r>
          </w:p>
        </w:tc>
        <w:tc>
          <w:tcPr>
            <w:tcW w:w="658" w:type="dxa"/>
            <w:tcBorders>
              <w:tl2br w:val="nil"/>
              <w:tr2bl w:val="nil"/>
            </w:tcBorders>
            <w:vAlign w:val="center"/>
          </w:tcPr>
          <w:p w14:paraId="03B8CBF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2.85</w:t>
            </w:r>
          </w:p>
        </w:tc>
        <w:tc>
          <w:tcPr>
            <w:tcW w:w="773" w:type="dxa"/>
            <w:tcBorders>
              <w:tl2br w:val="nil"/>
              <w:tr2bl w:val="nil"/>
            </w:tcBorders>
            <w:vAlign w:val="center"/>
          </w:tcPr>
          <w:p w14:paraId="569A6C1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9.69</w:t>
            </w:r>
          </w:p>
        </w:tc>
        <w:tc>
          <w:tcPr>
            <w:tcW w:w="774" w:type="dxa"/>
            <w:tcBorders>
              <w:tl2br w:val="nil"/>
              <w:tr2bl w:val="nil"/>
            </w:tcBorders>
            <w:vAlign w:val="center"/>
          </w:tcPr>
          <w:p w14:paraId="4281007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14.13</w:t>
            </w:r>
          </w:p>
        </w:tc>
        <w:tc>
          <w:tcPr>
            <w:tcW w:w="825" w:type="dxa"/>
            <w:tcBorders>
              <w:tl2br w:val="nil"/>
              <w:tr2bl w:val="nil"/>
            </w:tcBorders>
            <w:vAlign w:val="center"/>
          </w:tcPr>
          <w:p w14:paraId="31E7DC6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11.32</w:t>
            </w:r>
          </w:p>
        </w:tc>
        <w:tc>
          <w:tcPr>
            <w:tcW w:w="861" w:type="dxa"/>
            <w:tcBorders>
              <w:tl2br w:val="nil"/>
              <w:tr2bl w:val="nil"/>
            </w:tcBorders>
            <w:vAlign w:val="center"/>
          </w:tcPr>
          <w:p w14:paraId="28B343C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11.50</w:t>
            </w:r>
          </w:p>
        </w:tc>
        <w:tc>
          <w:tcPr>
            <w:tcW w:w="825" w:type="dxa"/>
            <w:tcBorders>
              <w:tl2br w:val="nil"/>
              <w:tr2bl w:val="nil"/>
            </w:tcBorders>
            <w:vAlign w:val="center"/>
          </w:tcPr>
          <w:p w14:paraId="2412B6B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8.65</w:t>
            </w:r>
          </w:p>
        </w:tc>
        <w:tc>
          <w:tcPr>
            <w:tcW w:w="916" w:type="dxa"/>
            <w:tcBorders>
              <w:tl2br w:val="nil"/>
              <w:tr2bl w:val="nil"/>
            </w:tcBorders>
            <w:vAlign w:val="center"/>
          </w:tcPr>
          <w:p w14:paraId="44C8A88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4.08</w:t>
            </w:r>
          </w:p>
        </w:tc>
        <w:tc>
          <w:tcPr>
            <w:tcW w:w="658" w:type="dxa"/>
            <w:tcBorders>
              <w:tl2br w:val="nil"/>
              <w:tr2bl w:val="nil"/>
            </w:tcBorders>
            <w:vAlign w:val="center"/>
          </w:tcPr>
          <w:p w14:paraId="1DAD62F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3.40</w:t>
            </w:r>
          </w:p>
        </w:tc>
        <w:tc>
          <w:tcPr>
            <w:tcW w:w="841" w:type="dxa"/>
            <w:tcBorders>
              <w:tl2br w:val="nil"/>
              <w:tr2bl w:val="nil"/>
            </w:tcBorders>
            <w:vAlign w:val="center"/>
          </w:tcPr>
          <w:p w14:paraId="04116CC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3.22</w:t>
            </w:r>
          </w:p>
        </w:tc>
        <w:tc>
          <w:tcPr>
            <w:tcW w:w="672" w:type="dxa"/>
            <w:tcBorders>
              <w:tl2br w:val="nil"/>
              <w:tr2bl w:val="nil"/>
            </w:tcBorders>
            <w:vAlign w:val="center"/>
          </w:tcPr>
          <w:p w14:paraId="48050B9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4DAB18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922" w:type="dxa"/>
            <w:tcBorders>
              <w:tl2br w:val="nil"/>
              <w:tr2bl w:val="nil"/>
            </w:tcBorders>
            <w:vAlign w:val="center"/>
          </w:tcPr>
          <w:p w14:paraId="283F128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秋季</w:t>
            </w:r>
          </w:p>
        </w:tc>
        <w:tc>
          <w:tcPr>
            <w:tcW w:w="774" w:type="dxa"/>
            <w:tcBorders>
              <w:tl2br w:val="nil"/>
              <w:tr2bl w:val="nil"/>
            </w:tcBorders>
            <w:vAlign w:val="center"/>
          </w:tcPr>
          <w:p w14:paraId="42BF76E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5.08</w:t>
            </w:r>
          </w:p>
        </w:tc>
        <w:tc>
          <w:tcPr>
            <w:tcW w:w="730" w:type="dxa"/>
            <w:tcBorders>
              <w:tl2br w:val="nil"/>
              <w:tr2bl w:val="nil"/>
            </w:tcBorders>
            <w:vAlign w:val="center"/>
          </w:tcPr>
          <w:p w14:paraId="182721A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3.21</w:t>
            </w:r>
          </w:p>
        </w:tc>
        <w:tc>
          <w:tcPr>
            <w:tcW w:w="656" w:type="dxa"/>
            <w:tcBorders>
              <w:tl2br w:val="nil"/>
              <w:tr2bl w:val="nil"/>
            </w:tcBorders>
            <w:vAlign w:val="center"/>
          </w:tcPr>
          <w:p w14:paraId="3647FE3B">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4.90</w:t>
            </w:r>
          </w:p>
        </w:tc>
        <w:tc>
          <w:tcPr>
            <w:tcW w:w="691" w:type="dxa"/>
            <w:tcBorders>
              <w:tl2br w:val="nil"/>
              <w:tr2bl w:val="nil"/>
            </w:tcBorders>
            <w:vAlign w:val="center"/>
          </w:tcPr>
          <w:p w14:paraId="5AC3768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5.36</w:t>
            </w:r>
          </w:p>
        </w:tc>
        <w:tc>
          <w:tcPr>
            <w:tcW w:w="664" w:type="dxa"/>
            <w:tcBorders>
              <w:tl2br w:val="nil"/>
              <w:tr2bl w:val="nil"/>
            </w:tcBorders>
            <w:vAlign w:val="center"/>
          </w:tcPr>
          <w:p w14:paraId="2D123AA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4.26</w:t>
            </w:r>
          </w:p>
        </w:tc>
        <w:tc>
          <w:tcPr>
            <w:tcW w:w="814" w:type="dxa"/>
            <w:tcBorders>
              <w:tl2br w:val="nil"/>
              <w:tr2bl w:val="nil"/>
            </w:tcBorders>
            <w:vAlign w:val="center"/>
          </w:tcPr>
          <w:p w14:paraId="0E17D65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1.92</w:t>
            </w:r>
          </w:p>
        </w:tc>
        <w:tc>
          <w:tcPr>
            <w:tcW w:w="658" w:type="dxa"/>
            <w:tcBorders>
              <w:tl2br w:val="nil"/>
              <w:tr2bl w:val="nil"/>
            </w:tcBorders>
            <w:vAlign w:val="center"/>
          </w:tcPr>
          <w:p w14:paraId="5E7912B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1.56</w:t>
            </w:r>
          </w:p>
        </w:tc>
        <w:tc>
          <w:tcPr>
            <w:tcW w:w="658" w:type="dxa"/>
            <w:tcBorders>
              <w:tl2br w:val="nil"/>
              <w:tr2bl w:val="nil"/>
            </w:tcBorders>
            <w:vAlign w:val="center"/>
          </w:tcPr>
          <w:p w14:paraId="062A2A4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1.51</w:t>
            </w:r>
          </w:p>
        </w:tc>
        <w:tc>
          <w:tcPr>
            <w:tcW w:w="773" w:type="dxa"/>
            <w:tcBorders>
              <w:tl2br w:val="nil"/>
              <w:tr2bl w:val="nil"/>
            </w:tcBorders>
            <w:vAlign w:val="center"/>
          </w:tcPr>
          <w:p w14:paraId="5971016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8.06</w:t>
            </w:r>
          </w:p>
        </w:tc>
        <w:tc>
          <w:tcPr>
            <w:tcW w:w="774" w:type="dxa"/>
            <w:tcBorders>
              <w:tl2br w:val="nil"/>
              <w:tr2bl w:val="nil"/>
            </w:tcBorders>
            <w:vAlign w:val="center"/>
          </w:tcPr>
          <w:p w14:paraId="2ADB76D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14.29</w:t>
            </w:r>
          </w:p>
        </w:tc>
        <w:tc>
          <w:tcPr>
            <w:tcW w:w="825" w:type="dxa"/>
            <w:tcBorders>
              <w:tl2br w:val="nil"/>
              <w:tr2bl w:val="nil"/>
            </w:tcBorders>
            <w:vAlign w:val="center"/>
          </w:tcPr>
          <w:p w14:paraId="66EB055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13.46</w:t>
            </w:r>
          </w:p>
        </w:tc>
        <w:tc>
          <w:tcPr>
            <w:tcW w:w="861" w:type="dxa"/>
            <w:tcBorders>
              <w:tl2br w:val="nil"/>
              <w:tr2bl w:val="nil"/>
            </w:tcBorders>
            <w:vAlign w:val="center"/>
          </w:tcPr>
          <w:p w14:paraId="3E75FA7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15.02</w:t>
            </w:r>
          </w:p>
        </w:tc>
        <w:tc>
          <w:tcPr>
            <w:tcW w:w="825" w:type="dxa"/>
            <w:tcBorders>
              <w:tl2br w:val="nil"/>
              <w:tr2bl w:val="nil"/>
            </w:tcBorders>
            <w:vAlign w:val="center"/>
          </w:tcPr>
          <w:p w14:paraId="2EE5A9F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9.57</w:t>
            </w:r>
          </w:p>
        </w:tc>
        <w:tc>
          <w:tcPr>
            <w:tcW w:w="916" w:type="dxa"/>
            <w:tcBorders>
              <w:tl2br w:val="nil"/>
              <w:tr2bl w:val="nil"/>
            </w:tcBorders>
            <w:vAlign w:val="center"/>
          </w:tcPr>
          <w:p w14:paraId="3D431AA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5.77</w:t>
            </w:r>
          </w:p>
        </w:tc>
        <w:tc>
          <w:tcPr>
            <w:tcW w:w="658" w:type="dxa"/>
            <w:tcBorders>
              <w:tl2br w:val="nil"/>
              <w:tr2bl w:val="nil"/>
            </w:tcBorders>
            <w:vAlign w:val="center"/>
          </w:tcPr>
          <w:p w14:paraId="489B3E2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3.25</w:t>
            </w:r>
          </w:p>
        </w:tc>
        <w:tc>
          <w:tcPr>
            <w:tcW w:w="841" w:type="dxa"/>
            <w:tcBorders>
              <w:tl2br w:val="nil"/>
              <w:tr2bl w:val="nil"/>
            </w:tcBorders>
            <w:vAlign w:val="center"/>
          </w:tcPr>
          <w:p w14:paraId="2F365BE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2.79</w:t>
            </w:r>
          </w:p>
        </w:tc>
        <w:tc>
          <w:tcPr>
            <w:tcW w:w="672" w:type="dxa"/>
            <w:tcBorders>
              <w:tl2br w:val="nil"/>
              <w:tr2bl w:val="nil"/>
            </w:tcBorders>
            <w:vAlign w:val="center"/>
          </w:tcPr>
          <w:p w14:paraId="273DA72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w:t>
            </w:r>
          </w:p>
        </w:tc>
      </w:tr>
      <w:tr w14:paraId="5DAB971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922" w:type="dxa"/>
            <w:tcBorders>
              <w:tl2br w:val="nil"/>
              <w:tr2bl w:val="nil"/>
            </w:tcBorders>
            <w:vAlign w:val="center"/>
          </w:tcPr>
          <w:p w14:paraId="1268D11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冬季</w:t>
            </w:r>
          </w:p>
        </w:tc>
        <w:tc>
          <w:tcPr>
            <w:tcW w:w="774" w:type="dxa"/>
            <w:tcBorders>
              <w:tl2br w:val="nil"/>
              <w:tr2bl w:val="nil"/>
            </w:tcBorders>
            <w:vAlign w:val="center"/>
          </w:tcPr>
          <w:p w14:paraId="1A8E252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5.23</w:t>
            </w:r>
          </w:p>
        </w:tc>
        <w:tc>
          <w:tcPr>
            <w:tcW w:w="730" w:type="dxa"/>
            <w:tcBorders>
              <w:tl2br w:val="nil"/>
              <w:tr2bl w:val="nil"/>
            </w:tcBorders>
            <w:vAlign w:val="center"/>
          </w:tcPr>
          <w:p w14:paraId="172D96C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3.43</w:t>
            </w:r>
          </w:p>
        </w:tc>
        <w:tc>
          <w:tcPr>
            <w:tcW w:w="656" w:type="dxa"/>
            <w:tcBorders>
              <w:tl2br w:val="nil"/>
              <w:tr2bl w:val="nil"/>
            </w:tcBorders>
            <w:vAlign w:val="center"/>
          </w:tcPr>
          <w:p w14:paraId="4F98E17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3.43</w:t>
            </w:r>
          </w:p>
        </w:tc>
        <w:tc>
          <w:tcPr>
            <w:tcW w:w="691" w:type="dxa"/>
            <w:tcBorders>
              <w:tl2br w:val="nil"/>
              <w:tr2bl w:val="nil"/>
            </w:tcBorders>
            <w:vAlign w:val="center"/>
          </w:tcPr>
          <w:p w14:paraId="1DC8E1B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5.00</w:t>
            </w:r>
          </w:p>
        </w:tc>
        <w:tc>
          <w:tcPr>
            <w:tcW w:w="664" w:type="dxa"/>
            <w:tcBorders>
              <w:tl2br w:val="nil"/>
              <w:tr2bl w:val="nil"/>
            </w:tcBorders>
            <w:vAlign w:val="center"/>
          </w:tcPr>
          <w:p w14:paraId="5B79AD6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5.28</w:t>
            </w:r>
          </w:p>
        </w:tc>
        <w:tc>
          <w:tcPr>
            <w:tcW w:w="814" w:type="dxa"/>
            <w:tcBorders>
              <w:tl2br w:val="nil"/>
              <w:tr2bl w:val="nil"/>
            </w:tcBorders>
            <w:vAlign w:val="center"/>
          </w:tcPr>
          <w:p w14:paraId="04629CA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2.18</w:t>
            </w:r>
          </w:p>
        </w:tc>
        <w:tc>
          <w:tcPr>
            <w:tcW w:w="658" w:type="dxa"/>
            <w:tcBorders>
              <w:tl2br w:val="nil"/>
              <w:tr2bl w:val="nil"/>
            </w:tcBorders>
            <w:vAlign w:val="center"/>
          </w:tcPr>
          <w:p w14:paraId="2C36F47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1.81</w:t>
            </w:r>
          </w:p>
        </w:tc>
        <w:tc>
          <w:tcPr>
            <w:tcW w:w="658" w:type="dxa"/>
            <w:tcBorders>
              <w:tl2br w:val="nil"/>
              <w:tr2bl w:val="nil"/>
            </w:tcBorders>
            <w:vAlign w:val="center"/>
          </w:tcPr>
          <w:p w14:paraId="6E5DF6E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1.25</w:t>
            </w:r>
          </w:p>
        </w:tc>
        <w:tc>
          <w:tcPr>
            <w:tcW w:w="773" w:type="dxa"/>
            <w:tcBorders>
              <w:tl2br w:val="nil"/>
              <w:tr2bl w:val="nil"/>
            </w:tcBorders>
            <w:vAlign w:val="center"/>
          </w:tcPr>
          <w:p w14:paraId="3D38EDB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4.21</w:t>
            </w:r>
          </w:p>
        </w:tc>
        <w:tc>
          <w:tcPr>
            <w:tcW w:w="774" w:type="dxa"/>
            <w:tcBorders>
              <w:tl2br w:val="nil"/>
              <w:tr2bl w:val="nil"/>
            </w:tcBorders>
            <w:vAlign w:val="center"/>
          </w:tcPr>
          <w:p w14:paraId="7496E7D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10.28</w:t>
            </w:r>
          </w:p>
        </w:tc>
        <w:tc>
          <w:tcPr>
            <w:tcW w:w="825" w:type="dxa"/>
            <w:tcBorders>
              <w:tl2br w:val="nil"/>
              <w:tr2bl w:val="nil"/>
            </w:tcBorders>
            <w:vAlign w:val="center"/>
          </w:tcPr>
          <w:p w14:paraId="14E775A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19.17</w:t>
            </w:r>
          </w:p>
        </w:tc>
        <w:tc>
          <w:tcPr>
            <w:tcW w:w="861" w:type="dxa"/>
            <w:tcBorders>
              <w:tl2br w:val="nil"/>
              <w:tr2bl w:val="nil"/>
            </w:tcBorders>
            <w:vAlign w:val="center"/>
          </w:tcPr>
          <w:p w14:paraId="0FEAF682">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15.69</w:t>
            </w:r>
          </w:p>
        </w:tc>
        <w:tc>
          <w:tcPr>
            <w:tcW w:w="825" w:type="dxa"/>
            <w:tcBorders>
              <w:tl2br w:val="nil"/>
              <w:tr2bl w:val="nil"/>
            </w:tcBorders>
            <w:vAlign w:val="center"/>
          </w:tcPr>
          <w:p w14:paraId="1D78F50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14.58</w:t>
            </w:r>
          </w:p>
        </w:tc>
        <w:tc>
          <w:tcPr>
            <w:tcW w:w="916" w:type="dxa"/>
            <w:tcBorders>
              <w:tl2br w:val="nil"/>
              <w:tr2bl w:val="nil"/>
            </w:tcBorders>
            <w:vAlign w:val="center"/>
          </w:tcPr>
          <w:p w14:paraId="4723C3E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3.70</w:t>
            </w:r>
          </w:p>
        </w:tc>
        <w:tc>
          <w:tcPr>
            <w:tcW w:w="658" w:type="dxa"/>
            <w:tcBorders>
              <w:tl2br w:val="nil"/>
              <w:tr2bl w:val="nil"/>
            </w:tcBorders>
            <w:vAlign w:val="center"/>
          </w:tcPr>
          <w:p w14:paraId="789B90E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1.85</w:t>
            </w:r>
          </w:p>
        </w:tc>
        <w:tc>
          <w:tcPr>
            <w:tcW w:w="841" w:type="dxa"/>
            <w:tcBorders>
              <w:tl2br w:val="nil"/>
              <w:tr2bl w:val="nil"/>
            </w:tcBorders>
            <w:vAlign w:val="center"/>
          </w:tcPr>
          <w:p w14:paraId="565223E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2.78</w:t>
            </w:r>
          </w:p>
        </w:tc>
        <w:tc>
          <w:tcPr>
            <w:tcW w:w="672" w:type="dxa"/>
            <w:tcBorders>
              <w:tl2br w:val="nil"/>
              <w:tr2bl w:val="nil"/>
            </w:tcBorders>
            <w:vAlign w:val="center"/>
          </w:tcPr>
          <w:p w14:paraId="2F9053A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0.14</w:t>
            </w:r>
          </w:p>
        </w:tc>
      </w:tr>
      <w:tr w14:paraId="1F8492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26" w:hRule="atLeast"/>
        </w:trPr>
        <w:tc>
          <w:tcPr>
            <w:tcW w:w="922" w:type="dxa"/>
            <w:tcBorders>
              <w:tl2br w:val="nil"/>
              <w:tr2bl w:val="nil"/>
            </w:tcBorders>
            <w:vAlign w:val="center"/>
          </w:tcPr>
          <w:p w14:paraId="5EAABA99">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全年</w:t>
            </w:r>
          </w:p>
        </w:tc>
        <w:tc>
          <w:tcPr>
            <w:tcW w:w="774" w:type="dxa"/>
            <w:tcBorders>
              <w:tl2br w:val="nil"/>
              <w:tr2bl w:val="nil"/>
            </w:tcBorders>
            <w:vAlign w:val="center"/>
          </w:tcPr>
          <w:p w14:paraId="46450FE1">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5.96</w:t>
            </w:r>
          </w:p>
        </w:tc>
        <w:tc>
          <w:tcPr>
            <w:tcW w:w="730" w:type="dxa"/>
            <w:tcBorders>
              <w:tl2br w:val="nil"/>
              <w:tr2bl w:val="nil"/>
            </w:tcBorders>
            <w:vAlign w:val="center"/>
          </w:tcPr>
          <w:p w14:paraId="2B8AFB73">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3.95</w:t>
            </w:r>
          </w:p>
        </w:tc>
        <w:tc>
          <w:tcPr>
            <w:tcW w:w="656" w:type="dxa"/>
            <w:tcBorders>
              <w:tl2br w:val="nil"/>
              <w:tr2bl w:val="nil"/>
            </w:tcBorders>
            <w:vAlign w:val="center"/>
          </w:tcPr>
          <w:p w14:paraId="604AD03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4.54</w:t>
            </w:r>
          </w:p>
        </w:tc>
        <w:tc>
          <w:tcPr>
            <w:tcW w:w="691" w:type="dxa"/>
            <w:tcBorders>
              <w:tl2br w:val="nil"/>
              <w:tr2bl w:val="nil"/>
            </w:tcBorders>
            <w:vAlign w:val="center"/>
          </w:tcPr>
          <w:p w14:paraId="6BD735F4">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5.14</w:t>
            </w:r>
          </w:p>
        </w:tc>
        <w:tc>
          <w:tcPr>
            <w:tcW w:w="664" w:type="dxa"/>
            <w:tcBorders>
              <w:tl2br w:val="nil"/>
              <w:tr2bl w:val="nil"/>
            </w:tcBorders>
            <w:vAlign w:val="center"/>
          </w:tcPr>
          <w:p w14:paraId="3983FA5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5.19</w:t>
            </w:r>
          </w:p>
        </w:tc>
        <w:tc>
          <w:tcPr>
            <w:tcW w:w="814" w:type="dxa"/>
            <w:tcBorders>
              <w:tl2br w:val="nil"/>
              <w:tr2bl w:val="nil"/>
            </w:tcBorders>
            <w:vAlign w:val="center"/>
          </w:tcPr>
          <w:p w14:paraId="6C0A7E9E">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2.24</w:t>
            </w:r>
          </w:p>
        </w:tc>
        <w:tc>
          <w:tcPr>
            <w:tcW w:w="658" w:type="dxa"/>
            <w:tcBorders>
              <w:tl2br w:val="nil"/>
              <w:tr2bl w:val="nil"/>
            </w:tcBorders>
            <w:vAlign w:val="center"/>
          </w:tcPr>
          <w:p w14:paraId="38EAF686">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1.91</w:t>
            </w:r>
          </w:p>
        </w:tc>
        <w:tc>
          <w:tcPr>
            <w:tcW w:w="658" w:type="dxa"/>
            <w:tcBorders>
              <w:tl2br w:val="nil"/>
              <w:tr2bl w:val="nil"/>
            </w:tcBorders>
            <w:vAlign w:val="center"/>
          </w:tcPr>
          <w:p w14:paraId="62291DE5">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1.88</w:t>
            </w:r>
          </w:p>
        </w:tc>
        <w:tc>
          <w:tcPr>
            <w:tcW w:w="773" w:type="dxa"/>
            <w:tcBorders>
              <w:tl2br w:val="nil"/>
              <w:tr2bl w:val="nil"/>
            </w:tcBorders>
            <w:vAlign w:val="center"/>
          </w:tcPr>
          <w:p w14:paraId="12A3C10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6.68</w:t>
            </w:r>
          </w:p>
        </w:tc>
        <w:tc>
          <w:tcPr>
            <w:tcW w:w="774" w:type="dxa"/>
            <w:tcBorders>
              <w:tl2br w:val="nil"/>
              <w:tr2bl w:val="nil"/>
            </w:tcBorders>
            <w:vAlign w:val="center"/>
          </w:tcPr>
          <w:p w14:paraId="210E7FB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11.30</w:t>
            </w:r>
          </w:p>
        </w:tc>
        <w:tc>
          <w:tcPr>
            <w:tcW w:w="825" w:type="dxa"/>
            <w:tcBorders>
              <w:tl2br w:val="nil"/>
              <w:tr2bl w:val="nil"/>
            </w:tcBorders>
            <w:vAlign w:val="center"/>
          </w:tcPr>
          <w:p w14:paraId="1557CBBD">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14.14</w:t>
            </w:r>
          </w:p>
        </w:tc>
        <w:tc>
          <w:tcPr>
            <w:tcW w:w="861" w:type="dxa"/>
            <w:tcBorders>
              <w:tl2br w:val="nil"/>
              <w:tr2bl w:val="nil"/>
            </w:tcBorders>
            <w:vAlign w:val="center"/>
          </w:tcPr>
          <w:p w14:paraId="40942E07">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13.49</w:t>
            </w:r>
          </w:p>
        </w:tc>
        <w:tc>
          <w:tcPr>
            <w:tcW w:w="825" w:type="dxa"/>
            <w:tcBorders>
              <w:tl2br w:val="nil"/>
              <w:tr2bl w:val="nil"/>
            </w:tcBorders>
            <w:vAlign w:val="center"/>
          </w:tcPr>
          <w:p w14:paraId="7702ADA8">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11.58</w:t>
            </w:r>
          </w:p>
        </w:tc>
        <w:tc>
          <w:tcPr>
            <w:tcW w:w="916" w:type="dxa"/>
            <w:tcBorders>
              <w:tl2br w:val="nil"/>
              <w:tr2bl w:val="nil"/>
            </w:tcBorders>
            <w:vAlign w:val="center"/>
          </w:tcPr>
          <w:p w14:paraId="442A0A7C">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5.38</w:t>
            </w:r>
          </w:p>
        </w:tc>
        <w:tc>
          <w:tcPr>
            <w:tcW w:w="658" w:type="dxa"/>
            <w:tcBorders>
              <w:tl2br w:val="nil"/>
              <w:tr2bl w:val="nil"/>
            </w:tcBorders>
            <w:vAlign w:val="center"/>
          </w:tcPr>
          <w:p w14:paraId="5EAFE01F">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3.18</w:t>
            </w:r>
          </w:p>
        </w:tc>
        <w:tc>
          <w:tcPr>
            <w:tcW w:w="841" w:type="dxa"/>
            <w:tcBorders>
              <w:tl2br w:val="nil"/>
              <w:tr2bl w:val="nil"/>
            </w:tcBorders>
            <w:vAlign w:val="center"/>
          </w:tcPr>
          <w:p w14:paraId="3E7E7120">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3.22</w:t>
            </w:r>
          </w:p>
        </w:tc>
        <w:tc>
          <w:tcPr>
            <w:tcW w:w="672" w:type="dxa"/>
            <w:tcBorders>
              <w:tl2br w:val="nil"/>
              <w:tr2bl w:val="nil"/>
            </w:tcBorders>
            <w:vAlign w:val="center"/>
          </w:tcPr>
          <w:p w14:paraId="5C02D7BA">
            <w:pPr>
              <w:pStyle w:val="146"/>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0.22</w:t>
            </w:r>
          </w:p>
        </w:tc>
      </w:tr>
    </w:tbl>
    <w:p w14:paraId="1DEAC7B9">
      <w:pPr>
        <w:pStyle w:val="19"/>
        <w:rPr>
          <w:color w:val="auto"/>
          <w:highlight w:val="none"/>
        </w:rPr>
        <w:sectPr>
          <w:headerReference r:id="rId26" w:type="default"/>
          <w:footerReference r:id="rId27" w:type="default"/>
          <w:pgSz w:w="16838" w:h="11906" w:orient="landscape"/>
          <w:pgMar w:top="1797" w:right="1440" w:bottom="1797" w:left="1440" w:header="992" w:footer="992" w:gutter="0"/>
          <w:pgBorders>
            <w:top w:val="none" w:sz="0" w:space="0"/>
            <w:left w:val="none" w:sz="0" w:space="0"/>
            <w:bottom w:val="none" w:sz="0" w:space="0"/>
            <w:right w:val="none" w:sz="0" w:space="0"/>
          </w:pgBorders>
          <w:pgNumType w:fmt="decimal"/>
          <w:cols w:space="720" w:num="1"/>
          <w:docGrid w:type="lines" w:linePitch="312" w:charSpace="0"/>
        </w:sectPr>
      </w:pPr>
    </w:p>
    <w:p w14:paraId="7451E35C">
      <w:pPr>
        <w:pStyle w:val="19"/>
        <w:rPr>
          <w:color w:val="auto"/>
          <w:highlight w:val="none"/>
        </w:rPr>
      </w:pPr>
    </w:p>
    <w:p w14:paraId="26F01D6A">
      <w:pPr>
        <w:spacing w:before="180" w:line="11501" w:lineRule="exact"/>
        <w:ind w:firstLine="202"/>
        <w:jc w:val="center"/>
        <w:rPr>
          <w:rFonts w:hint="default" w:ascii="Times New Roman" w:hAnsi="Times New Roman" w:eastAsia="黑体" w:cs="Times New Roman"/>
          <w:b w:val="0"/>
          <w:bCs w:val="0"/>
          <w:color w:val="auto"/>
          <w:spacing w:val="-3"/>
          <w:sz w:val="24"/>
          <w:szCs w:val="24"/>
          <w:highlight w:val="none"/>
        </w:rPr>
      </w:pPr>
      <w:r>
        <w:rPr>
          <w:rFonts w:hint="default" w:ascii="Times New Roman" w:hAnsi="Times New Roman" w:eastAsia="黑体" w:cs="Times New Roman"/>
          <w:b w:val="0"/>
          <w:bCs w:val="0"/>
          <w:color w:val="auto"/>
          <w:highlight w:val="none"/>
        </w:rPr>
        <w:drawing>
          <wp:anchor distT="0" distB="0" distL="114300" distR="114300" simplePos="0" relativeHeight="251697152" behindDoc="0" locked="0" layoutInCell="1" allowOverlap="1">
            <wp:simplePos x="0" y="0"/>
            <wp:positionH relativeFrom="column">
              <wp:posOffset>712470</wp:posOffset>
            </wp:positionH>
            <wp:positionV relativeFrom="paragraph">
              <wp:posOffset>-85090</wp:posOffset>
            </wp:positionV>
            <wp:extent cx="3885565" cy="5501640"/>
            <wp:effectExtent l="0" t="0" r="635" b="3810"/>
            <wp:wrapNone/>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70"/>
                    <a:stretch>
                      <a:fillRect/>
                    </a:stretch>
                  </pic:blipFill>
                  <pic:spPr>
                    <a:xfrm>
                      <a:off x="0" y="0"/>
                      <a:ext cx="3885565" cy="5501640"/>
                    </a:xfrm>
                    <a:prstGeom prst="rect">
                      <a:avLst/>
                    </a:prstGeom>
                    <a:noFill/>
                    <a:ln>
                      <a:noFill/>
                    </a:ln>
                  </pic:spPr>
                </pic:pic>
              </a:graphicData>
            </a:graphic>
          </wp:anchor>
        </w:drawing>
      </w:r>
      <w:r>
        <w:rPr>
          <w:rFonts w:hint="default" w:ascii="Times New Roman" w:hAnsi="Times New Roman" w:eastAsia="黑体" w:cs="Times New Roman"/>
          <w:b w:val="0"/>
          <w:bCs w:val="0"/>
          <w:color w:val="auto"/>
          <w:spacing w:val="-2"/>
          <w:sz w:val="24"/>
          <w:szCs w:val="24"/>
          <w:highlight w:val="none"/>
        </w:rPr>
        <w:t>图</w:t>
      </w:r>
      <w:r>
        <w:rPr>
          <w:rFonts w:hint="default" w:ascii="Times New Roman" w:hAnsi="Times New Roman" w:eastAsia="黑体" w:cs="Times New Roman"/>
          <w:b w:val="0"/>
          <w:bCs w:val="0"/>
          <w:color w:val="auto"/>
          <w:spacing w:val="-52"/>
          <w:sz w:val="24"/>
          <w:szCs w:val="24"/>
          <w:highlight w:val="none"/>
        </w:rPr>
        <w:t xml:space="preserve"> </w:t>
      </w:r>
      <w:r>
        <w:rPr>
          <w:rFonts w:hint="default" w:ascii="Times New Roman" w:hAnsi="Times New Roman" w:eastAsia="黑体" w:cs="Times New Roman"/>
          <w:b w:val="0"/>
          <w:bCs w:val="0"/>
          <w:color w:val="auto"/>
          <w:spacing w:val="-2"/>
          <w:sz w:val="24"/>
          <w:szCs w:val="24"/>
          <w:highlight w:val="none"/>
          <w:lang w:val="en-US" w:eastAsia="zh-CN"/>
        </w:rPr>
        <w:t>5-2-6</w:t>
      </w:r>
      <w:r>
        <w:rPr>
          <w:rFonts w:hint="default" w:ascii="Times New Roman" w:hAnsi="Times New Roman" w:eastAsia="黑体" w:cs="Times New Roman"/>
          <w:b w:val="0"/>
          <w:bCs w:val="0"/>
          <w:color w:val="auto"/>
          <w:spacing w:val="-2"/>
          <w:sz w:val="24"/>
          <w:szCs w:val="24"/>
          <w:highlight w:val="none"/>
        </w:rPr>
        <w:t xml:space="preserve">      2025年评价区域各月、季及年均风</w:t>
      </w:r>
      <w:r>
        <w:rPr>
          <w:rFonts w:hint="default" w:ascii="Times New Roman" w:hAnsi="Times New Roman" w:eastAsia="黑体" w:cs="Times New Roman"/>
          <w:b w:val="0"/>
          <w:bCs w:val="0"/>
          <w:color w:val="auto"/>
          <w:spacing w:val="-3"/>
          <w:sz w:val="24"/>
          <w:szCs w:val="24"/>
          <w:highlight w:val="none"/>
        </w:rPr>
        <w:t>频玫瑰图</w:t>
      </w:r>
    </w:p>
    <w:p w14:paraId="61385D3E">
      <w:pPr>
        <w:pStyle w:val="38"/>
        <w:rPr>
          <w:rFonts w:hint="default"/>
          <w:color w:val="auto"/>
          <w:highlight w:val="none"/>
          <w:lang w:val="en-US" w:eastAsia="zh-CN"/>
        </w:rPr>
      </w:pPr>
    </w:p>
    <w:p w14:paraId="36FAD981">
      <w:pPr>
        <w:rPr>
          <w:rFonts w:hint="default" w:ascii="宋体" w:hAnsi="宋体" w:eastAsia="宋体" w:cs="宋体"/>
          <w:color w:val="auto"/>
          <w:spacing w:val="3"/>
          <w:sz w:val="20"/>
          <w:szCs w:val="20"/>
          <w:highlight w:val="none"/>
          <w:lang w:val="en-US" w:eastAsia="zh-CN"/>
        </w:rPr>
      </w:pPr>
    </w:p>
    <w:p w14:paraId="05788F2B">
      <w:pPr>
        <w:rPr>
          <w:rFonts w:hint="default" w:ascii="宋体" w:hAnsi="宋体" w:eastAsia="宋体" w:cs="宋体"/>
          <w:color w:val="auto"/>
          <w:spacing w:val="3"/>
          <w:sz w:val="20"/>
          <w:szCs w:val="20"/>
          <w:highlight w:val="none"/>
          <w:lang w:val="en-US" w:eastAsia="zh-CN"/>
        </w:rPr>
      </w:pPr>
    </w:p>
    <w:p w14:paraId="350D2470">
      <w:pPr>
        <w:rPr>
          <w:rFonts w:hint="default" w:ascii="宋体" w:hAnsi="宋体" w:eastAsia="宋体" w:cs="宋体"/>
          <w:color w:val="auto"/>
          <w:spacing w:val="3"/>
          <w:sz w:val="20"/>
          <w:szCs w:val="20"/>
          <w:highlight w:val="none"/>
          <w:lang w:val="en-US" w:eastAsia="zh-CN"/>
        </w:rPr>
      </w:pPr>
    </w:p>
    <w:p w14:paraId="4E613F4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（1）预测因子及采用的标准</w:t>
      </w:r>
    </w:p>
    <w:p w14:paraId="4604B386">
      <w:pPr>
        <w:pStyle w:val="67"/>
        <w:keepNext w:val="0"/>
        <w:keepLines w:val="0"/>
        <w:pageBreakBefore w:val="0"/>
        <w:widowControl w:val="0"/>
        <w:kinsoku/>
        <w:wordWrap/>
        <w:overflowPunct/>
        <w:topLinePunct w:val="0"/>
        <w:autoSpaceDE w:val="0"/>
        <w:autoSpaceDN/>
        <w:bidi w:val="0"/>
        <w:adjustRightInd w:val="0"/>
        <w:snapToGrid w:val="0"/>
        <w:ind w:firstLine="48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预测因子选择牛舍、堆</w:t>
      </w:r>
      <w:r>
        <w:rPr>
          <w:rFonts w:hint="default" w:ascii="Times New Roman" w:hAnsi="Times New Roman" w:eastAsia="宋体" w:cs="Times New Roman"/>
          <w:color w:val="auto"/>
          <w:highlight w:val="none"/>
          <w:lang w:val="en-US" w:eastAsia="zh-CN"/>
        </w:rPr>
        <w:t>肥</w:t>
      </w:r>
      <w:r>
        <w:rPr>
          <w:rFonts w:hint="default" w:ascii="Times New Roman" w:hAnsi="Times New Roman" w:eastAsia="宋体" w:cs="Times New Roman"/>
          <w:color w:val="auto"/>
          <w:highlight w:val="none"/>
        </w:rPr>
        <w:t>间恶臭气体（NH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及H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S）。采用的标准见表5-2-</w:t>
      </w:r>
      <w:r>
        <w:rPr>
          <w:rFonts w:hint="eastAsia" w:eastAsia="宋体" w:cs="Times New Roman"/>
          <w:color w:val="auto"/>
          <w:highlight w:val="none"/>
          <w:lang w:val="en-US" w:eastAsia="zh-CN"/>
        </w:rPr>
        <w:t>13</w:t>
      </w:r>
      <w:r>
        <w:rPr>
          <w:rFonts w:hint="default" w:ascii="Times New Roman" w:hAnsi="Times New Roman" w:eastAsia="宋体" w:cs="Times New Roman"/>
          <w:color w:val="auto"/>
          <w:highlight w:val="none"/>
        </w:rPr>
        <w:t>。</w:t>
      </w:r>
    </w:p>
    <w:p w14:paraId="370825C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（2）预测模式和参数选取</w:t>
      </w:r>
    </w:p>
    <w:p w14:paraId="3EF1D0B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①预测模式</w:t>
      </w:r>
    </w:p>
    <w:p w14:paraId="032DADF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选择《大气环境影响评价技术导则》（HJ 2.2-2018）推荐的AERMOD模式对项目的大气环境影响进行预测。AERMOD 是一个稳态烟羽扩散模式，可基于大气边界层数据特征模拟点源、面源、体源等排放出的污染物在短期（小时平均、日平均）、长期（年平均）的浓度分布，适用于农村或城市地区、简单或复杂地形。AERMOD考虑了建筑物尾流的影响，即烟羽下洗。模式使用每小时连续预处理气象数据模拟大于等于1小时平均时间的浓度分布。AERMOD包括两个预处理模式，即AERMET气象预处理和AERMAP地形预处理模式。AERMOD适用于下列条件：评价范围小于等于50km的一级、二级评价；简单和复杂地形，农村或城市地区；模拟点源、面源和体源的输送和扩散；地面、近地面和有高度的污染源的排放；模拟1小时到年平均时间的浓度分布。</w:t>
      </w:r>
      <w:r>
        <w:rPr>
          <w:rFonts w:hint="eastAsia" w:ascii="Times New Roman" w:hAnsi="Times New Roman" w:eastAsia="宋体" w:cs="Times New Roman"/>
          <w:color w:val="auto"/>
          <w:highlight w:val="none"/>
          <w:lang w:val="en-US" w:eastAsia="zh-CN"/>
        </w:rPr>
        <w:t>对</w:t>
      </w:r>
      <w:r>
        <w:rPr>
          <w:rFonts w:hint="default" w:ascii="Times New Roman" w:hAnsi="Times New Roman" w:eastAsia="宋体" w:cs="Times New Roman"/>
          <w:color w:val="auto"/>
          <w:highlight w:val="none"/>
        </w:rPr>
        <w:t>本项目产生的所有有组织污染物进行预测，评价因子和评价标准见表5-2-</w:t>
      </w:r>
      <w:r>
        <w:rPr>
          <w:rFonts w:hint="eastAsia" w:eastAsia="宋体" w:cs="Times New Roman"/>
          <w:color w:val="auto"/>
          <w:highlight w:val="none"/>
          <w:lang w:val="en-US" w:eastAsia="zh-CN"/>
        </w:rPr>
        <w:t>13</w:t>
      </w:r>
      <w:r>
        <w:rPr>
          <w:rFonts w:hint="default" w:ascii="Times New Roman" w:hAnsi="Times New Roman" w:eastAsia="宋体" w:cs="Times New Roman"/>
          <w:color w:val="auto"/>
          <w:highlight w:val="none"/>
        </w:rPr>
        <w:t>，污染源参数见表5-2-</w:t>
      </w:r>
      <w:r>
        <w:rPr>
          <w:rFonts w:hint="eastAsia" w:eastAsia="宋体" w:cs="Times New Roman"/>
          <w:color w:val="auto"/>
          <w:highlight w:val="none"/>
          <w:lang w:val="en-US" w:eastAsia="zh-CN"/>
        </w:rPr>
        <w:t>14</w:t>
      </w:r>
      <w:r>
        <w:rPr>
          <w:rFonts w:hint="default" w:ascii="Times New Roman" w:hAnsi="Times New Roman" w:eastAsia="宋体" w:cs="Times New Roman"/>
          <w:color w:val="auto"/>
          <w:highlight w:val="none"/>
        </w:rPr>
        <w:t>至表5-2-</w:t>
      </w:r>
      <w:r>
        <w:rPr>
          <w:rFonts w:hint="eastAsia" w:eastAsia="宋体" w:cs="Times New Roman"/>
          <w:color w:val="auto"/>
          <w:highlight w:val="none"/>
          <w:lang w:val="en-US" w:eastAsia="zh-CN"/>
        </w:rPr>
        <w:t>16</w:t>
      </w:r>
      <w:r>
        <w:rPr>
          <w:rFonts w:hint="default" w:ascii="Times New Roman" w:hAnsi="Times New Roman" w:eastAsia="宋体" w:cs="Times New Roman"/>
          <w:color w:val="auto"/>
          <w:highlight w:val="none"/>
        </w:rPr>
        <w:t>。</w:t>
      </w:r>
    </w:p>
    <w:p w14:paraId="353FFB7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13</w:t>
      </w:r>
      <w:r>
        <w:rPr>
          <w:rFonts w:hint="default" w:ascii="Times New Roman" w:hAnsi="Times New Roman" w:cs="Times New Roman"/>
          <w:color w:val="auto"/>
          <w:highlight w:val="none"/>
        </w:rPr>
        <w:t>评价因子和评价标准表</w:t>
      </w:r>
    </w:p>
    <w:tbl>
      <w:tblPr>
        <w:tblStyle w:val="48"/>
        <w:tblW w:w="48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751"/>
        <w:gridCol w:w="1750"/>
        <w:gridCol w:w="3148"/>
      </w:tblGrid>
      <w:tr w14:paraId="442B7D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47EAC6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评价因子</w:t>
            </w:r>
          </w:p>
        </w:tc>
        <w:tc>
          <w:tcPr>
            <w:tcW w:w="1081" w:type="pct"/>
            <w:vAlign w:val="center"/>
          </w:tcPr>
          <w:p w14:paraId="7176117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平均时段</w:t>
            </w:r>
          </w:p>
        </w:tc>
        <w:tc>
          <w:tcPr>
            <w:tcW w:w="1080" w:type="pct"/>
            <w:vAlign w:val="center"/>
          </w:tcPr>
          <w:p w14:paraId="2DDA07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943" w:type="pct"/>
            <w:vAlign w:val="center"/>
          </w:tcPr>
          <w:p w14:paraId="3F086FF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14:paraId="0CCCE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0B878D0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1081" w:type="pct"/>
            <w:vAlign w:val="center"/>
          </w:tcPr>
          <w:p w14:paraId="7C8455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w:t>
            </w:r>
          </w:p>
        </w:tc>
        <w:tc>
          <w:tcPr>
            <w:tcW w:w="1080" w:type="pct"/>
            <w:vAlign w:val="center"/>
          </w:tcPr>
          <w:p w14:paraId="1A911FB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w:t>
            </w:r>
          </w:p>
        </w:tc>
        <w:tc>
          <w:tcPr>
            <w:tcW w:w="1943" w:type="pct"/>
            <w:vMerge w:val="restart"/>
            <w:vAlign w:val="center"/>
          </w:tcPr>
          <w:p w14:paraId="5344765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 大气环境》（HJ2.2-2018）附录D</w:t>
            </w:r>
          </w:p>
        </w:tc>
      </w:tr>
      <w:tr w14:paraId="1DF42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vAlign w:val="center"/>
          </w:tcPr>
          <w:p w14:paraId="78FC74B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1081" w:type="pct"/>
            <w:vAlign w:val="center"/>
          </w:tcPr>
          <w:p w14:paraId="5AC45A2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w:t>
            </w:r>
          </w:p>
        </w:tc>
        <w:tc>
          <w:tcPr>
            <w:tcW w:w="1080" w:type="pct"/>
            <w:vAlign w:val="center"/>
          </w:tcPr>
          <w:p w14:paraId="15DD492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943" w:type="pct"/>
            <w:vMerge w:val="continue"/>
            <w:vAlign w:val="center"/>
          </w:tcPr>
          <w:p w14:paraId="74A7DA9F">
            <w:pPr>
              <w:pStyle w:val="146"/>
              <w:rPr>
                <w:rFonts w:hint="default" w:ascii="Times New Roman" w:hAnsi="Times New Roman" w:eastAsia="宋体" w:cs="Times New Roman"/>
                <w:color w:val="auto"/>
                <w:highlight w:val="none"/>
              </w:rPr>
            </w:pPr>
          </w:p>
        </w:tc>
      </w:tr>
    </w:tbl>
    <w:p w14:paraId="49010F8B">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14</w:t>
      </w:r>
      <w:r>
        <w:rPr>
          <w:rFonts w:hint="default" w:ascii="Times New Roman" w:hAnsi="Times New Roman" w:cs="Times New Roman"/>
          <w:color w:val="auto"/>
          <w:highlight w:val="none"/>
        </w:rPr>
        <w:t>主要废气污染源参数一览表(点源)</w:t>
      </w:r>
    </w:p>
    <w:tbl>
      <w:tblPr>
        <w:tblStyle w:val="47"/>
        <w:tblpPr w:leftFromText="180" w:rightFromText="180" w:vertAnchor="text" w:tblpXSpec="center" w:tblpY="1"/>
        <w:tblOverlap w:val="never"/>
        <w:tblW w:w="5058" w:type="pct"/>
        <w:tblInd w:w="-17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77"/>
        <w:gridCol w:w="888"/>
        <w:gridCol w:w="696"/>
        <w:gridCol w:w="723"/>
        <w:gridCol w:w="900"/>
        <w:gridCol w:w="654"/>
        <w:gridCol w:w="641"/>
        <w:gridCol w:w="914"/>
        <w:gridCol w:w="491"/>
        <w:gridCol w:w="714"/>
        <w:gridCol w:w="518"/>
        <w:gridCol w:w="513"/>
        <w:gridCol w:w="481"/>
      </w:tblGrid>
      <w:tr w14:paraId="2C72A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164" w:type="pct"/>
            <w:vMerge w:val="restart"/>
            <w:vAlign w:val="center"/>
          </w:tcPr>
          <w:p w14:paraId="5348D5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527" w:type="pct"/>
            <w:vMerge w:val="restart"/>
            <w:vAlign w:val="center"/>
          </w:tcPr>
          <w:p w14:paraId="66CCDC4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843" w:type="pct"/>
            <w:gridSpan w:val="2"/>
            <w:vAlign w:val="center"/>
          </w:tcPr>
          <w:p w14:paraId="6C14803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排气筒底部中心坐标</w:t>
            </w:r>
          </w:p>
        </w:tc>
        <w:tc>
          <w:tcPr>
            <w:tcW w:w="535" w:type="pct"/>
            <w:vMerge w:val="restart"/>
            <w:vAlign w:val="center"/>
          </w:tcPr>
          <w:p w14:paraId="311716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排气筒底部海拔高度（m）</w:t>
            </w:r>
          </w:p>
        </w:tc>
        <w:tc>
          <w:tcPr>
            <w:tcW w:w="388" w:type="pct"/>
            <w:vMerge w:val="restart"/>
            <w:vAlign w:val="center"/>
          </w:tcPr>
          <w:p w14:paraId="6879E8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排气筒高度（m）</w:t>
            </w:r>
          </w:p>
        </w:tc>
        <w:tc>
          <w:tcPr>
            <w:tcW w:w="381" w:type="pct"/>
            <w:vMerge w:val="restart"/>
            <w:vAlign w:val="center"/>
          </w:tcPr>
          <w:p w14:paraId="4F1A21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排气筒出口内径（m）</w:t>
            </w:r>
          </w:p>
        </w:tc>
        <w:tc>
          <w:tcPr>
            <w:tcW w:w="543" w:type="pct"/>
            <w:vMerge w:val="restart"/>
            <w:vAlign w:val="center"/>
          </w:tcPr>
          <w:p w14:paraId="03BACFF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烟气流速（m/s）</w:t>
            </w:r>
          </w:p>
        </w:tc>
        <w:tc>
          <w:tcPr>
            <w:tcW w:w="291" w:type="pct"/>
            <w:vMerge w:val="restart"/>
            <w:vAlign w:val="center"/>
          </w:tcPr>
          <w:p w14:paraId="74E446D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烟气温度</w:t>
            </w:r>
          </w:p>
          <w:p w14:paraId="39E6F7B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24" w:type="pct"/>
            <w:vMerge w:val="restart"/>
            <w:vAlign w:val="center"/>
          </w:tcPr>
          <w:p w14:paraId="0A758A5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年排放小时数（h）</w:t>
            </w:r>
          </w:p>
        </w:tc>
        <w:tc>
          <w:tcPr>
            <w:tcW w:w="307" w:type="pct"/>
            <w:vMerge w:val="restart"/>
            <w:vAlign w:val="center"/>
          </w:tcPr>
          <w:p w14:paraId="190487E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排放工况</w:t>
            </w:r>
          </w:p>
        </w:tc>
        <w:tc>
          <w:tcPr>
            <w:tcW w:w="590" w:type="pct"/>
            <w:gridSpan w:val="2"/>
            <w:vMerge w:val="restart"/>
            <w:vAlign w:val="center"/>
          </w:tcPr>
          <w:p w14:paraId="028B04B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污染物排放速率（kg/h）</w:t>
            </w:r>
          </w:p>
        </w:tc>
      </w:tr>
      <w:tr w14:paraId="1B131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2" w:hRule="atLeast"/>
        </w:trPr>
        <w:tc>
          <w:tcPr>
            <w:tcW w:w="164" w:type="pct"/>
            <w:vMerge w:val="continue"/>
            <w:vAlign w:val="center"/>
          </w:tcPr>
          <w:p w14:paraId="2D8ADD3C">
            <w:pPr>
              <w:pStyle w:val="146"/>
              <w:rPr>
                <w:rFonts w:hint="default" w:ascii="Times New Roman" w:hAnsi="Times New Roman" w:eastAsia="宋体" w:cs="Times New Roman"/>
                <w:color w:val="auto"/>
                <w:highlight w:val="none"/>
              </w:rPr>
            </w:pPr>
          </w:p>
        </w:tc>
        <w:tc>
          <w:tcPr>
            <w:tcW w:w="527" w:type="pct"/>
            <w:vMerge w:val="continue"/>
            <w:vAlign w:val="center"/>
          </w:tcPr>
          <w:p w14:paraId="74E92F0C">
            <w:pPr>
              <w:pStyle w:val="146"/>
              <w:rPr>
                <w:rFonts w:hint="default" w:ascii="Times New Roman" w:hAnsi="Times New Roman" w:eastAsia="宋体" w:cs="Times New Roman"/>
                <w:color w:val="auto"/>
                <w:highlight w:val="none"/>
              </w:rPr>
            </w:pPr>
          </w:p>
        </w:tc>
        <w:tc>
          <w:tcPr>
            <w:tcW w:w="413" w:type="pct"/>
            <w:vMerge w:val="restart"/>
            <w:vAlign w:val="center"/>
          </w:tcPr>
          <w:p w14:paraId="666F1B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经度（</w:t>
            </w:r>
            <w:r>
              <w:rPr>
                <w:rFonts w:hint="eastAsia" w:ascii="Times New Roman" w:hAnsi="Times New Roman" w:eastAsia="宋体" w:cs="Times New Roman"/>
                <w:color w:val="auto"/>
                <w:highlight w:val="none"/>
                <w:lang w:val="en-US" w:eastAsia="zh-CN"/>
              </w:rPr>
              <w:t>X</w:t>
            </w:r>
            <w:r>
              <w:rPr>
                <w:rFonts w:hint="default" w:ascii="Times New Roman" w:hAnsi="Times New Roman" w:eastAsia="宋体" w:cs="Times New Roman"/>
                <w:color w:val="auto"/>
                <w:highlight w:val="none"/>
              </w:rPr>
              <w:t>）</w:t>
            </w:r>
          </w:p>
        </w:tc>
        <w:tc>
          <w:tcPr>
            <w:tcW w:w="429" w:type="pct"/>
            <w:vMerge w:val="restart"/>
            <w:vAlign w:val="center"/>
          </w:tcPr>
          <w:p w14:paraId="0595C39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纬度（</w:t>
            </w:r>
            <w:r>
              <w:rPr>
                <w:rFonts w:hint="eastAsia" w:ascii="Times New Roman" w:hAnsi="Times New Roman" w:eastAsia="宋体" w:cs="Times New Roman"/>
                <w:color w:val="auto"/>
                <w:highlight w:val="none"/>
                <w:lang w:val="en-US" w:eastAsia="zh-CN"/>
              </w:rPr>
              <w:t>Y</w:t>
            </w:r>
            <w:r>
              <w:rPr>
                <w:rFonts w:hint="default" w:ascii="Times New Roman" w:hAnsi="Times New Roman" w:eastAsia="宋体" w:cs="Times New Roman"/>
                <w:color w:val="auto"/>
                <w:highlight w:val="none"/>
              </w:rPr>
              <w:t>）</w:t>
            </w:r>
          </w:p>
        </w:tc>
        <w:tc>
          <w:tcPr>
            <w:tcW w:w="535" w:type="pct"/>
            <w:vMerge w:val="continue"/>
            <w:vAlign w:val="center"/>
          </w:tcPr>
          <w:p w14:paraId="4BD6AE66">
            <w:pPr>
              <w:pStyle w:val="146"/>
              <w:rPr>
                <w:rFonts w:hint="default" w:ascii="Times New Roman" w:hAnsi="Times New Roman" w:eastAsia="宋体" w:cs="Times New Roman"/>
                <w:color w:val="auto"/>
                <w:highlight w:val="none"/>
              </w:rPr>
            </w:pPr>
          </w:p>
        </w:tc>
        <w:tc>
          <w:tcPr>
            <w:tcW w:w="388" w:type="pct"/>
            <w:vMerge w:val="continue"/>
            <w:vAlign w:val="center"/>
          </w:tcPr>
          <w:p w14:paraId="6CC08EB7">
            <w:pPr>
              <w:pStyle w:val="146"/>
              <w:rPr>
                <w:rFonts w:hint="default" w:ascii="Times New Roman" w:hAnsi="Times New Roman" w:eastAsia="宋体" w:cs="Times New Roman"/>
                <w:color w:val="auto"/>
                <w:highlight w:val="none"/>
              </w:rPr>
            </w:pPr>
          </w:p>
        </w:tc>
        <w:tc>
          <w:tcPr>
            <w:tcW w:w="381" w:type="pct"/>
            <w:vMerge w:val="continue"/>
            <w:vAlign w:val="center"/>
          </w:tcPr>
          <w:p w14:paraId="4BE20B9B">
            <w:pPr>
              <w:pStyle w:val="146"/>
              <w:rPr>
                <w:rFonts w:hint="default" w:ascii="Times New Roman" w:hAnsi="Times New Roman" w:eastAsia="宋体" w:cs="Times New Roman"/>
                <w:color w:val="auto"/>
                <w:highlight w:val="none"/>
              </w:rPr>
            </w:pPr>
          </w:p>
        </w:tc>
        <w:tc>
          <w:tcPr>
            <w:tcW w:w="543" w:type="pct"/>
            <w:vMerge w:val="continue"/>
            <w:vAlign w:val="center"/>
          </w:tcPr>
          <w:p w14:paraId="12764022">
            <w:pPr>
              <w:pStyle w:val="146"/>
              <w:rPr>
                <w:rFonts w:hint="default" w:ascii="Times New Roman" w:hAnsi="Times New Roman" w:eastAsia="宋体" w:cs="Times New Roman"/>
                <w:color w:val="auto"/>
                <w:highlight w:val="none"/>
              </w:rPr>
            </w:pPr>
          </w:p>
        </w:tc>
        <w:tc>
          <w:tcPr>
            <w:tcW w:w="291" w:type="pct"/>
            <w:vMerge w:val="continue"/>
            <w:vAlign w:val="center"/>
          </w:tcPr>
          <w:p w14:paraId="154CACA5">
            <w:pPr>
              <w:pStyle w:val="146"/>
              <w:rPr>
                <w:rFonts w:hint="default" w:ascii="Times New Roman" w:hAnsi="Times New Roman" w:eastAsia="宋体" w:cs="Times New Roman"/>
                <w:color w:val="auto"/>
                <w:highlight w:val="none"/>
              </w:rPr>
            </w:pPr>
          </w:p>
        </w:tc>
        <w:tc>
          <w:tcPr>
            <w:tcW w:w="424" w:type="pct"/>
            <w:vMerge w:val="continue"/>
            <w:vAlign w:val="center"/>
          </w:tcPr>
          <w:p w14:paraId="39D62428">
            <w:pPr>
              <w:pStyle w:val="146"/>
              <w:rPr>
                <w:rFonts w:hint="default" w:ascii="Times New Roman" w:hAnsi="Times New Roman" w:eastAsia="宋体" w:cs="Times New Roman"/>
                <w:color w:val="auto"/>
                <w:highlight w:val="none"/>
              </w:rPr>
            </w:pPr>
          </w:p>
        </w:tc>
        <w:tc>
          <w:tcPr>
            <w:tcW w:w="307" w:type="pct"/>
            <w:vMerge w:val="continue"/>
            <w:vAlign w:val="center"/>
          </w:tcPr>
          <w:p w14:paraId="5FA551D6">
            <w:pPr>
              <w:pStyle w:val="146"/>
              <w:rPr>
                <w:rFonts w:hint="default" w:ascii="Times New Roman" w:hAnsi="Times New Roman" w:eastAsia="宋体" w:cs="Times New Roman"/>
                <w:color w:val="auto"/>
                <w:highlight w:val="none"/>
              </w:rPr>
            </w:pPr>
          </w:p>
        </w:tc>
        <w:tc>
          <w:tcPr>
            <w:tcW w:w="590" w:type="pct"/>
            <w:gridSpan w:val="2"/>
            <w:vMerge w:val="continue"/>
            <w:vAlign w:val="center"/>
          </w:tcPr>
          <w:p w14:paraId="317C810D">
            <w:pPr>
              <w:pStyle w:val="146"/>
              <w:rPr>
                <w:rFonts w:hint="default" w:ascii="Times New Roman" w:hAnsi="Times New Roman" w:eastAsia="宋体" w:cs="Times New Roman"/>
                <w:color w:val="auto"/>
                <w:highlight w:val="none"/>
              </w:rPr>
            </w:pPr>
          </w:p>
        </w:tc>
      </w:tr>
      <w:tr w14:paraId="13F97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 w:hRule="atLeast"/>
        </w:trPr>
        <w:tc>
          <w:tcPr>
            <w:tcW w:w="164" w:type="pct"/>
            <w:vMerge w:val="continue"/>
            <w:vAlign w:val="center"/>
          </w:tcPr>
          <w:p w14:paraId="52C1A23D">
            <w:pPr>
              <w:pStyle w:val="146"/>
              <w:rPr>
                <w:rFonts w:hint="default" w:ascii="Times New Roman" w:hAnsi="Times New Roman" w:eastAsia="宋体" w:cs="Times New Roman"/>
                <w:color w:val="auto"/>
                <w:highlight w:val="none"/>
              </w:rPr>
            </w:pPr>
          </w:p>
        </w:tc>
        <w:tc>
          <w:tcPr>
            <w:tcW w:w="527" w:type="pct"/>
            <w:vMerge w:val="continue"/>
            <w:vAlign w:val="center"/>
          </w:tcPr>
          <w:p w14:paraId="48343946">
            <w:pPr>
              <w:pStyle w:val="146"/>
              <w:rPr>
                <w:rFonts w:hint="default" w:ascii="Times New Roman" w:hAnsi="Times New Roman" w:eastAsia="宋体" w:cs="Times New Roman"/>
                <w:color w:val="auto"/>
                <w:highlight w:val="none"/>
              </w:rPr>
            </w:pPr>
          </w:p>
        </w:tc>
        <w:tc>
          <w:tcPr>
            <w:tcW w:w="413" w:type="pct"/>
            <w:vMerge w:val="continue"/>
            <w:vAlign w:val="center"/>
          </w:tcPr>
          <w:p w14:paraId="7A4EAE60">
            <w:pPr>
              <w:pStyle w:val="146"/>
              <w:rPr>
                <w:rFonts w:hint="default" w:ascii="Times New Roman" w:hAnsi="Times New Roman" w:eastAsia="宋体" w:cs="Times New Roman"/>
                <w:color w:val="auto"/>
                <w:highlight w:val="none"/>
              </w:rPr>
            </w:pPr>
          </w:p>
        </w:tc>
        <w:tc>
          <w:tcPr>
            <w:tcW w:w="429" w:type="pct"/>
            <w:vMerge w:val="continue"/>
            <w:vAlign w:val="center"/>
          </w:tcPr>
          <w:p w14:paraId="1D9450F9">
            <w:pPr>
              <w:pStyle w:val="146"/>
              <w:rPr>
                <w:rFonts w:hint="default" w:ascii="Times New Roman" w:hAnsi="Times New Roman" w:eastAsia="宋体" w:cs="Times New Roman"/>
                <w:color w:val="auto"/>
                <w:highlight w:val="none"/>
              </w:rPr>
            </w:pPr>
          </w:p>
        </w:tc>
        <w:tc>
          <w:tcPr>
            <w:tcW w:w="535" w:type="pct"/>
            <w:vMerge w:val="continue"/>
            <w:vAlign w:val="center"/>
          </w:tcPr>
          <w:p w14:paraId="0869911E">
            <w:pPr>
              <w:pStyle w:val="146"/>
              <w:rPr>
                <w:rFonts w:hint="default" w:ascii="Times New Roman" w:hAnsi="Times New Roman" w:eastAsia="宋体" w:cs="Times New Roman"/>
                <w:color w:val="auto"/>
                <w:highlight w:val="none"/>
              </w:rPr>
            </w:pPr>
          </w:p>
        </w:tc>
        <w:tc>
          <w:tcPr>
            <w:tcW w:w="388" w:type="pct"/>
            <w:vMerge w:val="continue"/>
            <w:vAlign w:val="center"/>
          </w:tcPr>
          <w:p w14:paraId="56B66DFD">
            <w:pPr>
              <w:pStyle w:val="146"/>
              <w:rPr>
                <w:rFonts w:hint="default" w:ascii="Times New Roman" w:hAnsi="Times New Roman" w:eastAsia="宋体" w:cs="Times New Roman"/>
                <w:color w:val="auto"/>
                <w:highlight w:val="none"/>
              </w:rPr>
            </w:pPr>
          </w:p>
        </w:tc>
        <w:tc>
          <w:tcPr>
            <w:tcW w:w="381" w:type="pct"/>
            <w:vMerge w:val="continue"/>
            <w:vAlign w:val="center"/>
          </w:tcPr>
          <w:p w14:paraId="49B67EA5">
            <w:pPr>
              <w:pStyle w:val="146"/>
              <w:rPr>
                <w:rFonts w:hint="default" w:ascii="Times New Roman" w:hAnsi="Times New Roman" w:eastAsia="宋体" w:cs="Times New Roman"/>
                <w:color w:val="auto"/>
                <w:highlight w:val="none"/>
              </w:rPr>
            </w:pPr>
          </w:p>
        </w:tc>
        <w:tc>
          <w:tcPr>
            <w:tcW w:w="543" w:type="pct"/>
            <w:vMerge w:val="continue"/>
            <w:vAlign w:val="center"/>
          </w:tcPr>
          <w:p w14:paraId="0D96E979">
            <w:pPr>
              <w:pStyle w:val="146"/>
              <w:rPr>
                <w:rFonts w:hint="default" w:ascii="Times New Roman" w:hAnsi="Times New Roman" w:eastAsia="宋体" w:cs="Times New Roman"/>
                <w:color w:val="auto"/>
                <w:highlight w:val="none"/>
              </w:rPr>
            </w:pPr>
          </w:p>
        </w:tc>
        <w:tc>
          <w:tcPr>
            <w:tcW w:w="291" w:type="pct"/>
            <w:vMerge w:val="continue"/>
            <w:vAlign w:val="center"/>
          </w:tcPr>
          <w:p w14:paraId="7B6D6C53">
            <w:pPr>
              <w:pStyle w:val="146"/>
              <w:rPr>
                <w:rFonts w:hint="default" w:ascii="Times New Roman" w:hAnsi="Times New Roman" w:eastAsia="宋体" w:cs="Times New Roman"/>
                <w:color w:val="auto"/>
                <w:highlight w:val="none"/>
              </w:rPr>
            </w:pPr>
          </w:p>
        </w:tc>
        <w:tc>
          <w:tcPr>
            <w:tcW w:w="424" w:type="pct"/>
            <w:vMerge w:val="continue"/>
            <w:vAlign w:val="center"/>
          </w:tcPr>
          <w:p w14:paraId="4ABD78BE">
            <w:pPr>
              <w:pStyle w:val="146"/>
              <w:rPr>
                <w:rFonts w:hint="default" w:ascii="Times New Roman" w:hAnsi="Times New Roman" w:eastAsia="宋体" w:cs="Times New Roman"/>
                <w:color w:val="auto"/>
                <w:highlight w:val="none"/>
              </w:rPr>
            </w:pPr>
          </w:p>
        </w:tc>
        <w:tc>
          <w:tcPr>
            <w:tcW w:w="307" w:type="pct"/>
            <w:vMerge w:val="continue"/>
            <w:vAlign w:val="center"/>
          </w:tcPr>
          <w:p w14:paraId="03CC1FD0">
            <w:pPr>
              <w:pStyle w:val="146"/>
              <w:rPr>
                <w:rFonts w:hint="default" w:ascii="Times New Roman" w:hAnsi="Times New Roman" w:eastAsia="宋体" w:cs="Times New Roman"/>
                <w:color w:val="auto"/>
                <w:highlight w:val="none"/>
              </w:rPr>
            </w:pPr>
          </w:p>
        </w:tc>
        <w:tc>
          <w:tcPr>
            <w:tcW w:w="304" w:type="pct"/>
            <w:vAlign w:val="center"/>
          </w:tcPr>
          <w:p w14:paraId="4E1F1A5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285" w:type="pct"/>
            <w:vAlign w:val="center"/>
          </w:tcPr>
          <w:p w14:paraId="3C4C905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5A1AD7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trPr>
        <w:tc>
          <w:tcPr>
            <w:tcW w:w="164" w:type="pct"/>
            <w:vAlign w:val="center"/>
          </w:tcPr>
          <w:p w14:paraId="7700CB7B">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DA001</w:t>
            </w:r>
          </w:p>
        </w:tc>
        <w:tc>
          <w:tcPr>
            <w:tcW w:w="527" w:type="pct"/>
            <w:vAlign w:val="center"/>
          </w:tcPr>
          <w:p w14:paraId="500F8D03">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堆肥间排气筒</w:t>
            </w:r>
          </w:p>
        </w:tc>
        <w:tc>
          <w:tcPr>
            <w:tcW w:w="413" w:type="pct"/>
            <w:vAlign w:val="center"/>
          </w:tcPr>
          <w:p w14:paraId="4EEE4A7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-135</w:t>
            </w:r>
          </w:p>
        </w:tc>
        <w:tc>
          <w:tcPr>
            <w:tcW w:w="429" w:type="pct"/>
            <w:vAlign w:val="center"/>
          </w:tcPr>
          <w:p w14:paraId="49272C40">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-81</w:t>
            </w:r>
          </w:p>
        </w:tc>
        <w:tc>
          <w:tcPr>
            <w:tcW w:w="535" w:type="pct"/>
            <w:vAlign w:val="center"/>
          </w:tcPr>
          <w:p w14:paraId="52C22DA8">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332</w:t>
            </w:r>
          </w:p>
        </w:tc>
        <w:tc>
          <w:tcPr>
            <w:tcW w:w="388" w:type="pct"/>
            <w:vAlign w:val="center"/>
          </w:tcPr>
          <w:p w14:paraId="6EFC202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381" w:type="pct"/>
            <w:vAlign w:val="center"/>
          </w:tcPr>
          <w:p w14:paraId="3D65CC3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0</w:t>
            </w:r>
          </w:p>
        </w:tc>
        <w:tc>
          <w:tcPr>
            <w:tcW w:w="543" w:type="pct"/>
            <w:vAlign w:val="center"/>
          </w:tcPr>
          <w:p w14:paraId="5F6477C0">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w:t>
            </w:r>
          </w:p>
        </w:tc>
        <w:tc>
          <w:tcPr>
            <w:tcW w:w="291" w:type="pct"/>
            <w:vAlign w:val="center"/>
          </w:tcPr>
          <w:p w14:paraId="71EFA082">
            <w:pPr>
              <w:pStyle w:val="146"/>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w:t>
            </w:r>
            <w:r>
              <w:rPr>
                <w:rFonts w:hint="eastAsia" w:ascii="Times New Roman" w:hAnsi="Times New Roman" w:eastAsia="宋体" w:cs="Times New Roman"/>
                <w:color w:val="auto"/>
                <w:highlight w:val="none"/>
                <w:lang w:val="en-US" w:eastAsia="zh-CN"/>
              </w:rPr>
              <w:t>5</w:t>
            </w:r>
          </w:p>
        </w:tc>
        <w:tc>
          <w:tcPr>
            <w:tcW w:w="424" w:type="pct"/>
            <w:vAlign w:val="center"/>
          </w:tcPr>
          <w:p w14:paraId="61041F0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07" w:type="pct"/>
            <w:vAlign w:val="center"/>
          </w:tcPr>
          <w:p w14:paraId="15E9B80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正常排放工况</w:t>
            </w:r>
          </w:p>
        </w:tc>
        <w:tc>
          <w:tcPr>
            <w:tcW w:w="304" w:type="pct"/>
            <w:shd w:val="clear" w:color="auto" w:fill="auto"/>
            <w:vAlign w:val="center"/>
          </w:tcPr>
          <w:p w14:paraId="0261CE39">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lang w:val="en-US" w:eastAsia="zh-CN"/>
              </w:rPr>
              <w:t>0</w:t>
            </w:r>
            <w:r>
              <w:rPr>
                <w:rFonts w:hint="eastAsia" w:eastAsia="宋体" w:cs="Times New Roman"/>
                <w:color w:val="auto"/>
                <w:highlight w:val="none"/>
                <w:lang w:val="en-US" w:eastAsia="zh-CN"/>
              </w:rPr>
              <w:t>.045</w:t>
            </w:r>
          </w:p>
        </w:tc>
        <w:tc>
          <w:tcPr>
            <w:tcW w:w="285" w:type="pct"/>
            <w:shd w:val="clear" w:color="auto" w:fill="auto"/>
            <w:vAlign w:val="center"/>
          </w:tcPr>
          <w:p w14:paraId="1FF347C1">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highlight w:val="none"/>
                <w:lang w:val="en-US" w:eastAsia="zh-CN"/>
              </w:rPr>
              <w:t>0.00</w:t>
            </w:r>
            <w:r>
              <w:rPr>
                <w:rFonts w:hint="eastAsia" w:eastAsia="宋体" w:cs="Times New Roman"/>
                <w:color w:val="auto"/>
                <w:highlight w:val="none"/>
                <w:lang w:val="en-US" w:eastAsia="zh-CN"/>
              </w:rPr>
              <w:t>456</w:t>
            </w:r>
          </w:p>
        </w:tc>
      </w:tr>
    </w:tbl>
    <w:p w14:paraId="47D0767A">
      <w:pPr>
        <w:pStyle w:val="210"/>
        <w:rPr>
          <w:rFonts w:hint="default" w:ascii="Times New Roman" w:hAnsi="Times New Roman" w:cs="Times New Roman"/>
          <w:color w:val="auto"/>
          <w:highlight w:val="none"/>
        </w:rPr>
      </w:pPr>
    </w:p>
    <w:p w14:paraId="24E31B15">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15</w:t>
      </w:r>
      <w:r>
        <w:rPr>
          <w:rFonts w:hint="default" w:ascii="Times New Roman" w:hAnsi="Times New Roman" w:cs="Times New Roman"/>
          <w:color w:val="auto"/>
          <w:highlight w:val="none"/>
        </w:rPr>
        <w:t xml:space="preserve">主要废气污染源参数一览表(矩形面源) </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5"/>
        <w:gridCol w:w="395"/>
        <w:gridCol w:w="777"/>
        <w:gridCol w:w="640"/>
        <w:gridCol w:w="702"/>
        <w:gridCol w:w="713"/>
        <w:gridCol w:w="713"/>
        <w:gridCol w:w="645"/>
        <w:gridCol w:w="713"/>
        <w:gridCol w:w="663"/>
        <w:gridCol w:w="395"/>
        <w:gridCol w:w="709"/>
        <w:gridCol w:w="852"/>
      </w:tblGrid>
      <w:tr w14:paraId="56146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 w:hRule="atLeast"/>
          <w:jc w:val="center"/>
        </w:trPr>
        <w:tc>
          <w:tcPr>
            <w:tcW w:w="395" w:type="dxa"/>
            <w:vMerge w:val="restart"/>
            <w:vAlign w:val="center"/>
          </w:tcPr>
          <w:p w14:paraId="7FE2F21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395" w:type="dxa"/>
            <w:vMerge w:val="restart"/>
            <w:vAlign w:val="center"/>
          </w:tcPr>
          <w:p w14:paraId="7FF9E23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1417" w:type="dxa"/>
            <w:gridSpan w:val="2"/>
            <w:vAlign w:val="center"/>
          </w:tcPr>
          <w:p w14:paraId="699BC3EB">
            <w:pPr>
              <w:pStyle w:val="146"/>
              <w:ind w:firstLine="0" w:firstLineChars="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排放源</w:t>
            </w:r>
            <w:r>
              <w:rPr>
                <w:rFonts w:hint="default" w:ascii="Times New Roman" w:hAnsi="Times New Roman" w:eastAsia="宋体" w:cs="Times New Roman"/>
                <w:color w:val="auto"/>
                <w:highlight w:val="none"/>
              </w:rPr>
              <w:t>中心坐标</w:t>
            </w:r>
          </w:p>
        </w:tc>
        <w:tc>
          <w:tcPr>
            <w:tcW w:w="702" w:type="dxa"/>
            <w:vMerge w:val="restart"/>
            <w:vAlign w:val="center"/>
          </w:tcPr>
          <w:p w14:paraId="32ABFA4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面源海拔高度（m）</w:t>
            </w:r>
          </w:p>
        </w:tc>
        <w:tc>
          <w:tcPr>
            <w:tcW w:w="713" w:type="dxa"/>
            <w:vMerge w:val="restart"/>
            <w:vAlign w:val="center"/>
          </w:tcPr>
          <w:p w14:paraId="40A2CD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面源长度（m）</w:t>
            </w:r>
          </w:p>
        </w:tc>
        <w:tc>
          <w:tcPr>
            <w:tcW w:w="713" w:type="dxa"/>
            <w:vMerge w:val="restart"/>
            <w:vAlign w:val="center"/>
          </w:tcPr>
          <w:p w14:paraId="357A375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面源宽度（m）</w:t>
            </w:r>
          </w:p>
        </w:tc>
        <w:tc>
          <w:tcPr>
            <w:tcW w:w="645" w:type="dxa"/>
            <w:vMerge w:val="restart"/>
            <w:vAlign w:val="center"/>
          </w:tcPr>
          <w:p w14:paraId="6CFAC99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与正北向夹角（°）</w:t>
            </w:r>
          </w:p>
        </w:tc>
        <w:tc>
          <w:tcPr>
            <w:tcW w:w="713" w:type="dxa"/>
            <w:vMerge w:val="restart"/>
            <w:vAlign w:val="center"/>
          </w:tcPr>
          <w:p w14:paraId="3C7603A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面源有效排放高度（m）</w:t>
            </w:r>
          </w:p>
        </w:tc>
        <w:tc>
          <w:tcPr>
            <w:tcW w:w="663" w:type="dxa"/>
            <w:vMerge w:val="restart"/>
            <w:vAlign w:val="center"/>
          </w:tcPr>
          <w:p w14:paraId="5880F72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年排放小时数（h）</w:t>
            </w:r>
          </w:p>
        </w:tc>
        <w:tc>
          <w:tcPr>
            <w:tcW w:w="395" w:type="dxa"/>
            <w:vMerge w:val="restart"/>
            <w:vAlign w:val="center"/>
          </w:tcPr>
          <w:p w14:paraId="5F100E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排放工况</w:t>
            </w:r>
          </w:p>
        </w:tc>
        <w:tc>
          <w:tcPr>
            <w:tcW w:w="1561" w:type="dxa"/>
            <w:gridSpan w:val="2"/>
            <w:vAlign w:val="center"/>
          </w:tcPr>
          <w:p w14:paraId="7745B2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污染物排放速率（kg/h）</w:t>
            </w:r>
          </w:p>
        </w:tc>
      </w:tr>
      <w:tr w14:paraId="259E1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95" w:type="dxa"/>
            <w:vMerge w:val="continue"/>
            <w:vAlign w:val="center"/>
          </w:tcPr>
          <w:p w14:paraId="65678895">
            <w:pPr>
              <w:pStyle w:val="146"/>
              <w:rPr>
                <w:rFonts w:hint="default" w:ascii="Times New Roman" w:hAnsi="Times New Roman" w:eastAsia="宋体" w:cs="Times New Roman"/>
                <w:color w:val="auto"/>
                <w:highlight w:val="none"/>
              </w:rPr>
            </w:pPr>
          </w:p>
        </w:tc>
        <w:tc>
          <w:tcPr>
            <w:tcW w:w="395" w:type="dxa"/>
            <w:vMerge w:val="continue"/>
            <w:vAlign w:val="center"/>
          </w:tcPr>
          <w:p w14:paraId="13BE7D18">
            <w:pPr>
              <w:pStyle w:val="146"/>
              <w:rPr>
                <w:rFonts w:hint="default" w:ascii="Times New Roman" w:hAnsi="Times New Roman" w:eastAsia="宋体" w:cs="Times New Roman"/>
                <w:color w:val="auto"/>
                <w:highlight w:val="none"/>
              </w:rPr>
            </w:pPr>
          </w:p>
        </w:tc>
        <w:tc>
          <w:tcPr>
            <w:tcW w:w="777" w:type="dxa"/>
            <w:vAlign w:val="center"/>
          </w:tcPr>
          <w:p w14:paraId="211788FF">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经度（</w:t>
            </w:r>
            <w:r>
              <w:rPr>
                <w:rFonts w:hint="eastAsia" w:ascii="Times New Roman" w:hAnsi="Times New Roman" w:eastAsia="宋体" w:cs="Times New Roman"/>
                <w:color w:val="auto"/>
                <w:highlight w:val="none"/>
                <w:lang w:val="en-US" w:eastAsia="zh-CN"/>
              </w:rPr>
              <w:t>X</w:t>
            </w:r>
            <w:r>
              <w:rPr>
                <w:rFonts w:hint="default" w:ascii="Times New Roman" w:hAnsi="Times New Roman" w:eastAsia="宋体" w:cs="Times New Roman"/>
                <w:color w:val="auto"/>
                <w:highlight w:val="none"/>
              </w:rPr>
              <w:t>）</w:t>
            </w:r>
          </w:p>
        </w:tc>
        <w:tc>
          <w:tcPr>
            <w:tcW w:w="640" w:type="dxa"/>
            <w:vAlign w:val="center"/>
          </w:tcPr>
          <w:p w14:paraId="6502122C">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纬度（</w:t>
            </w:r>
            <w:r>
              <w:rPr>
                <w:rFonts w:hint="eastAsia" w:ascii="Times New Roman" w:hAnsi="Times New Roman" w:eastAsia="宋体" w:cs="Times New Roman"/>
                <w:color w:val="auto"/>
                <w:highlight w:val="none"/>
                <w:lang w:val="en-US" w:eastAsia="zh-CN"/>
              </w:rPr>
              <w:t>Y</w:t>
            </w:r>
            <w:r>
              <w:rPr>
                <w:rFonts w:hint="default" w:ascii="Times New Roman" w:hAnsi="Times New Roman" w:eastAsia="宋体" w:cs="Times New Roman"/>
                <w:color w:val="auto"/>
                <w:highlight w:val="none"/>
              </w:rPr>
              <w:t>）</w:t>
            </w:r>
          </w:p>
        </w:tc>
        <w:tc>
          <w:tcPr>
            <w:tcW w:w="702" w:type="dxa"/>
            <w:vMerge w:val="continue"/>
            <w:vAlign w:val="center"/>
          </w:tcPr>
          <w:p w14:paraId="1B1C4172">
            <w:pPr>
              <w:pStyle w:val="146"/>
              <w:rPr>
                <w:rFonts w:hint="default" w:ascii="Times New Roman" w:hAnsi="Times New Roman" w:eastAsia="宋体" w:cs="Times New Roman"/>
                <w:color w:val="auto"/>
                <w:highlight w:val="none"/>
              </w:rPr>
            </w:pPr>
          </w:p>
        </w:tc>
        <w:tc>
          <w:tcPr>
            <w:tcW w:w="713" w:type="dxa"/>
            <w:vMerge w:val="continue"/>
            <w:vAlign w:val="center"/>
          </w:tcPr>
          <w:p w14:paraId="466BD62D">
            <w:pPr>
              <w:pStyle w:val="146"/>
              <w:rPr>
                <w:rFonts w:hint="default" w:ascii="Times New Roman" w:hAnsi="Times New Roman" w:eastAsia="宋体" w:cs="Times New Roman"/>
                <w:color w:val="auto"/>
                <w:highlight w:val="none"/>
              </w:rPr>
            </w:pPr>
          </w:p>
        </w:tc>
        <w:tc>
          <w:tcPr>
            <w:tcW w:w="713" w:type="dxa"/>
            <w:vMerge w:val="continue"/>
            <w:vAlign w:val="center"/>
          </w:tcPr>
          <w:p w14:paraId="420D89D2">
            <w:pPr>
              <w:pStyle w:val="146"/>
              <w:rPr>
                <w:rFonts w:hint="default" w:ascii="Times New Roman" w:hAnsi="Times New Roman" w:eastAsia="宋体" w:cs="Times New Roman"/>
                <w:color w:val="auto"/>
                <w:highlight w:val="none"/>
              </w:rPr>
            </w:pPr>
          </w:p>
        </w:tc>
        <w:tc>
          <w:tcPr>
            <w:tcW w:w="645" w:type="dxa"/>
            <w:vMerge w:val="continue"/>
            <w:vAlign w:val="center"/>
          </w:tcPr>
          <w:p w14:paraId="3E786196">
            <w:pPr>
              <w:pStyle w:val="146"/>
              <w:rPr>
                <w:rFonts w:hint="default" w:ascii="Times New Roman" w:hAnsi="Times New Roman" w:eastAsia="宋体" w:cs="Times New Roman"/>
                <w:color w:val="auto"/>
                <w:highlight w:val="none"/>
              </w:rPr>
            </w:pPr>
          </w:p>
        </w:tc>
        <w:tc>
          <w:tcPr>
            <w:tcW w:w="713" w:type="dxa"/>
            <w:vMerge w:val="continue"/>
            <w:vAlign w:val="center"/>
          </w:tcPr>
          <w:p w14:paraId="478318DB">
            <w:pPr>
              <w:pStyle w:val="146"/>
              <w:rPr>
                <w:rFonts w:hint="default" w:ascii="Times New Roman" w:hAnsi="Times New Roman" w:eastAsia="宋体" w:cs="Times New Roman"/>
                <w:color w:val="auto"/>
                <w:highlight w:val="none"/>
              </w:rPr>
            </w:pPr>
          </w:p>
        </w:tc>
        <w:tc>
          <w:tcPr>
            <w:tcW w:w="663" w:type="dxa"/>
            <w:vMerge w:val="continue"/>
            <w:vAlign w:val="center"/>
          </w:tcPr>
          <w:p w14:paraId="12C50E42">
            <w:pPr>
              <w:pStyle w:val="146"/>
              <w:rPr>
                <w:rFonts w:hint="default" w:ascii="Times New Roman" w:hAnsi="Times New Roman" w:eastAsia="宋体" w:cs="Times New Roman"/>
                <w:color w:val="auto"/>
                <w:highlight w:val="none"/>
              </w:rPr>
            </w:pPr>
          </w:p>
        </w:tc>
        <w:tc>
          <w:tcPr>
            <w:tcW w:w="395" w:type="dxa"/>
            <w:vMerge w:val="continue"/>
            <w:vAlign w:val="center"/>
          </w:tcPr>
          <w:p w14:paraId="75AB9A32">
            <w:pPr>
              <w:pStyle w:val="146"/>
              <w:rPr>
                <w:rFonts w:hint="default" w:ascii="Times New Roman" w:hAnsi="Times New Roman" w:eastAsia="宋体" w:cs="Times New Roman"/>
                <w:color w:val="auto"/>
                <w:highlight w:val="none"/>
              </w:rPr>
            </w:pPr>
          </w:p>
        </w:tc>
        <w:tc>
          <w:tcPr>
            <w:tcW w:w="709" w:type="dxa"/>
            <w:vAlign w:val="center"/>
          </w:tcPr>
          <w:p w14:paraId="1A8770E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852" w:type="dxa"/>
            <w:vAlign w:val="center"/>
          </w:tcPr>
          <w:p w14:paraId="26C0F3A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r>
      <w:tr w14:paraId="71640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95" w:type="dxa"/>
            <w:vAlign w:val="center"/>
          </w:tcPr>
          <w:p w14:paraId="5F5D22E6">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395" w:type="dxa"/>
            <w:vAlign w:val="center"/>
          </w:tcPr>
          <w:p w14:paraId="6743BC75">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牛舍</w:t>
            </w:r>
          </w:p>
        </w:tc>
        <w:tc>
          <w:tcPr>
            <w:tcW w:w="777" w:type="dxa"/>
            <w:vAlign w:val="center"/>
          </w:tcPr>
          <w:p w14:paraId="189683B0">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-152</w:t>
            </w:r>
          </w:p>
        </w:tc>
        <w:tc>
          <w:tcPr>
            <w:tcW w:w="640" w:type="dxa"/>
            <w:vAlign w:val="center"/>
          </w:tcPr>
          <w:p w14:paraId="5AF4EE04">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157</w:t>
            </w:r>
          </w:p>
        </w:tc>
        <w:tc>
          <w:tcPr>
            <w:tcW w:w="702" w:type="dxa"/>
            <w:vAlign w:val="center"/>
          </w:tcPr>
          <w:p w14:paraId="26DED692">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347</w:t>
            </w:r>
          </w:p>
        </w:tc>
        <w:tc>
          <w:tcPr>
            <w:tcW w:w="713" w:type="dxa"/>
            <w:vAlign w:val="center"/>
          </w:tcPr>
          <w:p w14:paraId="73DF67E7">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660</w:t>
            </w:r>
          </w:p>
        </w:tc>
        <w:tc>
          <w:tcPr>
            <w:tcW w:w="713" w:type="dxa"/>
            <w:vAlign w:val="center"/>
          </w:tcPr>
          <w:p w14:paraId="0D15E436">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450</w:t>
            </w:r>
          </w:p>
        </w:tc>
        <w:tc>
          <w:tcPr>
            <w:tcW w:w="645" w:type="dxa"/>
            <w:vAlign w:val="center"/>
          </w:tcPr>
          <w:p w14:paraId="2DC2B9CD">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0</w:t>
            </w:r>
          </w:p>
        </w:tc>
        <w:tc>
          <w:tcPr>
            <w:tcW w:w="713" w:type="dxa"/>
            <w:vAlign w:val="center"/>
          </w:tcPr>
          <w:p w14:paraId="5FEAD3BA">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2.5</w:t>
            </w:r>
          </w:p>
        </w:tc>
        <w:tc>
          <w:tcPr>
            <w:tcW w:w="663" w:type="dxa"/>
            <w:vAlign w:val="center"/>
          </w:tcPr>
          <w:p w14:paraId="57FBD7E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95" w:type="dxa"/>
            <w:vAlign w:val="center"/>
          </w:tcPr>
          <w:p w14:paraId="4BEB453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w:t>
            </w:r>
          </w:p>
        </w:tc>
        <w:tc>
          <w:tcPr>
            <w:tcW w:w="709" w:type="dxa"/>
            <w:shd w:val="clear" w:color="auto" w:fill="auto"/>
            <w:vAlign w:val="center"/>
          </w:tcPr>
          <w:p w14:paraId="06751BE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0.072</w:t>
            </w:r>
          </w:p>
        </w:tc>
        <w:tc>
          <w:tcPr>
            <w:tcW w:w="852" w:type="dxa"/>
            <w:shd w:val="clear" w:color="auto" w:fill="auto"/>
            <w:vAlign w:val="center"/>
          </w:tcPr>
          <w:p w14:paraId="5294048C">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w:t>
            </w:r>
            <w:r>
              <w:rPr>
                <w:rFonts w:hint="eastAsia" w:eastAsia="宋体" w:cs="Times New Roman"/>
                <w:color w:val="auto"/>
                <w:kern w:val="0"/>
                <w:sz w:val="21"/>
                <w:szCs w:val="20"/>
                <w:highlight w:val="none"/>
                <w:lang w:val="en-US" w:eastAsia="zh-CN" w:bidi="ar-SA"/>
              </w:rPr>
              <w:t>59</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-3</w:t>
            </w:r>
          </w:p>
        </w:tc>
      </w:tr>
      <w:tr w14:paraId="00830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 w:hRule="atLeast"/>
          <w:jc w:val="center"/>
        </w:trPr>
        <w:tc>
          <w:tcPr>
            <w:tcW w:w="395" w:type="dxa"/>
            <w:vAlign w:val="center"/>
          </w:tcPr>
          <w:p w14:paraId="48045621">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2</w:t>
            </w:r>
          </w:p>
        </w:tc>
        <w:tc>
          <w:tcPr>
            <w:tcW w:w="395" w:type="dxa"/>
            <w:vAlign w:val="center"/>
          </w:tcPr>
          <w:p w14:paraId="6DCC9F2E">
            <w:pPr>
              <w:pStyle w:val="146"/>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堆肥间</w:t>
            </w:r>
          </w:p>
        </w:tc>
        <w:tc>
          <w:tcPr>
            <w:tcW w:w="777" w:type="dxa"/>
            <w:vAlign w:val="center"/>
          </w:tcPr>
          <w:p w14:paraId="0251546D">
            <w:pPr>
              <w:pStyle w:val="146"/>
              <w:ind w:firstLine="0" w:firstLineChars="0"/>
              <w:rPr>
                <w:rFonts w:hint="default" w:ascii="Times New Roman" w:hAnsi="Times New Roman" w:eastAsia="宋体" w:cs="Times New Roman"/>
                <w:color w:val="auto"/>
                <w:highlight w:val="none"/>
                <w:lang w:val="en-US"/>
              </w:rPr>
            </w:pPr>
            <w:r>
              <w:rPr>
                <w:rFonts w:hint="eastAsia" w:eastAsia="宋体" w:cs="Times New Roman"/>
                <w:color w:val="auto"/>
                <w:highlight w:val="none"/>
                <w:lang w:val="en-US" w:eastAsia="zh-CN"/>
              </w:rPr>
              <w:t>-94</w:t>
            </w:r>
          </w:p>
        </w:tc>
        <w:tc>
          <w:tcPr>
            <w:tcW w:w="640" w:type="dxa"/>
            <w:vAlign w:val="center"/>
          </w:tcPr>
          <w:p w14:paraId="69E6F66F">
            <w:pPr>
              <w:pStyle w:val="146"/>
              <w:ind w:firstLine="0" w:firstLineChars="0"/>
              <w:rPr>
                <w:rFonts w:hint="default" w:ascii="Times New Roman" w:hAnsi="Times New Roman" w:eastAsia="宋体" w:cs="Times New Roman"/>
                <w:color w:val="auto"/>
                <w:highlight w:val="none"/>
                <w:lang w:val="en-US"/>
              </w:rPr>
            </w:pPr>
            <w:r>
              <w:rPr>
                <w:rFonts w:hint="eastAsia" w:eastAsia="宋体" w:cs="Times New Roman"/>
                <w:color w:val="auto"/>
                <w:highlight w:val="none"/>
                <w:lang w:val="en-US" w:eastAsia="zh-CN"/>
              </w:rPr>
              <w:t>-64</w:t>
            </w:r>
          </w:p>
        </w:tc>
        <w:tc>
          <w:tcPr>
            <w:tcW w:w="702" w:type="dxa"/>
            <w:vAlign w:val="center"/>
          </w:tcPr>
          <w:p w14:paraId="2C288335">
            <w:pPr>
              <w:pStyle w:val="146"/>
              <w:ind w:firstLine="0" w:firstLineChars="0"/>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333</w:t>
            </w:r>
          </w:p>
        </w:tc>
        <w:tc>
          <w:tcPr>
            <w:tcW w:w="713" w:type="dxa"/>
            <w:vAlign w:val="center"/>
          </w:tcPr>
          <w:p w14:paraId="23192BB8">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90</w:t>
            </w:r>
          </w:p>
        </w:tc>
        <w:tc>
          <w:tcPr>
            <w:tcW w:w="713" w:type="dxa"/>
            <w:vAlign w:val="center"/>
          </w:tcPr>
          <w:p w14:paraId="606AD86C">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30</w:t>
            </w:r>
          </w:p>
        </w:tc>
        <w:tc>
          <w:tcPr>
            <w:tcW w:w="645" w:type="dxa"/>
            <w:vAlign w:val="center"/>
          </w:tcPr>
          <w:p w14:paraId="6D171746">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p>
        </w:tc>
        <w:tc>
          <w:tcPr>
            <w:tcW w:w="713" w:type="dxa"/>
            <w:vAlign w:val="center"/>
          </w:tcPr>
          <w:p w14:paraId="66554EE5">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.5</w:t>
            </w:r>
          </w:p>
        </w:tc>
        <w:tc>
          <w:tcPr>
            <w:tcW w:w="663" w:type="dxa"/>
            <w:vAlign w:val="center"/>
          </w:tcPr>
          <w:p w14:paraId="1FAB8FC8">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w:t>
            </w:r>
          </w:p>
        </w:tc>
        <w:tc>
          <w:tcPr>
            <w:tcW w:w="395" w:type="dxa"/>
            <w:vAlign w:val="center"/>
          </w:tcPr>
          <w:p w14:paraId="7A0C9B1E">
            <w:pPr>
              <w:pStyle w:val="146"/>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正常排放</w:t>
            </w:r>
          </w:p>
        </w:tc>
        <w:tc>
          <w:tcPr>
            <w:tcW w:w="709" w:type="dxa"/>
            <w:shd w:val="clear" w:color="auto" w:fill="auto"/>
            <w:vAlign w:val="center"/>
          </w:tcPr>
          <w:p w14:paraId="5E616CD5">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eastAsia="宋体" w:cs="Times New Roman"/>
                <w:color w:val="auto"/>
                <w:highlight w:val="none"/>
                <w:lang w:val="en-US" w:eastAsia="zh-CN"/>
              </w:rPr>
              <w:t>0.0144</w:t>
            </w:r>
          </w:p>
        </w:tc>
        <w:tc>
          <w:tcPr>
            <w:tcW w:w="852" w:type="dxa"/>
            <w:shd w:val="clear" w:color="auto" w:fill="auto"/>
            <w:vAlign w:val="center"/>
          </w:tcPr>
          <w:p w14:paraId="78B7F9A2">
            <w:pPr>
              <w:pStyle w:val="146"/>
              <w:ind w:left="0" w:leftChars="0"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w:t>
            </w:r>
            <w:r>
              <w:rPr>
                <w:rFonts w:hint="eastAsia" w:eastAsia="宋体" w:cs="Times New Roman"/>
                <w:color w:val="auto"/>
                <w:kern w:val="0"/>
                <w:sz w:val="21"/>
                <w:szCs w:val="20"/>
                <w:highlight w:val="none"/>
                <w:lang w:val="en-US" w:eastAsia="zh-CN" w:bidi="ar-SA"/>
              </w:rPr>
              <w:t>2</w:t>
            </w:r>
            <w:r>
              <w:rPr>
                <w:rFonts w:hint="default" w:ascii="Arial" w:hAnsi="Arial" w:eastAsia="宋体" w:cs="Arial"/>
                <w:color w:val="auto"/>
                <w:kern w:val="0"/>
                <w:sz w:val="21"/>
                <w:szCs w:val="20"/>
                <w:highlight w:val="none"/>
                <w:lang w:val="en-US" w:eastAsia="zh-CN" w:bidi="ar-SA"/>
              </w:rPr>
              <w:t>×</w:t>
            </w:r>
            <w:r>
              <w:rPr>
                <w:rFonts w:hint="eastAsia" w:ascii="Times New Roman" w:hAnsi="Times New Roman" w:eastAsia="宋体" w:cs="Times New Roman"/>
                <w:color w:val="auto"/>
                <w:kern w:val="0"/>
                <w:sz w:val="21"/>
                <w:szCs w:val="20"/>
                <w:highlight w:val="none"/>
                <w:lang w:val="en-US" w:eastAsia="zh-CN" w:bidi="ar-SA"/>
              </w:rPr>
              <w:t>10</w:t>
            </w:r>
            <w:r>
              <w:rPr>
                <w:rFonts w:hint="eastAsia" w:ascii="Times New Roman" w:hAnsi="Times New Roman" w:eastAsia="宋体" w:cs="Times New Roman"/>
                <w:color w:val="auto"/>
                <w:kern w:val="0"/>
                <w:sz w:val="21"/>
                <w:szCs w:val="20"/>
                <w:highlight w:val="none"/>
                <w:vertAlign w:val="superscript"/>
                <w:lang w:val="en-US" w:eastAsia="zh-CN" w:bidi="ar-SA"/>
              </w:rPr>
              <w:t>-4</w:t>
            </w:r>
          </w:p>
        </w:tc>
      </w:tr>
    </w:tbl>
    <w:p w14:paraId="46984274">
      <w:pPr>
        <w:pStyle w:val="6"/>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5.2.1.</w:t>
      </w:r>
      <w:r>
        <w:rPr>
          <w:rFonts w:hint="eastAsia"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预测与评价内容</w:t>
      </w:r>
    </w:p>
    <w:p w14:paraId="501DDB0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kern w:val="0"/>
          <w:sz w:val="24"/>
          <w:szCs w:val="22"/>
          <w:highlight w:val="none"/>
        </w:rPr>
      </w:pPr>
      <w:r>
        <w:rPr>
          <w:rFonts w:hint="default" w:ascii="Times New Roman" w:hAnsi="Times New Roman" w:eastAsia="宋体" w:cs="Times New Roman"/>
          <w:color w:val="auto"/>
          <w:kern w:val="0"/>
          <w:sz w:val="24"/>
          <w:szCs w:val="22"/>
          <w:highlight w:val="none"/>
        </w:rPr>
        <w:t>根据项目污染物特点及大气导则要求，结合区域污染气象特征，采用逐日逐时的方式进行大气环境影响预测。本项目预测与评价内容见表</w:t>
      </w:r>
      <w:r>
        <w:rPr>
          <w:rFonts w:hint="default" w:ascii="Times New Roman" w:hAnsi="Times New Roman" w:eastAsia="宋体" w:cs="Times New Roman"/>
          <w:color w:val="auto"/>
          <w:kern w:val="0"/>
          <w:sz w:val="24"/>
          <w:szCs w:val="22"/>
          <w:highlight w:val="none"/>
          <w:lang w:val="en-US" w:eastAsia="zh-CN"/>
        </w:rPr>
        <w:t>5-2-</w:t>
      </w:r>
      <w:r>
        <w:rPr>
          <w:rFonts w:hint="eastAsia" w:cs="Times New Roman"/>
          <w:color w:val="auto"/>
          <w:kern w:val="0"/>
          <w:sz w:val="24"/>
          <w:szCs w:val="22"/>
          <w:highlight w:val="none"/>
          <w:lang w:val="en-US" w:eastAsia="zh-CN"/>
        </w:rPr>
        <w:t>16</w:t>
      </w:r>
      <w:r>
        <w:rPr>
          <w:rFonts w:hint="default" w:ascii="Times New Roman" w:hAnsi="Times New Roman" w:eastAsia="宋体" w:cs="Times New Roman"/>
          <w:color w:val="auto"/>
          <w:kern w:val="0"/>
          <w:sz w:val="24"/>
          <w:szCs w:val="22"/>
          <w:highlight w:val="none"/>
        </w:rPr>
        <w:t>。</w:t>
      </w:r>
    </w:p>
    <w:p w14:paraId="562952AC">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color w:val="auto"/>
          <w:kern w:val="0"/>
          <w:sz w:val="24"/>
          <w:szCs w:val="22"/>
          <w:highlight w:val="none"/>
        </w:rPr>
      </w:pPr>
      <w:r>
        <w:rPr>
          <w:rFonts w:hint="default" w:ascii="Times New Roman" w:hAnsi="Times New Roman" w:eastAsia="黑体" w:cs="Times New Roman"/>
          <w:color w:val="auto"/>
          <w:kern w:val="0"/>
          <w:sz w:val="24"/>
          <w:szCs w:val="22"/>
          <w:highlight w:val="none"/>
        </w:rPr>
        <w:t>表</w:t>
      </w:r>
      <w:r>
        <w:rPr>
          <w:rFonts w:hint="default" w:ascii="Times New Roman" w:hAnsi="Times New Roman" w:eastAsia="黑体" w:cs="Times New Roman"/>
          <w:color w:val="auto"/>
          <w:kern w:val="0"/>
          <w:sz w:val="24"/>
          <w:szCs w:val="22"/>
          <w:highlight w:val="none"/>
          <w:lang w:val="en-US" w:eastAsia="zh-CN"/>
        </w:rPr>
        <w:t>5-2-</w:t>
      </w:r>
      <w:r>
        <w:rPr>
          <w:rFonts w:hint="eastAsia" w:eastAsia="黑体" w:cs="Times New Roman"/>
          <w:color w:val="auto"/>
          <w:kern w:val="0"/>
          <w:sz w:val="24"/>
          <w:szCs w:val="22"/>
          <w:highlight w:val="none"/>
          <w:lang w:val="en-US" w:eastAsia="zh-CN"/>
        </w:rPr>
        <w:t>16</w:t>
      </w:r>
      <w:r>
        <w:rPr>
          <w:rFonts w:hint="default" w:ascii="Times New Roman" w:hAnsi="Times New Roman" w:eastAsia="黑体" w:cs="Times New Roman"/>
          <w:color w:val="auto"/>
          <w:kern w:val="0"/>
          <w:sz w:val="24"/>
          <w:szCs w:val="22"/>
          <w:highlight w:val="none"/>
        </w:rPr>
        <w:t xml:space="preserve"> 本项目预测与评价内容</w:t>
      </w:r>
    </w:p>
    <w:tbl>
      <w:tblPr>
        <w:tblStyle w:val="47"/>
        <w:tblW w:w="90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9"/>
        <w:gridCol w:w="1905"/>
        <w:gridCol w:w="1740"/>
        <w:gridCol w:w="1200"/>
        <w:gridCol w:w="2909"/>
      </w:tblGrid>
      <w:tr w14:paraId="47924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tcBorders>
              <w:top w:val="single" w:color="auto" w:sz="12" w:space="0"/>
              <w:left w:val="nil"/>
              <w:bottom w:val="single" w:color="auto" w:sz="4" w:space="0"/>
            </w:tcBorders>
            <w:noWrap w:val="0"/>
            <w:vAlign w:val="center"/>
          </w:tcPr>
          <w:p w14:paraId="21C16638">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评价对象</w:t>
            </w:r>
          </w:p>
        </w:tc>
        <w:tc>
          <w:tcPr>
            <w:tcW w:w="1905" w:type="dxa"/>
            <w:tcBorders>
              <w:top w:val="single" w:color="auto" w:sz="12" w:space="0"/>
              <w:bottom w:val="single" w:color="auto" w:sz="4" w:space="0"/>
            </w:tcBorders>
            <w:noWrap w:val="0"/>
            <w:vAlign w:val="center"/>
          </w:tcPr>
          <w:p w14:paraId="44237D36">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w:t>
            </w:r>
          </w:p>
        </w:tc>
        <w:tc>
          <w:tcPr>
            <w:tcW w:w="1740" w:type="dxa"/>
            <w:tcBorders>
              <w:top w:val="single" w:color="auto" w:sz="12" w:space="0"/>
              <w:bottom w:val="single" w:color="auto" w:sz="4" w:space="0"/>
            </w:tcBorders>
            <w:noWrap w:val="0"/>
            <w:vAlign w:val="center"/>
          </w:tcPr>
          <w:p w14:paraId="3B4FEF3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污染源排放形式</w:t>
            </w:r>
          </w:p>
        </w:tc>
        <w:tc>
          <w:tcPr>
            <w:tcW w:w="1200" w:type="dxa"/>
            <w:tcBorders>
              <w:top w:val="single" w:color="auto" w:sz="12" w:space="0"/>
              <w:bottom w:val="single" w:color="auto" w:sz="4" w:space="0"/>
            </w:tcBorders>
            <w:noWrap w:val="0"/>
            <w:vAlign w:val="center"/>
          </w:tcPr>
          <w:p w14:paraId="663270F8">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预测内容</w:t>
            </w:r>
          </w:p>
        </w:tc>
        <w:tc>
          <w:tcPr>
            <w:tcW w:w="2909" w:type="dxa"/>
            <w:tcBorders>
              <w:top w:val="single" w:color="auto" w:sz="12" w:space="0"/>
              <w:bottom w:val="single" w:color="auto" w:sz="4" w:space="0"/>
              <w:right w:val="nil"/>
            </w:tcBorders>
            <w:noWrap w:val="0"/>
            <w:vAlign w:val="center"/>
          </w:tcPr>
          <w:p w14:paraId="57255FFF">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评价内容</w:t>
            </w:r>
          </w:p>
        </w:tc>
      </w:tr>
      <w:tr w14:paraId="52CC3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restart"/>
            <w:tcBorders>
              <w:top w:val="single" w:color="auto" w:sz="4" w:space="0"/>
              <w:left w:val="nil"/>
            </w:tcBorders>
            <w:noWrap w:val="0"/>
            <w:vAlign w:val="center"/>
          </w:tcPr>
          <w:p w14:paraId="1C361193">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达标区</w:t>
            </w:r>
          </w:p>
          <w:p w14:paraId="58F16D66">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（所有预测因子）</w:t>
            </w:r>
          </w:p>
        </w:tc>
        <w:tc>
          <w:tcPr>
            <w:tcW w:w="1905" w:type="dxa"/>
            <w:tcBorders>
              <w:top w:val="single" w:color="auto" w:sz="4" w:space="0"/>
            </w:tcBorders>
            <w:noWrap w:val="0"/>
            <w:vAlign w:val="center"/>
          </w:tcPr>
          <w:p w14:paraId="24DF4508">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新增污染源</w:t>
            </w:r>
          </w:p>
        </w:tc>
        <w:tc>
          <w:tcPr>
            <w:tcW w:w="1740" w:type="dxa"/>
            <w:tcBorders>
              <w:top w:val="single" w:color="auto" w:sz="4" w:space="0"/>
            </w:tcBorders>
            <w:noWrap w:val="0"/>
            <w:vAlign w:val="center"/>
          </w:tcPr>
          <w:p w14:paraId="3CE88806">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正常排放</w:t>
            </w:r>
          </w:p>
        </w:tc>
        <w:tc>
          <w:tcPr>
            <w:tcW w:w="1200" w:type="dxa"/>
            <w:tcBorders>
              <w:top w:val="single" w:color="auto" w:sz="4" w:space="0"/>
            </w:tcBorders>
            <w:noWrap w:val="0"/>
            <w:vAlign w:val="center"/>
          </w:tcPr>
          <w:p w14:paraId="33766072">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短期浓度</w:t>
            </w:r>
          </w:p>
          <w:p w14:paraId="28FE6BD8">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长期浓度</w:t>
            </w:r>
          </w:p>
        </w:tc>
        <w:tc>
          <w:tcPr>
            <w:tcW w:w="2909" w:type="dxa"/>
            <w:tcBorders>
              <w:top w:val="single" w:color="auto" w:sz="4" w:space="0"/>
              <w:right w:val="nil"/>
            </w:tcBorders>
            <w:noWrap w:val="0"/>
            <w:vAlign w:val="center"/>
          </w:tcPr>
          <w:p w14:paraId="0C36DC3A">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贡献值最大浓度占标率</w:t>
            </w:r>
          </w:p>
        </w:tc>
      </w:tr>
      <w:tr w14:paraId="151C2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tcBorders>
              <w:left w:val="nil"/>
            </w:tcBorders>
            <w:noWrap w:val="0"/>
            <w:vAlign w:val="center"/>
          </w:tcPr>
          <w:p w14:paraId="221B41A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905" w:type="dxa"/>
            <w:noWrap w:val="0"/>
            <w:vAlign w:val="center"/>
          </w:tcPr>
          <w:p w14:paraId="5161E3D6">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0"/>
                <w:sz w:val="21"/>
                <w:szCs w:val="21"/>
                <w:highlight w:val="none"/>
              </w:rPr>
              <w:t>新增污染源</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cs="Times New Roman"/>
                <w:color w:val="auto"/>
                <w:kern w:val="0"/>
                <w:sz w:val="21"/>
                <w:szCs w:val="21"/>
                <w:highlight w:val="none"/>
                <w:lang w:val="en-US" w:eastAsia="zh-CN"/>
              </w:rPr>
              <w:t>区域在建污染源</w:t>
            </w:r>
          </w:p>
        </w:tc>
        <w:tc>
          <w:tcPr>
            <w:tcW w:w="1740" w:type="dxa"/>
            <w:noWrap w:val="0"/>
            <w:vAlign w:val="center"/>
          </w:tcPr>
          <w:p w14:paraId="0499C51D">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正常排放</w:t>
            </w:r>
          </w:p>
        </w:tc>
        <w:tc>
          <w:tcPr>
            <w:tcW w:w="1200" w:type="dxa"/>
            <w:noWrap w:val="0"/>
            <w:vAlign w:val="center"/>
          </w:tcPr>
          <w:p w14:paraId="3C9A6543">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短期浓度</w:t>
            </w:r>
          </w:p>
          <w:p w14:paraId="403F8618">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长期浓度</w:t>
            </w:r>
          </w:p>
        </w:tc>
        <w:tc>
          <w:tcPr>
            <w:tcW w:w="2909" w:type="dxa"/>
            <w:tcBorders>
              <w:right w:val="nil"/>
            </w:tcBorders>
            <w:noWrap w:val="0"/>
            <w:vAlign w:val="center"/>
          </w:tcPr>
          <w:p w14:paraId="08D54586">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叠加环境质量现状浓度后的保证率日平均质量浓度和年平均质量浓度的占标率，或短期浓度的达标情况</w:t>
            </w:r>
          </w:p>
        </w:tc>
      </w:tr>
      <w:tr w14:paraId="243EB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vMerge w:val="continue"/>
            <w:tcBorders>
              <w:left w:val="nil"/>
            </w:tcBorders>
            <w:noWrap w:val="0"/>
            <w:vAlign w:val="center"/>
          </w:tcPr>
          <w:p w14:paraId="31871D49">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905" w:type="dxa"/>
            <w:noWrap w:val="0"/>
            <w:vAlign w:val="center"/>
          </w:tcPr>
          <w:p w14:paraId="67FAC7B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新增污染源</w:t>
            </w:r>
          </w:p>
        </w:tc>
        <w:tc>
          <w:tcPr>
            <w:tcW w:w="1740" w:type="dxa"/>
            <w:noWrap w:val="0"/>
            <w:vAlign w:val="center"/>
          </w:tcPr>
          <w:p w14:paraId="726616A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非</w:t>
            </w:r>
            <w:r>
              <w:rPr>
                <w:rFonts w:hint="default" w:ascii="Times New Roman" w:hAnsi="Times New Roman" w:eastAsia="宋体" w:cs="Times New Roman"/>
                <w:color w:val="auto"/>
                <w:kern w:val="0"/>
                <w:sz w:val="21"/>
                <w:szCs w:val="21"/>
                <w:highlight w:val="none"/>
              </w:rPr>
              <w:t>正常排放</w:t>
            </w:r>
          </w:p>
        </w:tc>
        <w:tc>
          <w:tcPr>
            <w:tcW w:w="1200" w:type="dxa"/>
            <w:noWrap w:val="0"/>
            <w:vAlign w:val="center"/>
          </w:tcPr>
          <w:p w14:paraId="2CD4A31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1h平均质量浓度</w:t>
            </w:r>
          </w:p>
        </w:tc>
        <w:tc>
          <w:tcPr>
            <w:tcW w:w="2909" w:type="dxa"/>
            <w:tcBorders>
              <w:right w:val="nil"/>
            </w:tcBorders>
            <w:noWrap w:val="0"/>
            <w:vAlign w:val="center"/>
          </w:tcPr>
          <w:p w14:paraId="2EE28114">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最大浓度占标率</w:t>
            </w:r>
          </w:p>
        </w:tc>
      </w:tr>
      <w:tr w14:paraId="59A34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dxa"/>
            <w:tcBorders>
              <w:left w:val="nil"/>
              <w:bottom w:val="single" w:color="auto" w:sz="12" w:space="0"/>
            </w:tcBorders>
            <w:noWrap w:val="0"/>
            <w:vAlign w:val="center"/>
          </w:tcPr>
          <w:p w14:paraId="3E19418A">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w:t>
            </w:r>
          </w:p>
          <w:p w14:paraId="57D239DA">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防护距离</w:t>
            </w:r>
          </w:p>
        </w:tc>
        <w:tc>
          <w:tcPr>
            <w:tcW w:w="1905" w:type="dxa"/>
            <w:tcBorders>
              <w:bottom w:val="single" w:color="auto" w:sz="12" w:space="0"/>
            </w:tcBorders>
            <w:noWrap w:val="0"/>
            <w:vAlign w:val="center"/>
          </w:tcPr>
          <w:p w14:paraId="4A7178B2">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新增污染源</w:t>
            </w:r>
          </w:p>
        </w:tc>
        <w:tc>
          <w:tcPr>
            <w:tcW w:w="1740" w:type="dxa"/>
            <w:tcBorders>
              <w:bottom w:val="single" w:color="auto" w:sz="12" w:space="0"/>
            </w:tcBorders>
            <w:noWrap w:val="0"/>
            <w:vAlign w:val="center"/>
          </w:tcPr>
          <w:p w14:paraId="0C93128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正常排放</w:t>
            </w:r>
          </w:p>
        </w:tc>
        <w:tc>
          <w:tcPr>
            <w:tcW w:w="1200" w:type="dxa"/>
            <w:tcBorders>
              <w:bottom w:val="single" w:color="auto" w:sz="12" w:space="0"/>
            </w:tcBorders>
            <w:noWrap w:val="0"/>
            <w:vAlign w:val="center"/>
          </w:tcPr>
          <w:p w14:paraId="12DEB14B">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短期浓度</w:t>
            </w:r>
          </w:p>
        </w:tc>
        <w:tc>
          <w:tcPr>
            <w:tcW w:w="2909" w:type="dxa"/>
            <w:tcBorders>
              <w:bottom w:val="single" w:color="auto" w:sz="12" w:space="0"/>
              <w:right w:val="nil"/>
            </w:tcBorders>
            <w:noWrap w:val="0"/>
            <w:vAlign w:val="center"/>
          </w:tcPr>
          <w:p w14:paraId="7C83B04D">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大气环境防护距离</w:t>
            </w:r>
          </w:p>
        </w:tc>
      </w:tr>
    </w:tbl>
    <w:p w14:paraId="531E4871">
      <w:pPr>
        <w:pStyle w:val="6"/>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5.2.1.7预测与评价结果</w:t>
      </w:r>
    </w:p>
    <w:p w14:paraId="110452CA">
      <w:pPr>
        <w:adjustRightInd/>
        <w:snapToGrid/>
        <w:spacing w:line="360" w:lineRule="auto"/>
        <w:ind w:firstLine="480" w:firstLineChars="200"/>
        <w:rPr>
          <w:rFonts w:hint="default" w:ascii="Times New Roman" w:hAnsi="Times New Roman" w:eastAsia="宋体" w:cs="Times New Roman"/>
          <w:color w:val="auto"/>
          <w:kern w:val="0"/>
          <w:sz w:val="24"/>
          <w:szCs w:val="22"/>
          <w:highlight w:val="none"/>
          <w:lang w:val="en-US" w:eastAsia="zh-CN"/>
        </w:rPr>
      </w:pPr>
      <w:r>
        <w:rPr>
          <w:rFonts w:hint="default" w:ascii="Times New Roman" w:hAnsi="Times New Roman" w:eastAsia="宋体" w:cs="Times New Roman"/>
          <w:color w:val="auto"/>
          <w:kern w:val="0"/>
          <w:sz w:val="24"/>
          <w:szCs w:val="22"/>
          <w:highlight w:val="none"/>
          <w:lang w:val="en-US" w:eastAsia="zh-CN"/>
        </w:rPr>
        <w:t>（1）正常排放情况预测结果</w:t>
      </w:r>
    </w:p>
    <w:p w14:paraId="45EC5CA2">
      <w:pPr>
        <w:adjustRightInd/>
        <w:snapToGrid/>
        <w:spacing w:line="360" w:lineRule="auto"/>
        <w:ind w:firstLine="480" w:firstLineChars="200"/>
        <w:rPr>
          <w:rFonts w:hint="default" w:ascii="Times New Roman" w:hAnsi="Times New Roman" w:eastAsia="宋体" w:cs="Times New Roman"/>
          <w:color w:val="auto"/>
          <w:kern w:val="0"/>
          <w:sz w:val="24"/>
          <w:szCs w:val="22"/>
          <w:highlight w:val="none"/>
          <w:lang w:val="en-US" w:eastAsia="zh-CN"/>
        </w:rPr>
      </w:pPr>
      <w:r>
        <w:rPr>
          <w:rFonts w:hint="default" w:ascii="Times New Roman" w:hAnsi="Times New Roman" w:eastAsia="宋体" w:cs="Times New Roman"/>
          <w:color w:val="auto"/>
          <w:kern w:val="0"/>
          <w:sz w:val="24"/>
          <w:szCs w:val="22"/>
          <w:highlight w:val="none"/>
          <w:lang w:val="en-US" w:eastAsia="zh-CN"/>
        </w:rPr>
        <w:t>本项目正常排放情况下各项预测因子浓度预测结果见表5-2-</w:t>
      </w:r>
      <w:r>
        <w:rPr>
          <w:rFonts w:hint="eastAsia" w:cs="Times New Roman"/>
          <w:color w:val="auto"/>
          <w:kern w:val="0"/>
          <w:sz w:val="24"/>
          <w:szCs w:val="22"/>
          <w:highlight w:val="none"/>
          <w:lang w:val="en-US" w:eastAsia="zh-CN"/>
        </w:rPr>
        <w:t>17</w:t>
      </w:r>
      <w:r>
        <w:rPr>
          <w:rFonts w:hint="default" w:ascii="Times New Roman" w:hAnsi="Times New Roman" w:eastAsia="宋体" w:cs="Times New Roman"/>
          <w:color w:val="auto"/>
          <w:kern w:val="0"/>
          <w:sz w:val="24"/>
          <w:szCs w:val="22"/>
          <w:highlight w:val="none"/>
          <w:lang w:val="en-US" w:eastAsia="zh-CN"/>
        </w:rPr>
        <w:t>~5-2-</w:t>
      </w:r>
      <w:r>
        <w:rPr>
          <w:rFonts w:hint="eastAsia" w:cs="Times New Roman"/>
          <w:color w:val="auto"/>
          <w:kern w:val="0"/>
          <w:sz w:val="24"/>
          <w:szCs w:val="22"/>
          <w:highlight w:val="none"/>
          <w:lang w:val="en-US" w:eastAsia="zh-CN"/>
        </w:rPr>
        <w:t>19</w:t>
      </w:r>
      <w:r>
        <w:rPr>
          <w:rFonts w:hint="default" w:ascii="Times New Roman" w:hAnsi="Times New Roman" w:eastAsia="宋体" w:cs="Times New Roman"/>
          <w:color w:val="auto"/>
          <w:kern w:val="0"/>
          <w:sz w:val="24"/>
          <w:szCs w:val="22"/>
          <w:highlight w:val="none"/>
          <w:lang w:val="en-US" w:eastAsia="zh-CN"/>
        </w:rPr>
        <w:t>和图5</w:t>
      </w:r>
      <w:r>
        <w:rPr>
          <w:rFonts w:hint="eastAsia" w:cs="Times New Roman"/>
          <w:color w:val="auto"/>
          <w:kern w:val="0"/>
          <w:sz w:val="24"/>
          <w:szCs w:val="22"/>
          <w:highlight w:val="none"/>
          <w:lang w:val="en-US" w:eastAsia="zh-CN"/>
        </w:rPr>
        <w:t>.</w:t>
      </w:r>
      <w:r>
        <w:rPr>
          <w:rFonts w:hint="default" w:ascii="Times New Roman" w:hAnsi="Times New Roman" w:eastAsia="宋体" w:cs="Times New Roman"/>
          <w:color w:val="auto"/>
          <w:kern w:val="0"/>
          <w:sz w:val="24"/>
          <w:szCs w:val="22"/>
          <w:highlight w:val="none"/>
          <w:lang w:val="en-US" w:eastAsia="zh-CN"/>
        </w:rPr>
        <w:t>2-</w:t>
      </w:r>
      <w:r>
        <w:rPr>
          <w:rFonts w:hint="eastAsia" w:cs="Times New Roman"/>
          <w:color w:val="auto"/>
          <w:kern w:val="0"/>
          <w:sz w:val="24"/>
          <w:szCs w:val="22"/>
          <w:highlight w:val="none"/>
          <w:lang w:val="en-US" w:eastAsia="zh-CN"/>
        </w:rPr>
        <w:t>7</w:t>
      </w:r>
      <w:r>
        <w:rPr>
          <w:rFonts w:hint="default" w:ascii="Times New Roman" w:hAnsi="Times New Roman" w:eastAsia="宋体" w:cs="Times New Roman"/>
          <w:color w:val="auto"/>
          <w:kern w:val="0"/>
          <w:sz w:val="24"/>
          <w:szCs w:val="22"/>
          <w:highlight w:val="none"/>
          <w:lang w:val="en-US" w:eastAsia="zh-CN"/>
        </w:rPr>
        <w:t>~5</w:t>
      </w:r>
      <w:r>
        <w:rPr>
          <w:rFonts w:hint="eastAsia" w:cs="Times New Roman"/>
          <w:color w:val="auto"/>
          <w:kern w:val="0"/>
          <w:sz w:val="24"/>
          <w:szCs w:val="22"/>
          <w:highlight w:val="none"/>
          <w:lang w:val="en-US" w:eastAsia="zh-CN"/>
        </w:rPr>
        <w:t>.</w:t>
      </w:r>
      <w:r>
        <w:rPr>
          <w:rFonts w:hint="default" w:ascii="Times New Roman" w:hAnsi="Times New Roman" w:eastAsia="宋体" w:cs="Times New Roman"/>
          <w:color w:val="auto"/>
          <w:kern w:val="0"/>
          <w:sz w:val="24"/>
          <w:szCs w:val="22"/>
          <w:highlight w:val="none"/>
          <w:lang w:val="en-US" w:eastAsia="zh-CN"/>
        </w:rPr>
        <w:t>2-</w:t>
      </w:r>
      <w:r>
        <w:rPr>
          <w:rFonts w:hint="eastAsia" w:cs="Times New Roman"/>
          <w:color w:val="auto"/>
          <w:kern w:val="0"/>
          <w:sz w:val="24"/>
          <w:szCs w:val="22"/>
          <w:highlight w:val="none"/>
          <w:lang w:val="en-US" w:eastAsia="zh-CN"/>
        </w:rPr>
        <w:t>8</w:t>
      </w:r>
      <w:r>
        <w:rPr>
          <w:rFonts w:hint="default" w:ascii="Times New Roman" w:hAnsi="Times New Roman" w:eastAsia="宋体" w:cs="Times New Roman"/>
          <w:color w:val="auto"/>
          <w:kern w:val="0"/>
          <w:sz w:val="24"/>
          <w:szCs w:val="22"/>
          <w:highlight w:val="none"/>
          <w:lang w:val="en-US" w:eastAsia="zh-CN"/>
        </w:rPr>
        <w:t>。</w:t>
      </w:r>
    </w:p>
    <w:p w14:paraId="09F11FD3">
      <w:pPr>
        <w:widowControl w:val="0"/>
        <w:ind w:firstLine="480" w:firstLineChars="200"/>
        <w:jc w:val="center"/>
        <w:rPr>
          <w:rFonts w:hint="default" w:ascii="Times New Roman" w:hAnsi="Times New Roman" w:eastAsia="宋体" w:cs="Times New Roman"/>
          <w:color w:val="auto"/>
          <w:kern w:val="2"/>
          <w:sz w:val="24"/>
          <w:szCs w:val="22"/>
          <w:highlight w:val="none"/>
          <w:lang w:val="en-US" w:eastAsia="zh-CN" w:bidi="ar-SA"/>
        </w:rPr>
      </w:pPr>
    </w:p>
    <w:p w14:paraId="6CEB3E7D">
      <w:pPr>
        <w:rPr>
          <w:rFonts w:hint="default" w:ascii="Times New Roman" w:hAnsi="Times New Roman" w:cs="Times New Roman"/>
          <w:color w:val="auto"/>
          <w:highlight w:val="none"/>
          <w:lang w:val="en-US" w:eastAsia="zh-CN"/>
        </w:rPr>
        <w:sectPr>
          <w:pgSz w:w="11906" w:h="16838"/>
          <w:pgMar w:top="1440" w:right="1797" w:bottom="1440" w:left="1797" w:header="992" w:footer="992" w:gutter="0"/>
          <w:pgBorders>
            <w:top w:val="none" w:sz="0" w:space="0"/>
            <w:left w:val="none" w:sz="0" w:space="0"/>
            <w:bottom w:val="none" w:sz="0" w:space="0"/>
            <w:right w:val="none" w:sz="0" w:space="0"/>
          </w:pgBorders>
          <w:pgNumType w:fmt="decimal"/>
          <w:cols w:space="720" w:num="1"/>
          <w:docGrid w:type="lines" w:linePitch="312" w:charSpace="0"/>
        </w:sectPr>
      </w:pPr>
    </w:p>
    <w:p w14:paraId="15AF1A17">
      <w:pPr>
        <w:keepNext w:val="0"/>
        <w:keepLines w:val="0"/>
        <w:pageBreakBefore w:val="0"/>
        <w:widowControl w:val="0"/>
        <w:kinsoku/>
        <w:wordWrap/>
        <w:overflowPunct/>
        <w:topLinePunct w:val="0"/>
        <w:autoSpaceDE/>
        <w:autoSpaceDN/>
        <w:bidi w:val="0"/>
        <w:adjustRightInd/>
        <w:snapToGrid/>
        <w:spacing w:before="313" w:beforeLines="100" w:line="360" w:lineRule="auto"/>
        <w:ind w:firstLine="0" w:firstLineChars="0"/>
        <w:jc w:val="center"/>
        <w:textAlignment w:val="auto"/>
        <w:rPr>
          <w:rFonts w:hint="default" w:ascii="Times New Roman" w:hAnsi="Times New Roman" w:eastAsia="黑体" w:cs="Times New Roman"/>
          <w:color w:val="auto"/>
          <w:kern w:val="0"/>
          <w:sz w:val="24"/>
          <w:szCs w:val="22"/>
          <w:highlight w:val="none"/>
        </w:rPr>
      </w:pPr>
      <w:r>
        <w:rPr>
          <w:rFonts w:hint="default" w:ascii="Times New Roman" w:hAnsi="Times New Roman" w:eastAsia="黑体" w:cs="Times New Roman"/>
          <w:color w:val="auto"/>
          <w:kern w:val="0"/>
          <w:sz w:val="24"/>
          <w:szCs w:val="22"/>
          <w:highlight w:val="none"/>
        </w:rPr>
        <w:t>表</w:t>
      </w:r>
      <w:r>
        <w:rPr>
          <w:rFonts w:hint="default" w:ascii="Times New Roman" w:hAnsi="Times New Roman" w:eastAsia="黑体" w:cs="Times New Roman"/>
          <w:color w:val="auto"/>
          <w:kern w:val="0"/>
          <w:sz w:val="24"/>
          <w:szCs w:val="22"/>
          <w:highlight w:val="none"/>
          <w:lang w:val="en-US" w:eastAsia="zh-CN"/>
        </w:rPr>
        <w:t>5-2-1</w:t>
      </w:r>
      <w:r>
        <w:rPr>
          <w:rFonts w:hint="eastAsia" w:eastAsia="黑体" w:cs="Times New Roman"/>
          <w:color w:val="auto"/>
          <w:kern w:val="0"/>
          <w:sz w:val="24"/>
          <w:szCs w:val="22"/>
          <w:highlight w:val="none"/>
          <w:lang w:val="en-US" w:eastAsia="zh-CN"/>
        </w:rPr>
        <w:t>7</w:t>
      </w:r>
      <w:r>
        <w:rPr>
          <w:rFonts w:hint="default" w:ascii="Times New Roman" w:hAnsi="Times New Roman" w:eastAsia="黑体" w:cs="Times New Roman"/>
          <w:color w:val="auto"/>
          <w:kern w:val="0"/>
          <w:sz w:val="24"/>
          <w:szCs w:val="22"/>
          <w:highlight w:val="none"/>
        </w:rPr>
        <w:t xml:space="preserve"> </w:t>
      </w:r>
      <w:r>
        <w:rPr>
          <w:rFonts w:hint="default" w:ascii="Times New Roman" w:hAnsi="Times New Roman" w:eastAsia="黑体" w:cs="Times New Roman"/>
          <w:color w:val="auto"/>
          <w:kern w:val="0"/>
          <w:sz w:val="24"/>
          <w:szCs w:val="22"/>
          <w:highlight w:val="none"/>
          <w:lang w:val="en-US" w:eastAsia="zh-CN"/>
        </w:rPr>
        <w:t>本项目NH</w:t>
      </w:r>
      <w:r>
        <w:rPr>
          <w:rFonts w:hint="default" w:ascii="Times New Roman" w:hAnsi="Times New Roman" w:eastAsia="黑体" w:cs="Times New Roman"/>
          <w:color w:val="auto"/>
          <w:kern w:val="0"/>
          <w:sz w:val="24"/>
          <w:szCs w:val="22"/>
          <w:highlight w:val="none"/>
          <w:vertAlign w:val="subscript"/>
          <w:lang w:val="en-US" w:eastAsia="zh-CN"/>
        </w:rPr>
        <w:t>3</w:t>
      </w:r>
      <w:r>
        <w:rPr>
          <w:rFonts w:hint="default" w:ascii="Times New Roman" w:hAnsi="Times New Roman" w:eastAsia="黑体" w:cs="Times New Roman"/>
          <w:color w:val="auto"/>
          <w:kern w:val="0"/>
          <w:sz w:val="24"/>
          <w:szCs w:val="22"/>
          <w:highlight w:val="none"/>
          <w:vertAlign w:val="baseline"/>
          <w:lang w:val="en-US" w:eastAsia="zh-CN"/>
        </w:rPr>
        <w:t>贡献</w:t>
      </w:r>
      <w:r>
        <w:rPr>
          <w:rFonts w:hint="default" w:ascii="Times New Roman" w:hAnsi="Times New Roman" w:eastAsia="黑体" w:cs="Times New Roman"/>
          <w:color w:val="auto"/>
          <w:kern w:val="0"/>
          <w:sz w:val="24"/>
          <w:szCs w:val="22"/>
          <w:highlight w:val="none"/>
        </w:rPr>
        <w:t>质量浓度预测结果表</w:t>
      </w:r>
    </w:p>
    <w:tbl>
      <w:tblPr>
        <w:tblStyle w:val="47"/>
        <w:tblW w:w="13393"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3"/>
        <w:gridCol w:w="1222"/>
        <w:gridCol w:w="966"/>
        <w:gridCol w:w="882"/>
        <w:gridCol w:w="1153"/>
        <w:gridCol w:w="1544"/>
        <w:gridCol w:w="1459"/>
        <w:gridCol w:w="1613"/>
        <w:gridCol w:w="1481"/>
        <w:gridCol w:w="1170"/>
        <w:gridCol w:w="1170"/>
      </w:tblGrid>
      <w:tr w14:paraId="5E5FB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0" w:hRule="atLeast"/>
        </w:trPr>
        <w:tc>
          <w:tcPr>
            <w:tcW w:w="733" w:type="dxa"/>
            <w:tcBorders>
              <w:tl2br w:val="nil"/>
              <w:tr2bl w:val="nil"/>
            </w:tcBorders>
            <w:noWrap/>
            <w:vAlign w:val="center"/>
          </w:tcPr>
          <w:p w14:paraId="43AE102B">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序号</w:t>
            </w:r>
          </w:p>
        </w:tc>
        <w:tc>
          <w:tcPr>
            <w:tcW w:w="1222" w:type="dxa"/>
            <w:tcBorders>
              <w:tl2br w:val="nil"/>
              <w:tr2bl w:val="nil"/>
            </w:tcBorders>
            <w:noWrap/>
            <w:vAlign w:val="center"/>
          </w:tcPr>
          <w:p w14:paraId="541AC511">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点名称</w:t>
            </w:r>
          </w:p>
        </w:tc>
        <w:tc>
          <w:tcPr>
            <w:tcW w:w="966" w:type="dxa"/>
            <w:tcBorders>
              <w:tl2br w:val="nil"/>
              <w:tr2bl w:val="nil"/>
            </w:tcBorders>
            <w:noWrap/>
            <w:vAlign w:val="center"/>
          </w:tcPr>
          <w:p w14:paraId="4AA0705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w:t>
            </w:r>
          </w:p>
        </w:tc>
        <w:tc>
          <w:tcPr>
            <w:tcW w:w="882" w:type="dxa"/>
            <w:tcBorders>
              <w:tl2br w:val="nil"/>
              <w:tr2bl w:val="nil"/>
            </w:tcBorders>
            <w:noWrap/>
            <w:vAlign w:val="center"/>
          </w:tcPr>
          <w:p w14:paraId="047404C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w:t>
            </w:r>
          </w:p>
        </w:tc>
        <w:tc>
          <w:tcPr>
            <w:tcW w:w="1153" w:type="dxa"/>
            <w:tcBorders>
              <w:tl2br w:val="nil"/>
              <w:tr2bl w:val="nil"/>
            </w:tcBorders>
            <w:noWrap/>
            <w:vAlign w:val="center"/>
          </w:tcPr>
          <w:p w14:paraId="0F7FEE2E">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浓度类型</w:t>
            </w:r>
          </w:p>
        </w:tc>
        <w:tc>
          <w:tcPr>
            <w:tcW w:w="1544" w:type="dxa"/>
            <w:tcBorders>
              <w:tl2br w:val="nil"/>
              <w:tr2bl w:val="nil"/>
            </w:tcBorders>
            <w:noWrap/>
            <w:vAlign w:val="center"/>
          </w:tcPr>
          <w:p w14:paraId="008C65C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浓度增量(mg/m^3)</w:t>
            </w:r>
          </w:p>
        </w:tc>
        <w:tc>
          <w:tcPr>
            <w:tcW w:w="1459" w:type="dxa"/>
            <w:tcBorders>
              <w:tl2br w:val="nil"/>
              <w:tr2bl w:val="nil"/>
            </w:tcBorders>
            <w:noWrap/>
            <w:vAlign w:val="center"/>
          </w:tcPr>
          <w:p w14:paraId="3D8D171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出现时间</w:t>
            </w:r>
          </w:p>
        </w:tc>
        <w:tc>
          <w:tcPr>
            <w:tcW w:w="1613" w:type="dxa"/>
            <w:tcBorders>
              <w:tl2br w:val="nil"/>
              <w:tr2bl w:val="nil"/>
            </w:tcBorders>
            <w:noWrap/>
            <w:vAlign w:val="center"/>
          </w:tcPr>
          <w:p w14:paraId="28CEFE90">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贡献浓度(mg/m^3)</w:t>
            </w:r>
          </w:p>
        </w:tc>
        <w:tc>
          <w:tcPr>
            <w:tcW w:w="1481" w:type="dxa"/>
            <w:tcBorders>
              <w:tl2br w:val="nil"/>
              <w:tr2bl w:val="nil"/>
            </w:tcBorders>
            <w:noWrap/>
            <w:vAlign w:val="center"/>
          </w:tcPr>
          <w:p w14:paraId="23171EA6">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评价标准(mg/m^3)</w:t>
            </w:r>
          </w:p>
        </w:tc>
        <w:tc>
          <w:tcPr>
            <w:tcW w:w="1170" w:type="dxa"/>
            <w:tcBorders>
              <w:tl2br w:val="nil"/>
              <w:tr2bl w:val="nil"/>
            </w:tcBorders>
            <w:noWrap/>
            <w:vAlign w:val="center"/>
          </w:tcPr>
          <w:p w14:paraId="18C97D4B">
            <w:pPr>
              <w:pStyle w:val="49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占标率%</w:t>
            </w:r>
          </w:p>
        </w:tc>
        <w:tc>
          <w:tcPr>
            <w:tcW w:w="1170" w:type="dxa"/>
            <w:tcBorders>
              <w:tl2br w:val="nil"/>
              <w:tr2bl w:val="nil"/>
            </w:tcBorders>
            <w:noWrap/>
            <w:vAlign w:val="center"/>
          </w:tcPr>
          <w:p w14:paraId="26FB6DE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是否超标</w:t>
            </w:r>
          </w:p>
        </w:tc>
      </w:tr>
      <w:tr w14:paraId="76C3B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33" w:type="dxa"/>
            <w:tcBorders>
              <w:tl2br w:val="nil"/>
              <w:tr2bl w:val="nil"/>
            </w:tcBorders>
            <w:noWrap/>
            <w:vAlign w:val="center"/>
          </w:tcPr>
          <w:p w14:paraId="5A10BF3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222" w:type="dxa"/>
            <w:tcBorders>
              <w:tl2br w:val="nil"/>
              <w:tr2bl w:val="nil"/>
            </w:tcBorders>
            <w:noWrap/>
            <w:vAlign w:val="center"/>
          </w:tcPr>
          <w:p w14:paraId="023C7C93">
            <w:pPr>
              <w:pStyle w:val="494"/>
              <w:bidi w:val="0"/>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厂区内1#</w:t>
            </w:r>
          </w:p>
        </w:tc>
        <w:tc>
          <w:tcPr>
            <w:tcW w:w="966" w:type="dxa"/>
            <w:tcBorders>
              <w:tl2br w:val="nil"/>
              <w:tr2bl w:val="nil"/>
            </w:tcBorders>
            <w:noWrap/>
            <w:vAlign w:val="center"/>
          </w:tcPr>
          <w:p w14:paraId="3D617362">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12</w:t>
            </w:r>
          </w:p>
        </w:tc>
        <w:tc>
          <w:tcPr>
            <w:tcW w:w="882" w:type="dxa"/>
            <w:tcBorders>
              <w:tl2br w:val="nil"/>
              <w:tr2bl w:val="nil"/>
            </w:tcBorders>
            <w:noWrap/>
            <w:vAlign w:val="center"/>
          </w:tcPr>
          <w:p w14:paraId="133C0E01">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84</w:t>
            </w:r>
          </w:p>
        </w:tc>
        <w:tc>
          <w:tcPr>
            <w:tcW w:w="1153" w:type="dxa"/>
            <w:tcBorders>
              <w:tl2br w:val="nil"/>
              <w:tr2bl w:val="nil"/>
            </w:tcBorders>
            <w:noWrap/>
            <w:vAlign w:val="center"/>
          </w:tcPr>
          <w:p w14:paraId="35865172">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544" w:type="dxa"/>
            <w:tcBorders>
              <w:tl2br w:val="nil"/>
              <w:tr2bl w:val="nil"/>
            </w:tcBorders>
            <w:noWrap/>
            <w:vAlign w:val="center"/>
          </w:tcPr>
          <w:p w14:paraId="3E019F1D">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1.32E-03</w:t>
            </w:r>
          </w:p>
        </w:tc>
        <w:tc>
          <w:tcPr>
            <w:tcW w:w="1459" w:type="dxa"/>
            <w:tcBorders>
              <w:tl2br w:val="nil"/>
              <w:tr2bl w:val="nil"/>
            </w:tcBorders>
            <w:noWrap/>
            <w:vAlign w:val="center"/>
          </w:tcPr>
          <w:p w14:paraId="3F655FB7">
            <w:pPr>
              <w:pStyle w:val="494"/>
              <w:bidi w:val="0"/>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100110512</w:t>
            </w:r>
          </w:p>
        </w:tc>
        <w:tc>
          <w:tcPr>
            <w:tcW w:w="1613" w:type="dxa"/>
            <w:tcBorders>
              <w:tl2br w:val="nil"/>
              <w:tr2bl w:val="nil"/>
            </w:tcBorders>
            <w:noWrap/>
            <w:vAlign w:val="center"/>
          </w:tcPr>
          <w:p w14:paraId="6C38B3EA">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1.32E-03</w:t>
            </w:r>
          </w:p>
        </w:tc>
        <w:tc>
          <w:tcPr>
            <w:tcW w:w="1481" w:type="dxa"/>
            <w:tcBorders>
              <w:tl2br w:val="nil"/>
              <w:tr2bl w:val="nil"/>
            </w:tcBorders>
            <w:noWrap/>
            <w:vAlign w:val="center"/>
          </w:tcPr>
          <w:p w14:paraId="2552D46F">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1170" w:type="dxa"/>
            <w:tcBorders>
              <w:tl2br w:val="nil"/>
              <w:tr2bl w:val="nil"/>
            </w:tcBorders>
            <w:noWrap/>
            <w:vAlign w:val="center"/>
          </w:tcPr>
          <w:p w14:paraId="6B51A46F">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66</w:t>
            </w:r>
          </w:p>
        </w:tc>
        <w:tc>
          <w:tcPr>
            <w:tcW w:w="1170" w:type="dxa"/>
            <w:tcBorders>
              <w:tl2br w:val="nil"/>
              <w:tr2bl w:val="nil"/>
            </w:tcBorders>
            <w:noWrap/>
            <w:vAlign w:val="center"/>
          </w:tcPr>
          <w:p w14:paraId="7242EBC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1219F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733" w:type="dxa"/>
            <w:tcBorders>
              <w:tl2br w:val="nil"/>
              <w:tr2bl w:val="nil"/>
            </w:tcBorders>
            <w:noWrap/>
            <w:vAlign w:val="center"/>
          </w:tcPr>
          <w:p w14:paraId="029450AE">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1222" w:type="dxa"/>
            <w:tcBorders>
              <w:tl2br w:val="nil"/>
              <w:tr2bl w:val="nil"/>
            </w:tcBorders>
            <w:noWrap/>
            <w:vAlign w:val="center"/>
          </w:tcPr>
          <w:p w14:paraId="558431DF">
            <w:pPr>
              <w:pStyle w:val="494"/>
              <w:bidi w:val="0"/>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厂区下风向2#</w:t>
            </w:r>
          </w:p>
        </w:tc>
        <w:tc>
          <w:tcPr>
            <w:tcW w:w="966" w:type="dxa"/>
            <w:tcBorders>
              <w:tl2br w:val="nil"/>
              <w:tr2bl w:val="nil"/>
            </w:tcBorders>
            <w:noWrap/>
            <w:vAlign w:val="center"/>
          </w:tcPr>
          <w:p w14:paraId="2C2BB244">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418</w:t>
            </w:r>
          </w:p>
        </w:tc>
        <w:tc>
          <w:tcPr>
            <w:tcW w:w="882" w:type="dxa"/>
            <w:tcBorders>
              <w:tl2br w:val="nil"/>
              <w:tr2bl w:val="nil"/>
            </w:tcBorders>
            <w:noWrap/>
            <w:vAlign w:val="center"/>
          </w:tcPr>
          <w:p w14:paraId="44E45DFD">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-1069</w:t>
            </w:r>
          </w:p>
        </w:tc>
        <w:tc>
          <w:tcPr>
            <w:tcW w:w="1153" w:type="dxa"/>
            <w:tcBorders>
              <w:tl2br w:val="nil"/>
              <w:tr2bl w:val="nil"/>
            </w:tcBorders>
            <w:noWrap/>
            <w:vAlign w:val="center"/>
          </w:tcPr>
          <w:p w14:paraId="0130D6A0">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544" w:type="dxa"/>
            <w:tcBorders>
              <w:tl2br w:val="nil"/>
              <w:tr2bl w:val="nil"/>
            </w:tcBorders>
            <w:noWrap/>
            <w:vAlign w:val="center"/>
          </w:tcPr>
          <w:p w14:paraId="2B4124A1">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3.38E-05</w:t>
            </w:r>
          </w:p>
        </w:tc>
        <w:tc>
          <w:tcPr>
            <w:tcW w:w="1459" w:type="dxa"/>
            <w:tcBorders>
              <w:tl2br w:val="nil"/>
              <w:tr2bl w:val="nil"/>
            </w:tcBorders>
            <w:noWrap/>
            <w:vAlign w:val="center"/>
          </w:tcPr>
          <w:p w14:paraId="1CB2C370">
            <w:pPr>
              <w:pStyle w:val="494"/>
              <w:bidi w:val="0"/>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10012012</w:t>
            </w:r>
          </w:p>
        </w:tc>
        <w:tc>
          <w:tcPr>
            <w:tcW w:w="1613" w:type="dxa"/>
            <w:tcBorders>
              <w:tl2br w:val="nil"/>
              <w:tr2bl w:val="nil"/>
            </w:tcBorders>
            <w:noWrap/>
            <w:vAlign w:val="center"/>
          </w:tcPr>
          <w:p w14:paraId="766DBF80">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3.38E-05</w:t>
            </w:r>
          </w:p>
        </w:tc>
        <w:tc>
          <w:tcPr>
            <w:tcW w:w="1481" w:type="dxa"/>
            <w:tcBorders>
              <w:tl2br w:val="nil"/>
              <w:tr2bl w:val="nil"/>
            </w:tcBorders>
            <w:noWrap/>
            <w:vAlign w:val="center"/>
          </w:tcPr>
          <w:p w14:paraId="72041DCB">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1170" w:type="dxa"/>
            <w:tcBorders>
              <w:tl2br w:val="nil"/>
              <w:tr2bl w:val="nil"/>
            </w:tcBorders>
            <w:noWrap/>
            <w:vAlign w:val="center"/>
          </w:tcPr>
          <w:p w14:paraId="455FD0E2">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0.0</w:t>
            </w:r>
            <w:r>
              <w:rPr>
                <w:rFonts w:hint="eastAsia" w:cs="Times New Roman"/>
                <w:color w:val="auto"/>
                <w:highlight w:val="none"/>
                <w:lang w:val="en-US" w:eastAsia="zh-CN"/>
              </w:rPr>
              <w:t>2</w:t>
            </w:r>
          </w:p>
        </w:tc>
        <w:tc>
          <w:tcPr>
            <w:tcW w:w="1170" w:type="dxa"/>
            <w:tcBorders>
              <w:tl2br w:val="nil"/>
              <w:tr2bl w:val="nil"/>
            </w:tcBorders>
            <w:noWrap/>
            <w:vAlign w:val="center"/>
          </w:tcPr>
          <w:p w14:paraId="2711819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7E160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733" w:type="dxa"/>
            <w:tcBorders>
              <w:tl2br w:val="nil"/>
              <w:tr2bl w:val="nil"/>
            </w:tcBorders>
            <w:noWrap/>
            <w:vAlign w:val="center"/>
          </w:tcPr>
          <w:p w14:paraId="1A3437FA">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w:t>
            </w:r>
          </w:p>
        </w:tc>
        <w:tc>
          <w:tcPr>
            <w:tcW w:w="1222" w:type="dxa"/>
            <w:tcBorders>
              <w:tl2br w:val="nil"/>
              <w:tr2bl w:val="nil"/>
            </w:tcBorders>
            <w:noWrap/>
            <w:vAlign w:val="center"/>
          </w:tcPr>
          <w:p w14:paraId="0B622487">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网格</w:t>
            </w:r>
          </w:p>
        </w:tc>
        <w:tc>
          <w:tcPr>
            <w:tcW w:w="966" w:type="dxa"/>
            <w:tcBorders>
              <w:tl2br w:val="nil"/>
              <w:tr2bl w:val="nil"/>
            </w:tcBorders>
            <w:noWrap/>
            <w:vAlign w:val="center"/>
          </w:tcPr>
          <w:p w14:paraId="7664503B">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846</w:t>
            </w:r>
          </w:p>
        </w:tc>
        <w:tc>
          <w:tcPr>
            <w:tcW w:w="882" w:type="dxa"/>
            <w:tcBorders>
              <w:tl2br w:val="nil"/>
              <w:tr2bl w:val="nil"/>
            </w:tcBorders>
            <w:noWrap/>
            <w:vAlign w:val="center"/>
          </w:tcPr>
          <w:p w14:paraId="6D2AB745">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26</w:t>
            </w:r>
          </w:p>
        </w:tc>
        <w:tc>
          <w:tcPr>
            <w:tcW w:w="1153" w:type="dxa"/>
            <w:tcBorders>
              <w:tl2br w:val="nil"/>
              <w:tr2bl w:val="nil"/>
            </w:tcBorders>
            <w:noWrap/>
            <w:vAlign w:val="center"/>
          </w:tcPr>
          <w:p w14:paraId="5D3F832F">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544" w:type="dxa"/>
            <w:tcBorders>
              <w:tl2br w:val="nil"/>
              <w:tr2bl w:val="nil"/>
            </w:tcBorders>
            <w:noWrap/>
            <w:vAlign w:val="center"/>
          </w:tcPr>
          <w:p w14:paraId="18E2EB40">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1.80E-03</w:t>
            </w:r>
          </w:p>
        </w:tc>
        <w:tc>
          <w:tcPr>
            <w:tcW w:w="1459" w:type="dxa"/>
            <w:tcBorders>
              <w:tl2br w:val="nil"/>
              <w:tr2bl w:val="nil"/>
            </w:tcBorders>
            <w:noWrap/>
            <w:vAlign w:val="center"/>
          </w:tcPr>
          <w:p w14:paraId="25922824">
            <w:pPr>
              <w:pStyle w:val="494"/>
              <w:bidi w:val="0"/>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100111604</w:t>
            </w:r>
          </w:p>
        </w:tc>
        <w:tc>
          <w:tcPr>
            <w:tcW w:w="1613" w:type="dxa"/>
            <w:tcBorders>
              <w:tl2br w:val="nil"/>
              <w:tr2bl w:val="nil"/>
            </w:tcBorders>
            <w:noWrap/>
            <w:vAlign w:val="center"/>
          </w:tcPr>
          <w:p w14:paraId="2D6ACA08">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1.80E-03</w:t>
            </w:r>
          </w:p>
        </w:tc>
        <w:tc>
          <w:tcPr>
            <w:tcW w:w="1481" w:type="dxa"/>
            <w:tcBorders>
              <w:tl2br w:val="nil"/>
              <w:tr2bl w:val="nil"/>
            </w:tcBorders>
            <w:noWrap/>
            <w:vAlign w:val="center"/>
          </w:tcPr>
          <w:p w14:paraId="5B73E8EC">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1170" w:type="dxa"/>
            <w:tcBorders>
              <w:tl2br w:val="nil"/>
              <w:tr2bl w:val="nil"/>
            </w:tcBorders>
            <w:noWrap/>
            <w:vAlign w:val="center"/>
          </w:tcPr>
          <w:p w14:paraId="77180FCE">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w:t>
            </w:r>
            <w:r>
              <w:rPr>
                <w:rFonts w:hint="eastAsia" w:cs="Times New Roman"/>
                <w:color w:val="auto"/>
                <w:highlight w:val="none"/>
                <w:lang w:val="en-US" w:eastAsia="zh-CN"/>
              </w:rPr>
              <w:t>90</w:t>
            </w:r>
          </w:p>
        </w:tc>
        <w:tc>
          <w:tcPr>
            <w:tcW w:w="1170" w:type="dxa"/>
            <w:tcBorders>
              <w:tl2br w:val="nil"/>
              <w:tr2bl w:val="nil"/>
            </w:tcBorders>
            <w:noWrap/>
            <w:vAlign w:val="center"/>
          </w:tcPr>
          <w:p w14:paraId="357FDA80">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bl>
    <w:p w14:paraId="437DE695">
      <w:pPr>
        <w:pStyle w:val="22"/>
        <w:rPr>
          <w:rFonts w:hint="default" w:ascii="Times New Roman" w:hAnsi="Times New Roman" w:cs="Times New Roman"/>
          <w:color w:val="auto"/>
          <w:highlight w:val="none"/>
        </w:rPr>
      </w:pPr>
    </w:p>
    <w:p w14:paraId="2F5C8D7B">
      <w:pPr>
        <w:adjustRightInd/>
        <w:snapToGrid/>
        <w:spacing w:line="360" w:lineRule="auto"/>
        <w:ind w:firstLine="0" w:firstLineChars="0"/>
        <w:jc w:val="center"/>
        <w:rPr>
          <w:rFonts w:hint="default" w:ascii="Times New Roman" w:hAnsi="Times New Roman" w:eastAsia="黑体" w:cs="Times New Roman"/>
          <w:color w:val="auto"/>
          <w:kern w:val="0"/>
          <w:sz w:val="24"/>
          <w:szCs w:val="22"/>
          <w:highlight w:val="none"/>
          <w:lang w:eastAsia="zh-CN"/>
        </w:rPr>
      </w:pPr>
      <w:r>
        <w:rPr>
          <w:rFonts w:hint="default" w:ascii="Times New Roman" w:hAnsi="Times New Roman" w:eastAsia="黑体" w:cs="Times New Roman"/>
          <w:color w:val="auto"/>
          <w:kern w:val="0"/>
          <w:sz w:val="24"/>
          <w:szCs w:val="22"/>
          <w:highlight w:val="none"/>
        </w:rPr>
        <w:t>表</w:t>
      </w:r>
      <w:r>
        <w:rPr>
          <w:rFonts w:hint="default" w:ascii="Times New Roman" w:hAnsi="Times New Roman" w:eastAsia="黑体" w:cs="Times New Roman"/>
          <w:color w:val="auto"/>
          <w:kern w:val="0"/>
          <w:sz w:val="24"/>
          <w:szCs w:val="22"/>
          <w:highlight w:val="none"/>
          <w:lang w:val="en-US" w:eastAsia="zh-CN"/>
        </w:rPr>
        <w:t>5-2-</w:t>
      </w:r>
      <w:r>
        <w:rPr>
          <w:rFonts w:hint="eastAsia" w:eastAsia="黑体" w:cs="Times New Roman"/>
          <w:color w:val="auto"/>
          <w:kern w:val="0"/>
          <w:sz w:val="24"/>
          <w:szCs w:val="22"/>
          <w:highlight w:val="none"/>
          <w:lang w:val="en-US" w:eastAsia="zh-CN"/>
        </w:rPr>
        <w:t>18</w:t>
      </w:r>
      <w:r>
        <w:rPr>
          <w:rFonts w:hint="default" w:ascii="Times New Roman" w:hAnsi="Times New Roman" w:eastAsia="黑体" w:cs="Times New Roman"/>
          <w:color w:val="auto"/>
          <w:kern w:val="0"/>
          <w:sz w:val="24"/>
          <w:szCs w:val="22"/>
          <w:highlight w:val="none"/>
        </w:rPr>
        <w:t xml:space="preserve">  </w:t>
      </w:r>
      <w:r>
        <w:rPr>
          <w:rFonts w:hint="default" w:ascii="Times New Roman" w:hAnsi="Times New Roman" w:eastAsia="黑体" w:cs="Times New Roman"/>
          <w:color w:val="auto"/>
          <w:kern w:val="0"/>
          <w:sz w:val="24"/>
          <w:szCs w:val="22"/>
          <w:highlight w:val="none"/>
          <w:lang w:val="en-US" w:eastAsia="zh-CN"/>
        </w:rPr>
        <w:t>本项目H</w:t>
      </w:r>
      <w:r>
        <w:rPr>
          <w:rFonts w:hint="default" w:ascii="Times New Roman" w:hAnsi="Times New Roman" w:eastAsia="黑体" w:cs="Times New Roman"/>
          <w:color w:val="auto"/>
          <w:kern w:val="0"/>
          <w:sz w:val="24"/>
          <w:szCs w:val="22"/>
          <w:highlight w:val="none"/>
          <w:vertAlign w:val="subscript"/>
          <w:lang w:val="en-US" w:eastAsia="zh-CN"/>
        </w:rPr>
        <w:t>2</w:t>
      </w:r>
      <w:r>
        <w:rPr>
          <w:rFonts w:hint="default" w:ascii="Times New Roman" w:hAnsi="Times New Roman" w:eastAsia="黑体" w:cs="Times New Roman"/>
          <w:color w:val="auto"/>
          <w:kern w:val="0"/>
          <w:sz w:val="24"/>
          <w:szCs w:val="22"/>
          <w:highlight w:val="none"/>
          <w:lang w:val="en-US" w:eastAsia="zh-CN"/>
        </w:rPr>
        <w:t>S</w:t>
      </w:r>
      <w:r>
        <w:rPr>
          <w:rFonts w:hint="default" w:ascii="Times New Roman" w:hAnsi="Times New Roman" w:eastAsia="黑体" w:cs="Times New Roman"/>
          <w:color w:val="auto"/>
          <w:kern w:val="0"/>
          <w:sz w:val="24"/>
          <w:szCs w:val="22"/>
          <w:highlight w:val="none"/>
          <w:vertAlign w:val="baseline"/>
          <w:lang w:val="en-US" w:eastAsia="zh-CN"/>
        </w:rPr>
        <w:t>贡献</w:t>
      </w:r>
      <w:r>
        <w:rPr>
          <w:rFonts w:hint="default" w:ascii="Times New Roman" w:hAnsi="Times New Roman" w:eastAsia="黑体" w:cs="Times New Roman"/>
          <w:color w:val="auto"/>
          <w:kern w:val="0"/>
          <w:sz w:val="24"/>
          <w:szCs w:val="22"/>
          <w:highlight w:val="none"/>
        </w:rPr>
        <w:t>质量浓度预测结果表</w:t>
      </w:r>
    </w:p>
    <w:tbl>
      <w:tblPr>
        <w:tblStyle w:val="47"/>
        <w:tblW w:w="13536"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223"/>
        <w:gridCol w:w="1017"/>
        <w:gridCol w:w="896"/>
        <w:gridCol w:w="1121"/>
        <w:gridCol w:w="1620"/>
        <w:gridCol w:w="1414"/>
        <w:gridCol w:w="1517"/>
        <w:gridCol w:w="1682"/>
        <w:gridCol w:w="1064"/>
        <w:gridCol w:w="1237"/>
      </w:tblGrid>
      <w:tr w14:paraId="76A2B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6" w:hRule="atLeast"/>
        </w:trPr>
        <w:tc>
          <w:tcPr>
            <w:tcW w:w="745" w:type="dxa"/>
            <w:tcBorders>
              <w:tl2br w:val="nil"/>
              <w:tr2bl w:val="nil"/>
            </w:tcBorders>
            <w:noWrap/>
            <w:vAlign w:val="center"/>
          </w:tcPr>
          <w:p w14:paraId="05752C3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序号</w:t>
            </w:r>
          </w:p>
        </w:tc>
        <w:tc>
          <w:tcPr>
            <w:tcW w:w="1223" w:type="dxa"/>
            <w:tcBorders>
              <w:tl2br w:val="nil"/>
              <w:tr2bl w:val="nil"/>
            </w:tcBorders>
            <w:noWrap/>
            <w:vAlign w:val="center"/>
          </w:tcPr>
          <w:p w14:paraId="59EC4B2E">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点名称</w:t>
            </w:r>
          </w:p>
        </w:tc>
        <w:tc>
          <w:tcPr>
            <w:tcW w:w="1017" w:type="dxa"/>
            <w:tcBorders>
              <w:tl2br w:val="nil"/>
              <w:tr2bl w:val="nil"/>
            </w:tcBorders>
            <w:noWrap/>
            <w:vAlign w:val="center"/>
          </w:tcPr>
          <w:p w14:paraId="234E9F9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w:t>
            </w:r>
          </w:p>
        </w:tc>
        <w:tc>
          <w:tcPr>
            <w:tcW w:w="896" w:type="dxa"/>
            <w:tcBorders>
              <w:tl2br w:val="nil"/>
              <w:tr2bl w:val="nil"/>
            </w:tcBorders>
            <w:noWrap/>
            <w:vAlign w:val="center"/>
          </w:tcPr>
          <w:p w14:paraId="51336C50">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w:t>
            </w:r>
          </w:p>
        </w:tc>
        <w:tc>
          <w:tcPr>
            <w:tcW w:w="1121" w:type="dxa"/>
            <w:tcBorders>
              <w:tl2br w:val="nil"/>
              <w:tr2bl w:val="nil"/>
            </w:tcBorders>
            <w:noWrap/>
            <w:vAlign w:val="center"/>
          </w:tcPr>
          <w:p w14:paraId="248FE2E1">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浓度类型</w:t>
            </w:r>
          </w:p>
        </w:tc>
        <w:tc>
          <w:tcPr>
            <w:tcW w:w="1620" w:type="dxa"/>
            <w:tcBorders>
              <w:tl2br w:val="nil"/>
              <w:tr2bl w:val="nil"/>
            </w:tcBorders>
            <w:noWrap/>
            <w:vAlign w:val="center"/>
          </w:tcPr>
          <w:p w14:paraId="050E1F4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浓度增量(mg/m^3)</w:t>
            </w:r>
          </w:p>
        </w:tc>
        <w:tc>
          <w:tcPr>
            <w:tcW w:w="1414" w:type="dxa"/>
            <w:tcBorders>
              <w:tl2br w:val="nil"/>
              <w:tr2bl w:val="nil"/>
            </w:tcBorders>
            <w:noWrap/>
            <w:vAlign w:val="center"/>
          </w:tcPr>
          <w:p w14:paraId="7E9CA6D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出现时间(YYMMDDHH)</w:t>
            </w:r>
          </w:p>
        </w:tc>
        <w:tc>
          <w:tcPr>
            <w:tcW w:w="1517" w:type="dxa"/>
            <w:tcBorders>
              <w:tl2br w:val="nil"/>
              <w:tr2bl w:val="nil"/>
            </w:tcBorders>
            <w:noWrap/>
            <w:vAlign w:val="center"/>
          </w:tcPr>
          <w:p w14:paraId="1F65F5CD">
            <w:pPr>
              <w:pStyle w:val="49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贡献浓度(mg/m^3)</w:t>
            </w:r>
          </w:p>
        </w:tc>
        <w:tc>
          <w:tcPr>
            <w:tcW w:w="1682" w:type="dxa"/>
            <w:tcBorders>
              <w:tl2br w:val="nil"/>
              <w:tr2bl w:val="nil"/>
            </w:tcBorders>
            <w:noWrap/>
            <w:vAlign w:val="center"/>
          </w:tcPr>
          <w:p w14:paraId="48B6BEEE">
            <w:pPr>
              <w:pStyle w:val="49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评价标准(mg/m^3)</w:t>
            </w:r>
          </w:p>
        </w:tc>
        <w:tc>
          <w:tcPr>
            <w:tcW w:w="1064" w:type="dxa"/>
            <w:tcBorders>
              <w:tl2br w:val="nil"/>
              <w:tr2bl w:val="nil"/>
            </w:tcBorders>
            <w:noWrap/>
            <w:vAlign w:val="center"/>
          </w:tcPr>
          <w:p w14:paraId="40941D07">
            <w:pPr>
              <w:pStyle w:val="494"/>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占标率%</w:t>
            </w:r>
          </w:p>
        </w:tc>
        <w:tc>
          <w:tcPr>
            <w:tcW w:w="1237" w:type="dxa"/>
            <w:tcBorders>
              <w:tl2br w:val="nil"/>
              <w:tr2bl w:val="nil"/>
            </w:tcBorders>
            <w:noWrap/>
            <w:vAlign w:val="center"/>
          </w:tcPr>
          <w:p w14:paraId="171A6C41">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是否超标</w:t>
            </w:r>
          </w:p>
        </w:tc>
      </w:tr>
      <w:tr w14:paraId="3A4C5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45" w:type="dxa"/>
            <w:tcBorders>
              <w:tl2br w:val="nil"/>
              <w:tr2bl w:val="nil"/>
            </w:tcBorders>
            <w:noWrap/>
            <w:vAlign w:val="center"/>
          </w:tcPr>
          <w:p w14:paraId="222ACF27">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1223" w:type="dxa"/>
            <w:tcBorders>
              <w:tl2br w:val="nil"/>
              <w:tr2bl w:val="nil"/>
            </w:tcBorders>
            <w:noWrap/>
            <w:vAlign w:val="center"/>
          </w:tcPr>
          <w:p w14:paraId="53F5D101">
            <w:pPr>
              <w:pStyle w:val="494"/>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厂区内1#</w:t>
            </w:r>
          </w:p>
        </w:tc>
        <w:tc>
          <w:tcPr>
            <w:tcW w:w="1017" w:type="dxa"/>
            <w:tcBorders>
              <w:tl2br w:val="nil"/>
              <w:tr2bl w:val="nil"/>
            </w:tcBorders>
            <w:noWrap/>
            <w:vAlign w:val="center"/>
          </w:tcPr>
          <w:p w14:paraId="37F4054D">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12</w:t>
            </w:r>
          </w:p>
        </w:tc>
        <w:tc>
          <w:tcPr>
            <w:tcW w:w="896" w:type="dxa"/>
            <w:tcBorders>
              <w:tl2br w:val="nil"/>
              <w:tr2bl w:val="nil"/>
            </w:tcBorders>
            <w:noWrap/>
            <w:vAlign w:val="center"/>
          </w:tcPr>
          <w:p w14:paraId="0242259A">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84</w:t>
            </w:r>
          </w:p>
        </w:tc>
        <w:tc>
          <w:tcPr>
            <w:tcW w:w="1121" w:type="dxa"/>
            <w:tcBorders>
              <w:tl2br w:val="nil"/>
              <w:tr2bl w:val="nil"/>
            </w:tcBorders>
            <w:noWrap/>
            <w:vAlign w:val="center"/>
          </w:tcPr>
          <w:p w14:paraId="5A0108A0">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620" w:type="dxa"/>
            <w:tcBorders>
              <w:tl2br w:val="nil"/>
              <w:tr2bl w:val="nil"/>
            </w:tcBorders>
            <w:noWrap/>
            <w:vAlign w:val="center"/>
          </w:tcPr>
          <w:p w14:paraId="78799D6B">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6.58E-05</w:t>
            </w:r>
          </w:p>
        </w:tc>
        <w:tc>
          <w:tcPr>
            <w:tcW w:w="1414" w:type="dxa"/>
            <w:tcBorders>
              <w:tl2br w:val="nil"/>
              <w:tr2bl w:val="nil"/>
            </w:tcBorders>
            <w:noWrap/>
            <w:vAlign w:val="center"/>
          </w:tcPr>
          <w:p w14:paraId="2886DF81">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10010512</w:t>
            </w:r>
          </w:p>
        </w:tc>
        <w:tc>
          <w:tcPr>
            <w:tcW w:w="1517" w:type="dxa"/>
            <w:tcBorders>
              <w:tl2br w:val="nil"/>
              <w:tr2bl w:val="nil"/>
            </w:tcBorders>
            <w:noWrap/>
            <w:vAlign w:val="center"/>
          </w:tcPr>
          <w:p w14:paraId="3296C57E">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6.58E-05</w:t>
            </w:r>
          </w:p>
        </w:tc>
        <w:tc>
          <w:tcPr>
            <w:tcW w:w="1682" w:type="dxa"/>
            <w:tcBorders>
              <w:tl2br w:val="nil"/>
              <w:tr2bl w:val="nil"/>
            </w:tcBorders>
            <w:noWrap/>
            <w:vAlign w:val="center"/>
          </w:tcPr>
          <w:p w14:paraId="750B9F3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1.00E-02</w:t>
            </w:r>
          </w:p>
        </w:tc>
        <w:tc>
          <w:tcPr>
            <w:tcW w:w="1064" w:type="dxa"/>
            <w:tcBorders>
              <w:tl2br w:val="nil"/>
              <w:tr2bl w:val="nil"/>
            </w:tcBorders>
            <w:noWrap/>
            <w:vAlign w:val="center"/>
          </w:tcPr>
          <w:p w14:paraId="1A5934D4">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0.6</w:t>
            </w:r>
            <w:r>
              <w:rPr>
                <w:rFonts w:hint="eastAsia" w:cs="Times New Roman"/>
                <w:color w:val="auto"/>
                <w:highlight w:val="none"/>
                <w:lang w:val="en-US" w:eastAsia="zh-CN"/>
              </w:rPr>
              <w:t>6</w:t>
            </w:r>
          </w:p>
        </w:tc>
        <w:tc>
          <w:tcPr>
            <w:tcW w:w="1237" w:type="dxa"/>
            <w:tcBorders>
              <w:tl2br w:val="nil"/>
              <w:tr2bl w:val="nil"/>
            </w:tcBorders>
            <w:noWrap/>
            <w:vAlign w:val="center"/>
          </w:tcPr>
          <w:p w14:paraId="500AA305">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5AE1CE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45" w:type="dxa"/>
            <w:tcBorders>
              <w:tl2br w:val="nil"/>
              <w:tr2bl w:val="nil"/>
            </w:tcBorders>
            <w:noWrap/>
            <w:vAlign w:val="center"/>
          </w:tcPr>
          <w:p w14:paraId="3DF881D5">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1223" w:type="dxa"/>
            <w:tcBorders>
              <w:tl2br w:val="nil"/>
              <w:tr2bl w:val="nil"/>
            </w:tcBorders>
            <w:noWrap/>
            <w:vAlign w:val="center"/>
          </w:tcPr>
          <w:p w14:paraId="3E5A17AC">
            <w:pPr>
              <w:pStyle w:val="494"/>
              <w:bidi w:val="0"/>
              <w:ind w:firstLine="0" w:firstLineChars="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厂区下风向2#</w:t>
            </w:r>
          </w:p>
        </w:tc>
        <w:tc>
          <w:tcPr>
            <w:tcW w:w="1017" w:type="dxa"/>
            <w:tcBorders>
              <w:tl2br w:val="nil"/>
              <w:tr2bl w:val="nil"/>
            </w:tcBorders>
            <w:noWrap/>
            <w:vAlign w:val="center"/>
          </w:tcPr>
          <w:p w14:paraId="6EB1C102">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418</w:t>
            </w:r>
          </w:p>
        </w:tc>
        <w:tc>
          <w:tcPr>
            <w:tcW w:w="896" w:type="dxa"/>
            <w:tcBorders>
              <w:tl2br w:val="nil"/>
              <w:tr2bl w:val="nil"/>
            </w:tcBorders>
            <w:noWrap/>
            <w:vAlign w:val="center"/>
          </w:tcPr>
          <w:p w14:paraId="38BEFA0B">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-1069</w:t>
            </w:r>
          </w:p>
        </w:tc>
        <w:tc>
          <w:tcPr>
            <w:tcW w:w="1121" w:type="dxa"/>
            <w:tcBorders>
              <w:tl2br w:val="nil"/>
              <w:tr2bl w:val="nil"/>
            </w:tcBorders>
            <w:noWrap/>
            <w:vAlign w:val="center"/>
          </w:tcPr>
          <w:p w14:paraId="502757CF">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620" w:type="dxa"/>
            <w:tcBorders>
              <w:tl2br w:val="nil"/>
              <w:tr2bl w:val="nil"/>
            </w:tcBorders>
            <w:noWrap/>
            <w:vAlign w:val="center"/>
          </w:tcPr>
          <w:p w14:paraId="0B7C8906">
            <w:pPr>
              <w:pStyle w:val="494"/>
              <w:bidi w:val="0"/>
              <w:rPr>
                <w:rFonts w:hint="default" w:ascii="Times New Roman" w:hAnsi="Times New Roman" w:cs="Times New Roman"/>
                <w:color w:val="auto"/>
                <w:highlight w:val="none"/>
              </w:rPr>
            </w:pPr>
            <w:r>
              <w:rPr>
                <w:rFonts w:hint="eastAsia"/>
                <w:color w:val="auto"/>
                <w:highlight w:val="none"/>
              </w:rPr>
              <w:t>3.42E-06</w:t>
            </w:r>
          </w:p>
        </w:tc>
        <w:tc>
          <w:tcPr>
            <w:tcW w:w="1414" w:type="dxa"/>
            <w:tcBorders>
              <w:tl2br w:val="nil"/>
              <w:tr2bl w:val="nil"/>
            </w:tcBorders>
            <w:noWrap/>
            <w:vAlign w:val="center"/>
          </w:tcPr>
          <w:p w14:paraId="7B07AE4F">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10012012</w:t>
            </w:r>
          </w:p>
        </w:tc>
        <w:tc>
          <w:tcPr>
            <w:tcW w:w="1517" w:type="dxa"/>
            <w:tcBorders>
              <w:tl2br w:val="nil"/>
              <w:tr2bl w:val="nil"/>
            </w:tcBorders>
            <w:noWrap/>
            <w:vAlign w:val="center"/>
          </w:tcPr>
          <w:p w14:paraId="0F4A2AAD">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3.42E-06</w:t>
            </w:r>
          </w:p>
        </w:tc>
        <w:tc>
          <w:tcPr>
            <w:tcW w:w="1682" w:type="dxa"/>
            <w:tcBorders>
              <w:tl2br w:val="nil"/>
              <w:tr2bl w:val="nil"/>
            </w:tcBorders>
            <w:noWrap/>
            <w:vAlign w:val="center"/>
          </w:tcPr>
          <w:p w14:paraId="58B7824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1.00E-02</w:t>
            </w:r>
          </w:p>
        </w:tc>
        <w:tc>
          <w:tcPr>
            <w:tcW w:w="1064" w:type="dxa"/>
            <w:tcBorders>
              <w:tl2br w:val="nil"/>
              <w:tr2bl w:val="nil"/>
            </w:tcBorders>
            <w:noWrap/>
            <w:vAlign w:val="center"/>
          </w:tcPr>
          <w:p w14:paraId="42165FE8">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0.0</w:t>
            </w:r>
            <w:r>
              <w:rPr>
                <w:rFonts w:hint="eastAsia" w:cs="Times New Roman"/>
                <w:color w:val="auto"/>
                <w:highlight w:val="none"/>
                <w:lang w:val="en-US" w:eastAsia="zh-CN"/>
              </w:rPr>
              <w:t>3</w:t>
            </w:r>
          </w:p>
        </w:tc>
        <w:tc>
          <w:tcPr>
            <w:tcW w:w="1237" w:type="dxa"/>
            <w:tcBorders>
              <w:tl2br w:val="nil"/>
              <w:tr2bl w:val="nil"/>
            </w:tcBorders>
            <w:noWrap/>
            <w:vAlign w:val="center"/>
          </w:tcPr>
          <w:p w14:paraId="0254F48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7B25B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745" w:type="dxa"/>
            <w:tcBorders>
              <w:tl2br w:val="nil"/>
              <w:tr2bl w:val="nil"/>
            </w:tcBorders>
            <w:noWrap/>
            <w:vAlign w:val="center"/>
          </w:tcPr>
          <w:p w14:paraId="483FEE9D">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w:t>
            </w:r>
          </w:p>
        </w:tc>
        <w:tc>
          <w:tcPr>
            <w:tcW w:w="1223" w:type="dxa"/>
            <w:tcBorders>
              <w:tl2br w:val="nil"/>
              <w:tr2bl w:val="nil"/>
            </w:tcBorders>
            <w:noWrap/>
            <w:vAlign w:val="center"/>
          </w:tcPr>
          <w:p w14:paraId="6275D7FA">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网格</w:t>
            </w:r>
          </w:p>
        </w:tc>
        <w:tc>
          <w:tcPr>
            <w:tcW w:w="1017" w:type="dxa"/>
            <w:tcBorders>
              <w:tl2br w:val="nil"/>
              <w:tr2bl w:val="nil"/>
            </w:tcBorders>
            <w:noWrap/>
            <w:vAlign w:val="center"/>
          </w:tcPr>
          <w:p w14:paraId="6983A0DD">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497</w:t>
            </w:r>
          </w:p>
        </w:tc>
        <w:tc>
          <w:tcPr>
            <w:tcW w:w="896" w:type="dxa"/>
            <w:tcBorders>
              <w:tl2br w:val="nil"/>
              <w:tr2bl w:val="nil"/>
            </w:tcBorders>
            <w:noWrap/>
            <w:vAlign w:val="center"/>
          </w:tcPr>
          <w:p w14:paraId="0024FF74">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26</w:t>
            </w:r>
          </w:p>
        </w:tc>
        <w:tc>
          <w:tcPr>
            <w:tcW w:w="1121" w:type="dxa"/>
            <w:tcBorders>
              <w:tl2br w:val="nil"/>
              <w:tr2bl w:val="nil"/>
            </w:tcBorders>
            <w:noWrap/>
            <w:vAlign w:val="center"/>
          </w:tcPr>
          <w:p w14:paraId="3CF16F77">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620" w:type="dxa"/>
            <w:tcBorders>
              <w:tl2br w:val="nil"/>
              <w:tr2bl w:val="nil"/>
            </w:tcBorders>
            <w:noWrap/>
            <w:vAlign w:val="center"/>
          </w:tcPr>
          <w:p w14:paraId="50C0385A">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1.31E-04</w:t>
            </w:r>
          </w:p>
        </w:tc>
        <w:tc>
          <w:tcPr>
            <w:tcW w:w="1414" w:type="dxa"/>
            <w:tcBorders>
              <w:tl2br w:val="nil"/>
              <w:tr2bl w:val="nil"/>
            </w:tcBorders>
            <w:noWrap/>
            <w:vAlign w:val="center"/>
          </w:tcPr>
          <w:p w14:paraId="2F0CB6AB">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10011601</w:t>
            </w:r>
          </w:p>
        </w:tc>
        <w:tc>
          <w:tcPr>
            <w:tcW w:w="1517" w:type="dxa"/>
            <w:tcBorders>
              <w:tl2br w:val="nil"/>
              <w:tr2bl w:val="nil"/>
            </w:tcBorders>
            <w:noWrap/>
            <w:vAlign w:val="center"/>
          </w:tcPr>
          <w:p w14:paraId="5B46C699">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1.31E-04</w:t>
            </w:r>
          </w:p>
        </w:tc>
        <w:tc>
          <w:tcPr>
            <w:tcW w:w="1682" w:type="dxa"/>
            <w:tcBorders>
              <w:tl2br w:val="nil"/>
              <w:tr2bl w:val="nil"/>
            </w:tcBorders>
            <w:noWrap/>
            <w:vAlign w:val="center"/>
          </w:tcPr>
          <w:p w14:paraId="45BCBEE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1.00E-02</w:t>
            </w:r>
          </w:p>
        </w:tc>
        <w:tc>
          <w:tcPr>
            <w:tcW w:w="1064" w:type="dxa"/>
            <w:tcBorders>
              <w:tl2br w:val="nil"/>
              <w:tr2bl w:val="nil"/>
            </w:tcBorders>
            <w:noWrap/>
            <w:vAlign w:val="center"/>
          </w:tcPr>
          <w:p w14:paraId="18B126CD">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1.3</w:t>
            </w:r>
            <w:r>
              <w:rPr>
                <w:rFonts w:hint="eastAsia" w:cs="Times New Roman"/>
                <w:color w:val="auto"/>
                <w:highlight w:val="none"/>
                <w:lang w:val="en-US" w:eastAsia="zh-CN"/>
              </w:rPr>
              <w:t>1</w:t>
            </w:r>
          </w:p>
        </w:tc>
        <w:tc>
          <w:tcPr>
            <w:tcW w:w="1237" w:type="dxa"/>
            <w:tcBorders>
              <w:tl2br w:val="nil"/>
              <w:tr2bl w:val="nil"/>
            </w:tcBorders>
            <w:noWrap/>
            <w:vAlign w:val="center"/>
          </w:tcPr>
          <w:p w14:paraId="11D59BFC">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bl>
    <w:p w14:paraId="4A2E3ACF">
      <w:pPr>
        <w:keepNext w:val="0"/>
        <w:keepLines w:val="0"/>
        <w:pageBreakBefore w:val="0"/>
        <w:widowControl w:val="0"/>
        <w:kinsoku/>
        <w:wordWrap/>
        <w:overflowPunct/>
        <w:topLinePunct w:val="0"/>
        <w:autoSpaceDE/>
        <w:autoSpaceDN/>
        <w:bidi w:val="0"/>
        <w:adjustRightInd/>
        <w:snapToGrid/>
        <w:spacing w:before="313" w:beforeLines="100" w:line="360" w:lineRule="auto"/>
        <w:ind w:firstLine="0" w:firstLineChars="0"/>
        <w:jc w:val="center"/>
        <w:textAlignment w:val="auto"/>
        <w:rPr>
          <w:rFonts w:hint="default" w:ascii="Times New Roman" w:hAnsi="Times New Roman" w:eastAsia="黑体" w:cs="Times New Roman"/>
          <w:color w:val="auto"/>
          <w:kern w:val="0"/>
          <w:sz w:val="24"/>
          <w:szCs w:val="22"/>
          <w:highlight w:val="none"/>
          <w:lang w:eastAsia="zh-CN"/>
        </w:rPr>
      </w:pPr>
      <w:r>
        <w:rPr>
          <w:rFonts w:hint="default" w:ascii="Times New Roman" w:hAnsi="Times New Roman" w:eastAsia="黑体" w:cs="Times New Roman"/>
          <w:color w:val="auto"/>
          <w:kern w:val="0"/>
          <w:sz w:val="24"/>
          <w:szCs w:val="22"/>
          <w:highlight w:val="none"/>
        </w:rPr>
        <w:t>表</w:t>
      </w:r>
      <w:r>
        <w:rPr>
          <w:rFonts w:hint="default" w:ascii="Times New Roman" w:hAnsi="Times New Roman" w:eastAsia="黑体" w:cs="Times New Roman"/>
          <w:color w:val="auto"/>
          <w:kern w:val="0"/>
          <w:sz w:val="24"/>
          <w:szCs w:val="22"/>
          <w:highlight w:val="none"/>
          <w:lang w:val="en-US" w:eastAsia="zh-CN"/>
        </w:rPr>
        <w:t>5-2-</w:t>
      </w:r>
      <w:r>
        <w:rPr>
          <w:rFonts w:hint="eastAsia" w:eastAsia="黑体" w:cs="Times New Roman"/>
          <w:color w:val="auto"/>
          <w:kern w:val="0"/>
          <w:sz w:val="24"/>
          <w:szCs w:val="22"/>
          <w:highlight w:val="none"/>
          <w:lang w:val="en-US" w:eastAsia="zh-CN"/>
        </w:rPr>
        <w:t>19</w:t>
      </w:r>
      <w:r>
        <w:rPr>
          <w:rFonts w:hint="default" w:ascii="Times New Roman" w:hAnsi="Times New Roman" w:eastAsia="黑体" w:cs="Times New Roman"/>
          <w:color w:val="auto"/>
          <w:kern w:val="0"/>
          <w:sz w:val="24"/>
          <w:szCs w:val="22"/>
          <w:highlight w:val="none"/>
        </w:rPr>
        <w:t xml:space="preserve"> </w:t>
      </w:r>
      <w:r>
        <w:rPr>
          <w:rFonts w:hint="default" w:ascii="Times New Roman" w:hAnsi="Times New Roman" w:eastAsia="黑体" w:cs="Times New Roman"/>
          <w:color w:val="auto"/>
          <w:kern w:val="0"/>
          <w:sz w:val="24"/>
          <w:szCs w:val="22"/>
          <w:highlight w:val="none"/>
          <w:lang w:val="en-US" w:eastAsia="zh-CN"/>
        </w:rPr>
        <w:t>叠加后NH</w:t>
      </w:r>
      <w:r>
        <w:rPr>
          <w:rFonts w:hint="default" w:ascii="Times New Roman" w:hAnsi="Times New Roman" w:eastAsia="黑体" w:cs="Times New Roman"/>
          <w:color w:val="auto"/>
          <w:kern w:val="0"/>
          <w:sz w:val="24"/>
          <w:szCs w:val="22"/>
          <w:highlight w:val="none"/>
          <w:vertAlign w:val="subscript"/>
          <w:lang w:val="en-US" w:eastAsia="zh-CN"/>
        </w:rPr>
        <w:t>3</w:t>
      </w:r>
      <w:r>
        <w:rPr>
          <w:rFonts w:hint="default" w:ascii="Times New Roman" w:hAnsi="Times New Roman" w:eastAsia="黑体" w:cs="Times New Roman"/>
          <w:color w:val="auto"/>
          <w:kern w:val="0"/>
          <w:sz w:val="24"/>
          <w:szCs w:val="22"/>
          <w:highlight w:val="none"/>
          <w:lang w:eastAsia="zh-CN"/>
        </w:rPr>
        <w:t>环境质量</w:t>
      </w:r>
      <w:r>
        <w:rPr>
          <w:rFonts w:hint="default" w:ascii="Times New Roman" w:hAnsi="Times New Roman" w:eastAsia="黑体" w:cs="Times New Roman"/>
          <w:color w:val="auto"/>
          <w:kern w:val="0"/>
          <w:sz w:val="24"/>
          <w:szCs w:val="22"/>
          <w:highlight w:val="none"/>
        </w:rPr>
        <w:t>浓度预测结果表</w:t>
      </w:r>
    </w:p>
    <w:tbl>
      <w:tblPr>
        <w:tblStyle w:val="47"/>
        <w:tblW w:w="13868"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1529"/>
        <w:gridCol w:w="1287"/>
        <w:gridCol w:w="1042"/>
        <w:gridCol w:w="1042"/>
        <w:gridCol w:w="1050"/>
        <w:gridCol w:w="1640"/>
        <w:gridCol w:w="1050"/>
        <w:gridCol w:w="1050"/>
        <w:gridCol w:w="1050"/>
        <w:gridCol w:w="1043"/>
        <w:gridCol w:w="1043"/>
      </w:tblGrid>
      <w:tr w14:paraId="67A49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042" w:type="dxa"/>
            <w:tcBorders>
              <w:tl2br w:val="nil"/>
              <w:tr2bl w:val="nil"/>
            </w:tcBorders>
            <w:noWrap/>
            <w:vAlign w:val="center"/>
          </w:tcPr>
          <w:p w14:paraId="6A21F47E">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序号</w:t>
            </w:r>
          </w:p>
        </w:tc>
        <w:tc>
          <w:tcPr>
            <w:tcW w:w="1529" w:type="dxa"/>
            <w:tcBorders>
              <w:tl2br w:val="nil"/>
              <w:tr2bl w:val="nil"/>
            </w:tcBorders>
            <w:noWrap/>
            <w:vAlign w:val="center"/>
          </w:tcPr>
          <w:p w14:paraId="0E9034E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点名称</w:t>
            </w:r>
          </w:p>
        </w:tc>
        <w:tc>
          <w:tcPr>
            <w:tcW w:w="1287" w:type="dxa"/>
            <w:tcBorders>
              <w:tl2br w:val="nil"/>
              <w:tr2bl w:val="nil"/>
            </w:tcBorders>
            <w:noWrap/>
            <w:vAlign w:val="center"/>
          </w:tcPr>
          <w:p w14:paraId="69CBC87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X</w:t>
            </w:r>
          </w:p>
        </w:tc>
        <w:tc>
          <w:tcPr>
            <w:tcW w:w="1042" w:type="dxa"/>
            <w:tcBorders>
              <w:tl2br w:val="nil"/>
              <w:tr2bl w:val="nil"/>
            </w:tcBorders>
            <w:noWrap/>
            <w:vAlign w:val="center"/>
          </w:tcPr>
          <w:p w14:paraId="62F243B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Y</w:t>
            </w:r>
          </w:p>
        </w:tc>
        <w:tc>
          <w:tcPr>
            <w:tcW w:w="1042" w:type="dxa"/>
            <w:tcBorders>
              <w:tl2br w:val="nil"/>
              <w:tr2bl w:val="nil"/>
            </w:tcBorders>
            <w:noWrap/>
            <w:vAlign w:val="center"/>
          </w:tcPr>
          <w:p w14:paraId="250BD0F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浓度类型</w:t>
            </w:r>
          </w:p>
        </w:tc>
        <w:tc>
          <w:tcPr>
            <w:tcW w:w="1050" w:type="dxa"/>
            <w:tcBorders>
              <w:tl2br w:val="nil"/>
              <w:tr2bl w:val="nil"/>
            </w:tcBorders>
            <w:noWrap/>
            <w:vAlign w:val="center"/>
          </w:tcPr>
          <w:p w14:paraId="6CA075F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浓度增量(mg/m^3)</w:t>
            </w:r>
          </w:p>
        </w:tc>
        <w:tc>
          <w:tcPr>
            <w:tcW w:w="1640" w:type="dxa"/>
            <w:tcBorders>
              <w:tl2br w:val="nil"/>
              <w:tr2bl w:val="nil"/>
            </w:tcBorders>
            <w:noWrap/>
            <w:vAlign w:val="center"/>
          </w:tcPr>
          <w:p w14:paraId="0CA677C5">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出现时间(YYMMDDHH)</w:t>
            </w:r>
          </w:p>
        </w:tc>
        <w:tc>
          <w:tcPr>
            <w:tcW w:w="1050" w:type="dxa"/>
            <w:tcBorders>
              <w:tl2br w:val="nil"/>
              <w:tr2bl w:val="nil"/>
            </w:tcBorders>
            <w:noWrap/>
            <w:vAlign w:val="center"/>
          </w:tcPr>
          <w:p w14:paraId="375C089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背景浓度(mg/m^3)</w:t>
            </w:r>
          </w:p>
        </w:tc>
        <w:tc>
          <w:tcPr>
            <w:tcW w:w="1050" w:type="dxa"/>
            <w:tcBorders>
              <w:tl2br w:val="nil"/>
              <w:tr2bl w:val="nil"/>
            </w:tcBorders>
            <w:noWrap/>
            <w:vAlign w:val="center"/>
          </w:tcPr>
          <w:p w14:paraId="72827156">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叠加背景后的浓度(mg/m^3)</w:t>
            </w:r>
          </w:p>
        </w:tc>
        <w:tc>
          <w:tcPr>
            <w:tcW w:w="1050" w:type="dxa"/>
            <w:tcBorders>
              <w:tl2br w:val="nil"/>
              <w:tr2bl w:val="nil"/>
            </w:tcBorders>
            <w:noWrap/>
            <w:vAlign w:val="center"/>
          </w:tcPr>
          <w:p w14:paraId="58164131">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评价标准(mg/m^3)</w:t>
            </w:r>
          </w:p>
        </w:tc>
        <w:tc>
          <w:tcPr>
            <w:tcW w:w="1043" w:type="dxa"/>
            <w:tcBorders>
              <w:tl2br w:val="nil"/>
              <w:tr2bl w:val="nil"/>
            </w:tcBorders>
            <w:noWrap/>
            <w:vAlign w:val="center"/>
          </w:tcPr>
          <w:p w14:paraId="049FE24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占标率%(叠加背景以后)</w:t>
            </w:r>
          </w:p>
        </w:tc>
        <w:tc>
          <w:tcPr>
            <w:tcW w:w="1043" w:type="dxa"/>
            <w:tcBorders>
              <w:tl2br w:val="nil"/>
              <w:tr2bl w:val="nil"/>
            </w:tcBorders>
            <w:noWrap/>
            <w:vAlign w:val="center"/>
          </w:tcPr>
          <w:p w14:paraId="17585D24">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是否超标</w:t>
            </w:r>
          </w:p>
        </w:tc>
      </w:tr>
      <w:tr w14:paraId="79773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tcBorders>
              <w:tl2br w:val="nil"/>
              <w:tr2bl w:val="nil"/>
            </w:tcBorders>
            <w:noWrap/>
            <w:vAlign w:val="center"/>
          </w:tcPr>
          <w:p w14:paraId="3281543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p>
        </w:tc>
        <w:tc>
          <w:tcPr>
            <w:tcW w:w="0" w:type="auto"/>
            <w:tcBorders>
              <w:tl2br w:val="nil"/>
              <w:tr2bl w:val="nil"/>
            </w:tcBorders>
            <w:shd w:val="clear" w:color="auto" w:fill="auto"/>
            <w:noWrap/>
            <w:vAlign w:val="center"/>
          </w:tcPr>
          <w:p w14:paraId="2FBBBEE5">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厂区内1#</w:t>
            </w:r>
          </w:p>
        </w:tc>
        <w:tc>
          <w:tcPr>
            <w:tcW w:w="0" w:type="auto"/>
            <w:tcBorders>
              <w:tl2br w:val="nil"/>
              <w:tr2bl w:val="nil"/>
            </w:tcBorders>
            <w:shd w:val="clear" w:color="auto" w:fill="auto"/>
            <w:noWrap/>
            <w:vAlign w:val="center"/>
          </w:tcPr>
          <w:p w14:paraId="4426B445">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12</w:t>
            </w:r>
          </w:p>
        </w:tc>
        <w:tc>
          <w:tcPr>
            <w:tcW w:w="0" w:type="auto"/>
            <w:tcBorders>
              <w:tl2br w:val="nil"/>
              <w:tr2bl w:val="nil"/>
            </w:tcBorders>
            <w:shd w:val="clear" w:color="auto" w:fill="auto"/>
            <w:noWrap/>
            <w:vAlign w:val="center"/>
          </w:tcPr>
          <w:p w14:paraId="5ED77ED4">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84</w:t>
            </w:r>
          </w:p>
        </w:tc>
        <w:tc>
          <w:tcPr>
            <w:tcW w:w="0" w:type="auto"/>
            <w:tcBorders>
              <w:tl2br w:val="nil"/>
              <w:tr2bl w:val="nil"/>
            </w:tcBorders>
            <w:noWrap/>
            <w:vAlign w:val="center"/>
          </w:tcPr>
          <w:p w14:paraId="65FF2655">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050" w:type="dxa"/>
            <w:tcBorders>
              <w:tl2br w:val="nil"/>
              <w:tr2bl w:val="nil"/>
            </w:tcBorders>
            <w:shd w:val="clear" w:color="auto" w:fill="auto"/>
            <w:noWrap/>
            <w:vAlign w:val="center"/>
          </w:tcPr>
          <w:p w14:paraId="3C3FE849">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1.32E-03</w:t>
            </w:r>
          </w:p>
        </w:tc>
        <w:tc>
          <w:tcPr>
            <w:tcW w:w="1640" w:type="dxa"/>
            <w:tcBorders>
              <w:tl2br w:val="nil"/>
              <w:tr2bl w:val="nil"/>
            </w:tcBorders>
            <w:shd w:val="clear" w:color="auto" w:fill="auto"/>
            <w:noWrap/>
            <w:vAlign w:val="center"/>
          </w:tcPr>
          <w:p w14:paraId="61F15437">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100110512</w:t>
            </w:r>
          </w:p>
        </w:tc>
        <w:tc>
          <w:tcPr>
            <w:tcW w:w="0" w:type="auto"/>
            <w:tcBorders>
              <w:tl2br w:val="nil"/>
              <w:tr2bl w:val="nil"/>
            </w:tcBorders>
            <w:noWrap/>
            <w:vAlign w:val="center"/>
          </w:tcPr>
          <w:p w14:paraId="24ED7987">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5.75E-02</w:t>
            </w:r>
          </w:p>
        </w:tc>
        <w:tc>
          <w:tcPr>
            <w:tcW w:w="0" w:type="auto"/>
            <w:tcBorders>
              <w:tl2br w:val="nil"/>
              <w:tr2bl w:val="nil"/>
            </w:tcBorders>
            <w:noWrap/>
            <w:vAlign w:val="center"/>
          </w:tcPr>
          <w:p w14:paraId="5A556F84">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5.88E-02</w:t>
            </w:r>
          </w:p>
        </w:tc>
        <w:tc>
          <w:tcPr>
            <w:tcW w:w="0" w:type="auto"/>
            <w:tcBorders>
              <w:tl2br w:val="nil"/>
              <w:tr2bl w:val="nil"/>
            </w:tcBorders>
            <w:noWrap/>
            <w:vAlign w:val="center"/>
          </w:tcPr>
          <w:p w14:paraId="721B1B6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0" w:type="auto"/>
            <w:tcBorders>
              <w:tl2br w:val="nil"/>
              <w:tr2bl w:val="nil"/>
            </w:tcBorders>
            <w:noWrap/>
            <w:vAlign w:val="center"/>
          </w:tcPr>
          <w:p w14:paraId="2C2EFEFB">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29.</w:t>
            </w:r>
            <w:r>
              <w:rPr>
                <w:rFonts w:hint="eastAsia" w:cs="Times New Roman"/>
                <w:color w:val="auto"/>
                <w:highlight w:val="none"/>
                <w:lang w:val="en-US" w:eastAsia="zh-CN"/>
              </w:rPr>
              <w:t>41</w:t>
            </w:r>
          </w:p>
        </w:tc>
        <w:tc>
          <w:tcPr>
            <w:tcW w:w="0" w:type="auto"/>
            <w:tcBorders>
              <w:tl2br w:val="nil"/>
              <w:tr2bl w:val="nil"/>
            </w:tcBorders>
            <w:noWrap/>
            <w:vAlign w:val="center"/>
          </w:tcPr>
          <w:p w14:paraId="1BBBDFD0">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7CC1A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tcBorders>
              <w:tl2br w:val="nil"/>
              <w:tr2bl w:val="nil"/>
            </w:tcBorders>
            <w:noWrap/>
            <w:vAlign w:val="center"/>
          </w:tcPr>
          <w:p w14:paraId="72F1ACD8">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p>
        </w:tc>
        <w:tc>
          <w:tcPr>
            <w:tcW w:w="0" w:type="auto"/>
            <w:tcBorders>
              <w:tl2br w:val="nil"/>
              <w:tr2bl w:val="nil"/>
            </w:tcBorders>
            <w:shd w:val="clear" w:color="auto" w:fill="auto"/>
            <w:noWrap/>
            <w:vAlign w:val="center"/>
          </w:tcPr>
          <w:p w14:paraId="25B8C616">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厂区下风向2#</w:t>
            </w:r>
          </w:p>
        </w:tc>
        <w:tc>
          <w:tcPr>
            <w:tcW w:w="0" w:type="auto"/>
            <w:tcBorders>
              <w:tl2br w:val="nil"/>
              <w:tr2bl w:val="nil"/>
            </w:tcBorders>
            <w:shd w:val="clear" w:color="auto" w:fill="auto"/>
            <w:noWrap/>
            <w:vAlign w:val="center"/>
          </w:tcPr>
          <w:p w14:paraId="7FF76925">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418</w:t>
            </w:r>
          </w:p>
        </w:tc>
        <w:tc>
          <w:tcPr>
            <w:tcW w:w="0" w:type="auto"/>
            <w:tcBorders>
              <w:tl2br w:val="nil"/>
              <w:tr2bl w:val="nil"/>
            </w:tcBorders>
            <w:shd w:val="clear" w:color="auto" w:fill="auto"/>
            <w:noWrap/>
            <w:vAlign w:val="center"/>
          </w:tcPr>
          <w:p w14:paraId="159821AA">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-1069</w:t>
            </w:r>
          </w:p>
        </w:tc>
        <w:tc>
          <w:tcPr>
            <w:tcW w:w="0" w:type="auto"/>
            <w:tcBorders>
              <w:tl2br w:val="nil"/>
              <w:tr2bl w:val="nil"/>
            </w:tcBorders>
            <w:noWrap/>
            <w:vAlign w:val="center"/>
          </w:tcPr>
          <w:p w14:paraId="16304B1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050" w:type="dxa"/>
            <w:tcBorders>
              <w:tl2br w:val="nil"/>
              <w:tr2bl w:val="nil"/>
            </w:tcBorders>
            <w:shd w:val="clear" w:color="auto" w:fill="auto"/>
            <w:noWrap/>
            <w:vAlign w:val="center"/>
          </w:tcPr>
          <w:p w14:paraId="227EE170">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color w:val="auto"/>
                <w:highlight w:val="none"/>
              </w:rPr>
              <w:t>3.38E-05</w:t>
            </w:r>
          </w:p>
        </w:tc>
        <w:tc>
          <w:tcPr>
            <w:tcW w:w="1640" w:type="dxa"/>
            <w:tcBorders>
              <w:tl2br w:val="nil"/>
              <w:tr2bl w:val="nil"/>
            </w:tcBorders>
            <w:shd w:val="clear" w:color="auto" w:fill="auto"/>
            <w:noWrap/>
            <w:vAlign w:val="center"/>
          </w:tcPr>
          <w:p w14:paraId="5267FE4E">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10012012</w:t>
            </w:r>
          </w:p>
        </w:tc>
        <w:tc>
          <w:tcPr>
            <w:tcW w:w="0" w:type="auto"/>
            <w:tcBorders>
              <w:tl2br w:val="nil"/>
              <w:tr2bl w:val="nil"/>
            </w:tcBorders>
            <w:noWrap/>
            <w:vAlign w:val="center"/>
          </w:tcPr>
          <w:p w14:paraId="59D8F7A6">
            <w:pPr>
              <w:pStyle w:val="494"/>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5.75</w:t>
            </w:r>
            <w:r>
              <w:rPr>
                <w:rFonts w:hint="default" w:ascii="Times New Roman" w:hAnsi="Times New Roman" w:eastAsia="宋体" w:cs="Times New Roman"/>
                <w:color w:val="auto"/>
                <w:highlight w:val="none"/>
                <w:lang w:val="en-US" w:eastAsia="zh-CN"/>
              </w:rPr>
              <w:t>E-0</w:t>
            </w:r>
            <w:r>
              <w:rPr>
                <w:rFonts w:hint="eastAsia" w:ascii="Times New Roman" w:hAnsi="Times New Roman" w:eastAsia="宋体" w:cs="Times New Roman"/>
                <w:color w:val="auto"/>
                <w:highlight w:val="none"/>
                <w:lang w:val="en-US" w:eastAsia="zh-CN"/>
              </w:rPr>
              <w:t>2</w:t>
            </w:r>
          </w:p>
        </w:tc>
        <w:tc>
          <w:tcPr>
            <w:tcW w:w="0" w:type="auto"/>
            <w:tcBorders>
              <w:tl2br w:val="nil"/>
              <w:tr2bl w:val="nil"/>
            </w:tcBorders>
            <w:noWrap/>
            <w:vAlign w:val="center"/>
          </w:tcPr>
          <w:p w14:paraId="55FB5293">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5.75E-02</w:t>
            </w:r>
          </w:p>
        </w:tc>
        <w:tc>
          <w:tcPr>
            <w:tcW w:w="0" w:type="auto"/>
            <w:tcBorders>
              <w:tl2br w:val="nil"/>
              <w:tr2bl w:val="nil"/>
            </w:tcBorders>
            <w:noWrap/>
            <w:vAlign w:val="center"/>
          </w:tcPr>
          <w:p w14:paraId="6549239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0" w:type="auto"/>
            <w:tcBorders>
              <w:tl2br w:val="nil"/>
              <w:tr2bl w:val="nil"/>
            </w:tcBorders>
            <w:noWrap/>
            <w:vAlign w:val="center"/>
          </w:tcPr>
          <w:p w14:paraId="58A3D93D">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28.7</w:t>
            </w:r>
            <w:r>
              <w:rPr>
                <w:rFonts w:hint="eastAsia" w:cs="Times New Roman"/>
                <w:color w:val="auto"/>
                <w:highlight w:val="none"/>
                <w:lang w:val="en-US" w:eastAsia="zh-CN"/>
              </w:rPr>
              <w:t>7</w:t>
            </w:r>
          </w:p>
        </w:tc>
        <w:tc>
          <w:tcPr>
            <w:tcW w:w="0" w:type="auto"/>
            <w:tcBorders>
              <w:tl2br w:val="nil"/>
              <w:tr2bl w:val="nil"/>
            </w:tcBorders>
            <w:noWrap/>
            <w:vAlign w:val="center"/>
          </w:tcPr>
          <w:p w14:paraId="671D523D">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r w14:paraId="5144D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tcBorders>
              <w:tl2br w:val="nil"/>
              <w:tr2bl w:val="nil"/>
            </w:tcBorders>
            <w:noWrap/>
            <w:vAlign w:val="center"/>
          </w:tcPr>
          <w:p w14:paraId="4321F1A3">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0" w:type="auto"/>
            <w:tcBorders>
              <w:tl2br w:val="nil"/>
              <w:tr2bl w:val="nil"/>
            </w:tcBorders>
            <w:shd w:val="clear" w:color="auto" w:fill="auto"/>
            <w:noWrap/>
            <w:vAlign w:val="center"/>
          </w:tcPr>
          <w:p w14:paraId="39554A02">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网格</w:t>
            </w:r>
          </w:p>
        </w:tc>
        <w:tc>
          <w:tcPr>
            <w:tcW w:w="0" w:type="auto"/>
            <w:tcBorders>
              <w:tl2br w:val="nil"/>
              <w:tr2bl w:val="nil"/>
            </w:tcBorders>
            <w:shd w:val="clear" w:color="auto" w:fill="auto"/>
            <w:noWrap/>
            <w:vAlign w:val="center"/>
          </w:tcPr>
          <w:p w14:paraId="0ABC49D8">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846</w:t>
            </w:r>
          </w:p>
        </w:tc>
        <w:tc>
          <w:tcPr>
            <w:tcW w:w="0" w:type="auto"/>
            <w:tcBorders>
              <w:tl2br w:val="nil"/>
              <w:tr2bl w:val="nil"/>
            </w:tcBorders>
            <w:shd w:val="clear" w:color="auto" w:fill="auto"/>
            <w:noWrap/>
            <w:vAlign w:val="center"/>
          </w:tcPr>
          <w:p w14:paraId="50319AB0">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26</w:t>
            </w:r>
          </w:p>
        </w:tc>
        <w:tc>
          <w:tcPr>
            <w:tcW w:w="0" w:type="auto"/>
            <w:tcBorders>
              <w:tl2br w:val="nil"/>
              <w:tr2bl w:val="nil"/>
            </w:tcBorders>
            <w:noWrap/>
            <w:vAlign w:val="center"/>
          </w:tcPr>
          <w:p w14:paraId="0B1781C2">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1小时</w:t>
            </w:r>
          </w:p>
        </w:tc>
        <w:tc>
          <w:tcPr>
            <w:tcW w:w="1050" w:type="dxa"/>
            <w:tcBorders>
              <w:tl2br w:val="nil"/>
              <w:tr2bl w:val="nil"/>
            </w:tcBorders>
            <w:shd w:val="clear" w:color="auto" w:fill="auto"/>
            <w:noWrap/>
            <w:vAlign w:val="center"/>
          </w:tcPr>
          <w:p w14:paraId="0E38E8AD">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1.80E-03</w:t>
            </w:r>
          </w:p>
        </w:tc>
        <w:tc>
          <w:tcPr>
            <w:tcW w:w="1640" w:type="dxa"/>
            <w:tcBorders>
              <w:tl2br w:val="nil"/>
              <w:tr2bl w:val="nil"/>
            </w:tcBorders>
            <w:shd w:val="clear" w:color="auto" w:fill="auto"/>
            <w:noWrap/>
            <w:vAlign w:val="center"/>
          </w:tcPr>
          <w:p w14:paraId="6D964E7E">
            <w:pPr>
              <w:pStyle w:val="494"/>
              <w:bidi w:val="0"/>
              <w:ind w:firstLine="0" w:firstLineChars="0"/>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cs="Times New Roman"/>
                <w:color w:val="auto"/>
                <w:highlight w:val="none"/>
                <w:lang w:val="en-US" w:eastAsia="zh-CN"/>
              </w:rPr>
              <w:t>100111604</w:t>
            </w:r>
          </w:p>
        </w:tc>
        <w:tc>
          <w:tcPr>
            <w:tcW w:w="0" w:type="auto"/>
            <w:tcBorders>
              <w:tl2br w:val="nil"/>
              <w:tr2bl w:val="nil"/>
            </w:tcBorders>
            <w:noWrap/>
            <w:vAlign w:val="center"/>
          </w:tcPr>
          <w:p w14:paraId="3451948C">
            <w:pPr>
              <w:pStyle w:val="494"/>
              <w:bidi w:val="0"/>
              <w:ind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5.75</w:t>
            </w:r>
            <w:r>
              <w:rPr>
                <w:rFonts w:hint="default" w:ascii="Times New Roman" w:hAnsi="Times New Roman" w:eastAsia="宋体" w:cs="Times New Roman"/>
                <w:color w:val="auto"/>
                <w:highlight w:val="none"/>
                <w:lang w:val="en-US" w:eastAsia="zh-CN"/>
              </w:rPr>
              <w:t>E-0</w:t>
            </w:r>
            <w:r>
              <w:rPr>
                <w:rFonts w:hint="eastAsia" w:ascii="Times New Roman" w:hAnsi="Times New Roman" w:eastAsia="宋体" w:cs="Times New Roman"/>
                <w:color w:val="auto"/>
                <w:highlight w:val="none"/>
                <w:lang w:val="en-US" w:eastAsia="zh-CN"/>
              </w:rPr>
              <w:t>2</w:t>
            </w:r>
          </w:p>
        </w:tc>
        <w:tc>
          <w:tcPr>
            <w:tcW w:w="0" w:type="auto"/>
            <w:tcBorders>
              <w:tl2br w:val="nil"/>
              <w:tr2bl w:val="nil"/>
            </w:tcBorders>
            <w:noWrap/>
            <w:vAlign w:val="center"/>
          </w:tcPr>
          <w:p w14:paraId="24AEE34E">
            <w:pPr>
              <w:pStyle w:val="494"/>
              <w:bidi w:val="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5.93E-02</w:t>
            </w:r>
          </w:p>
        </w:tc>
        <w:tc>
          <w:tcPr>
            <w:tcW w:w="0" w:type="auto"/>
            <w:tcBorders>
              <w:tl2br w:val="nil"/>
              <w:tr2bl w:val="nil"/>
            </w:tcBorders>
            <w:noWrap/>
            <w:vAlign w:val="center"/>
          </w:tcPr>
          <w:p w14:paraId="26967B81">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2.00E-01</w:t>
            </w:r>
          </w:p>
        </w:tc>
        <w:tc>
          <w:tcPr>
            <w:tcW w:w="0" w:type="auto"/>
            <w:tcBorders>
              <w:tl2br w:val="nil"/>
              <w:tr2bl w:val="nil"/>
            </w:tcBorders>
            <w:noWrap/>
            <w:vAlign w:val="center"/>
          </w:tcPr>
          <w:p w14:paraId="03E697E1">
            <w:pPr>
              <w:pStyle w:val="494"/>
              <w:bidi w:val="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29.</w:t>
            </w:r>
            <w:r>
              <w:rPr>
                <w:rFonts w:hint="eastAsia" w:cs="Times New Roman"/>
                <w:color w:val="auto"/>
                <w:highlight w:val="none"/>
                <w:lang w:val="en-US" w:eastAsia="zh-CN"/>
              </w:rPr>
              <w:t>65</w:t>
            </w:r>
          </w:p>
        </w:tc>
        <w:tc>
          <w:tcPr>
            <w:tcW w:w="0" w:type="auto"/>
            <w:tcBorders>
              <w:tl2br w:val="nil"/>
              <w:tr2bl w:val="nil"/>
            </w:tcBorders>
            <w:noWrap/>
            <w:vAlign w:val="center"/>
          </w:tcPr>
          <w:p w14:paraId="0F40B544">
            <w:pPr>
              <w:pStyle w:val="494"/>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达标</w:t>
            </w:r>
          </w:p>
        </w:tc>
      </w:tr>
    </w:tbl>
    <w:p w14:paraId="6376D246">
      <w:pPr>
        <w:pStyle w:val="38"/>
        <w:rPr>
          <w:rFonts w:hint="default" w:ascii="Times New Roman" w:hAnsi="Times New Roman" w:cs="Times New Roman"/>
          <w:color w:val="auto"/>
          <w:highlight w:val="none"/>
        </w:rPr>
        <w:sectPr>
          <w:pgSz w:w="16838" w:h="11906" w:orient="landscape"/>
          <w:pgMar w:top="1797" w:right="1440" w:bottom="1797" w:left="1440" w:header="992" w:footer="992" w:gutter="0"/>
          <w:pgBorders>
            <w:top w:val="none" w:sz="0" w:space="0"/>
            <w:left w:val="none" w:sz="0" w:space="0"/>
            <w:bottom w:val="none" w:sz="0" w:space="0"/>
            <w:right w:val="none" w:sz="0" w:space="0"/>
          </w:pgBorders>
          <w:pgNumType w:fmt="decimal"/>
          <w:cols w:space="720" w:num="1"/>
          <w:docGrid w:type="lines" w:linePitch="312" w:charSpace="0"/>
        </w:sectPr>
      </w:pPr>
    </w:p>
    <w:p w14:paraId="38ED3F33">
      <w:pPr>
        <w:pStyle w:val="38"/>
        <w:rPr>
          <w:rFonts w:hint="default" w:ascii="Times New Roman" w:hAnsi="Times New Roman" w:cs="Times New Roman"/>
          <w:color w:val="auto"/>
          <w:highlight w:val="none"/>
        </w:rPr>
      </w:pPr>
      <w:r>
        <w:rPr>
          <w:color w:val="auto"/>
          <w:highlight w:val="none"/>
        </w:rPr>
        <w:drawing>
          <wp:anchor distT="0" distB="0" distL="114300" distR="114300" simplePos="0" relativeHeight="251696128" behindDoc="0" locked="0" layoutInCell="1" allowOverlap="1">
            <wp:simplePos x="0" y="0"/>
            <wp:positionH relativeFrom="column">
              <wp:posOffset>29845</wp:posOffset>
            </wp:positionH>
            <wp:positionV relativeFrom="paragraph">
              <wp:posOffset>33020</wp:posOffset>
            </wp:positionV>
            <wp:extent cx="5275580" cy="3003550"/>
            <wp:effectExtent l="0" t="0" r="1270" b="6350"/>
            <wp:wrapNone/>
            <wp:docPr id="1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1"/>
                    <pic:cNvPicPr>
                      <a:picLocks noChangeAspect="1"/>
                    </pic:cNvPicPr>
                  </pic:nvPicPr>
                  <pic:blipFill>
                    <a:blip r:embed="rId71"/>
                    <a:stretch>
                      <a:fillRect/>
                    </a:stretch>
                  </pic:blipFill>
                  <pic:spPr>
                    <a:xfrm>
                      <a:off x="0" y="0"/>
                      <a:ext cx="5275580" cy="3003550"/>
                    </a:xfrm>
                    <a:prstGeom prst="rect">
                      <a:avLst/>
                    </a:prstGeom>
                    <a:noFill/>
                    <a:ln>
                      <a:noFill/>
                    </a:ln>
                  </pic:spPr>
                </pic:pic>
              </a:graphicData>
            </a:graphic>
          </wp:anchor>
        </w:drawing>
      </w:r>
    </w:p>
    <w:p w14:paraId="6A657507">
      <w:pPr>
        <w:pStyle w:val="22"/>
        <w:rPr>
          <w:rFonts w:hint="default" w:ascii="Times New Roman" w:hAnsi="Times New Roman" w:cs="Times New Roman"/>
          <w:color w:val="auto"/>
          <w:highlight w:val="none"/>
          <w:lang w:val="en-US" w:eastAsia="zh-CN"/>
        </w:rPr>
      </w:pPr>
    </w:p>
    <w:p w14:paraId="02DD5FB0">
      <w:pPr>
        <w:rPr>
          <w:rFonts w:hint="default" w:ascii="Times New Roman" w:hAnsi="Times New Roman" w:cs="Times New Roman"/>
          <w:color w:val="auto"/>
          <w:highlight w:val="none"/>
          <w:lang w:val="en-US" w:eastAsia="zh-CN"/>
        </w:rPr>
      </w:pPr>
    </w:p>
    <w:p w14:paraId="11AF4DCC">
      <w:pPr>
        <w:rPr>
          <w:rFonts w:hint="default" w:ascii="Times New Roman" w:hAnsi="Times New Roman" w:cs="Times New Roman"/>
          <w:color w:val="auto"/>
          <w:highlight w:val="none"/>
          <w:lang w:val="en-US" w:eastAsia="zh-CN"/>
        </w:rPr>
      </w:pPr>
    </w:p>
    <w:p w14:paraId="3B7B20FB">
      <w:pPr>
        <w:rPr>
          <w:rFonts w:hint="default" w:ascii="Times New Roman" w:hAnsi="Times New Roman" w:cs="Times New Roman"/>
          <w:color w:val="auto"/>
          <w:highlight w:val="none"/>
          <w:lang w:val="en-US" w:eastAsia="zh-CN"/>
        </w:rPr>
      </w:pPr>
    </w:p>
    <w:p w14:paraId="5AF73396">
      <w:pPr>
        <w:rPr>
          <w:rFonts w:hint="default" w:ascii="Times New Roman" w:hAnsi="Times New Roman" w:cs="Times New Roman"/>
          <w:color w:val="auto"/>
          <w:highlight w:val="none"/>
          <w:lang w:val="en-US" w:eastAsia="zh-CN"/>
        </w:rPr>
      </w:pPr>
    </w:p>
    <w:p w14:paraId="6E982B8D">
      <w:pPr>
        <w:rPr>
          <w:rFonts w:hint="default" w:ascii="Times New Roman" w:hAnsi="Times New Roman" w:cs="Times New Roman"/>
          <w:color w:val="auto"/>
          <w:highlight w:val="none"/>
          <w:lang w:val="en-US" w:eastAsia="zh-CN"/>
        </w:rPr>
      </w:pPr>
    </w:p>
    <w:p w14:paraId="6CC68F81">
      <w:pPr>
        <w:rPr>
          <w:rFonts w:hint="default" w:ascii="Times New Roman" w:hAnsi="Times New Roman" w:cs="Times New Roman"/>
          <w:color w:val="auto"/>
          <w:highlight w:val="none"/>
          <w:lang w:val="en-US" w:eastAsia="zh-CN"/>
        </w:rPr>
      </w:pPr>
    </w:p>
    <w:p w14:paraId="3A6808F2">
      <w:pPr>
        <w:rPr>
          <w:rFonts w:hint="default" w:ascii="Times New Roman" w:hAnsi="Times New Roman" w:cs="Times New Roman"/>
          <w:color w:val="auto"/>
          <w:highlight w:val="none"/>
          <w:lang w:val="en-US" w:eastAsia="zh-CN"/>
        </w:rPr>
      </w:pPr>
    </w:p>
    <w:p w14:paraId="3E9B343E">
      <w:pPr>
        <w:rPr>
          <w:rFonts w:hint="default" w:ascii="Times New Roman" w:hAnsi="Times New Roman" w:cs="Times New Roman"/>
          <w:color w:val="auto"/>
          <w:highlight w:val="none"/>
          <w:lang w:val="en-US" w:eastAsia="zh-CN"/>
        </w:rPr>
      </w:pPr>
    </w:p>
    <w:p w14:paraId="08E22976">
      <w:pPr>
        <w:rPr>
          <w:rFonts w:hint="default" w:ascii="Times New Roman" w:hAnsi="Times New Roman" w:cs="Times New Roman"/>
          <w:color w:val="auto"/>
          <w:highlight w:val="none"/>
          <w:lang w:val="en-US" w:eastAsia="zh-CN"/>
        </w:rPr>
      </w:pPr>
    </w:p>
    <w:p w14:paraId="6D738177">
      <w:pPr>
        <w:rPr>
          <w:rFonts w:hint="default" w:ascii="Times New Roman" w:hAnsi="Times New Roman" w:cs="Times New Roman"/>
          <w:color w:val="auto"/>
          <w:highlight w:val="none"/>
          <w:lang w:val="en-US" w:eastAsia="zh-CN"/>
        </w:rPr>
      </w:pPr>
    </w:p>
    <w:p w14:paraId="6FAD535F">
      <w:pPr>
        <w:pStyle w:val="488"/>
        <w:jc w:val="center"/>
        <w:rPr>
          <w:rFonts w:hint="default" w:ascii="Times New Roman" w:hAnsi="Times New Roman" w:cs="Times New Roman"/>
          <w:color w:val="auto"/>
          <w:highlight w:val="none"/>
          <w:vertAlign w:val="superscript"/>
          <w:lang w:val="en-US" w:eastAsia="zh-CN"/>
        </w:rPr>
      </w:pPr>
      <w:r>
        <w:rPr>
          <w:rFonts w:hint="default" w:ascii="Times New Roman" w:hAnsi="Times New Roman" w:eastAsia="黑体" w:cs="Times New Roman"/>
          <w:color w:val="auto"/>
          <w:highlight w:val="none"/>
          <w:lang w:val="en-US" w:eastAsia="zh-CN"/>
        </w:rPr>
        <w:t>图5</w:t>
      </w:r>
      <w:r>
        <w:rPr>
          <w:rFonts w:hint="eastAsia" w:ascii="Times New Roman" w:hAnsi="Times New Roman" w:eastAsia="黑体" w:cs="Times New Roman"/>
          <w:color w:val="auto"/>
          <w:highlight w:val="none"/>
          <w:lang w:val="en-US" w:eastAsia="zh-CN"/>
        </w:rPr>
        <w:t>.</w:t>
      </w:r>
      <w:r>
        <w:rPr>
          <w:rFonts w:hint="default" w:ascii="Times New Roman" w:hAnsi="Times New Roman" w:eastAsia="黑体" w:cs="Times New Roman"/>
          <w:color w:val="auto"/>
          <w:highlight w:val="none"/>
          <w:lang w:val="en-US" w:eastAsia="zh-CN"/>
        </w:rPr>
        <w:t>2-</w:t>
      </w:r>
      <w:r>
        <w:rPr>
          <w:rFonts w:hint="eastAsia" w:ascii="Times New Roman" w:hAnsi="Times New Roman" w:eastAsia="黑体" w:cs="Times New Roman"/>
          <w:color w:val="auto"/>
          <w:highlight w:val="none"/>
          <w:lang w:val="en-US" w:eastAsia="zh-CN"/>
        </w:rPr>
        <w:t>7</w:t>
      </w:r>
      <w:r>
        <w:rPr>
          <w:rFonts w:hint="default" w:ascii="Times New Roman" w:hAnsi="Times New Roman" w:eastAsia="黑体" w:cs="Times New Roman"/>
          <w:color w:val="auto"/>
          <w:highlight w:val="none"/>
          <w:lang w:val="en-US" w:eastAsia="zh-CN"/>
        </w:rPr>
        <w:t xml:space="preserve">  本项目NH</w:t>
      </w:r>
      <w:r>
        <w:rPr>
          <w:rFonts w:hint="default" w:ascii="Times New Roman" w:hAnsi="Times New Roman" w:eastAsia="黑体" w:cs="Times New Roman"/>
          <w:color w:val="auto"/>
          <w:highlight w:val="none"/>
          <w:vertAlign w:val="subscript"/>
          <w:lang w:val="en-US" w:eastAsia="zh-CN"/>
        </w:rPr>
        <w:t>3</w:t>
      </w:r>
      <w:r>
        <w:rPr>
          <w:rFonts w:hint="default" w:ascii="Times New Roman" w:hAnsi="Times New Roman" w:eastAsia="黑体" w:cs="Times New Roman"/>
          <w:color w:val="auto"/>
          <w:highlight w:val="none"/>
          <w:lang w:val="en-US" w:eastAsia="zh-CN"/>
        </w:rPr>
        <w:t>小时均值浓度网格图  单位</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p w14:paraId="28A97D91">
      <w:pPr>
        <w:pStyle w:val="488"/>
        <w:jc w:val="center"/>
        <w:rPr>
          <w:rFonts w:hint="default" w:ascii="Times New Roman" w:hAnsi="Times New Roman" w:cs="Times New Roman"/>
          <w:color w:val="auto"/>
          <w:highlight w:val="none"/>
        </w:rPr>
      </w:pPr>
      <w:r>
        <w:rPr>
          <w:color w:val="auto"/>
          <w:highlight w:val="none"/>
        </w:rPr>
        <w:drawing>
          <wp:inline distT="0" distB="0" distL="114300" distR="114300">
            <wp:extent cx="5271135" cy="2917190"/>
            <wp:effectExtent l="0" t="0" r="5715" b="16510"/>
            <wp:docPr id="1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2"/>
                    <pic:cNvPicPr>
                      <a:picLocks noChangeAspect="1"/>
                    </pic:cNvPicPr>
                  </pic:nvPicPr>
                  <pic:blipFill>
                    <a:blip r:embed="rId72"/>
                    <a:stretch>
                      <a:fillRect/>
                    </a:stretch>
                  </pic:blipFill>
                  <pic:spPr>
                    <a:xfrm>
                      <a:off x="0" y="0"/>
                      <a:ext cx="5271135" cy="2917190"/>
                    </a:xfrm>
                    <a:prstGeom prst="rect">
                      <a:avLst/>
                    </a:prstGeom>
                    <a:noFill/>
                    <a:ln>
                      <a:noFill/>
                    </a:ln>
                  </pic:spPr>
                </pic:pic>
              </a:graphicData>
            </a:graphic>
          </wp:inline>
        </w:drawing>
      </w:r>
    </w:p>
    <w:p w14:paraId="717C4D9A">
      <w:pPr>
        <w:pStyle w:val="488"/>
        <w:jc w:val="center"/>
        <w:rPr>
          <w:rFonts w:hint="default" w:ascii="Times New Roman" w:hAnsi="Times New Roman" w:cs="Times New Roman"/>
          <w:color w:val="auto"/>
          <w:highlight w:val="none"/>
          <w:vertAlign w:val="superscript"/>
          <w:lang w:val="en-US" w:eastAsia="zh-CN"/>
        </w:rPr>
      </w:pPr>
      <w:r>
        <w:rPr>
          <w:rFonts w:hint="default" w:ascii="Times New Roman" w:hAnsi="Times New Roman" w:eastAsia="黑体" w:cs="Times New Roman"/>
          <w:color w:val="auto"/>
          <w:highlight w:val="none"/>
          <w:lang w:val="en-US" w:eastAsia="zh-CN"/>
        </w:rPr>
        <w:t>图5</w:t>
      </w:r>
      <w:r>
        <w:rPr>
          <w:rFonts w:hint="eastAsia" w:ascii="Times New Roman" w:hAnsi="Times New Roman" w:eastAsia="黑体" w:cs="Times New Roman"/>
          <w:color w:val="auto"/>
          <w:highlight w:val="none"/>
          <w:lang w:val="en-US" w:eastAsia="zh-CN"/>
        </w:rPr>
        <w:t>.</w:t>
      </w:r>
      <w:r>
        <w:rPr>
          <w:rFonts w:hint="default" w:ascii="Times New Roman" w:hAnsi="Times New Roman" w:eastAsia="黑体" w:cs="Times New Roman"/>
          <w:color w:val="auto"/>
          <w:highlight w:val="none"/>
          <w:lang w:val="en-US" w:eastAsia="zh-CN"/>
        </w:rPr>
        <w:t>2-</w:t>
      </w:r>
      <w:r>
        <w:rPr>
          <w:rFonts w:hint="eastAsia" w:ascii="Times New Roman" w:hAnsi="Times New Roman" w:eastAsia="黑体" w:cs="Times New Roman"/>
          <w:color w:val="auto"/>
          <w:highlight w:val="none"/>
          <w:lang w:val="en-US" w:eastAsia="zh-CN"/>
        </w:rPr>
        <w:t>8</w:t>
      </w:r>
      <w:r>
        <w:rPr>
          <w:rFonts w:hint="default" w:ascii="Times New Roman" w:hAnsi="Times New Roman" w:eastAsia="黑体" w:cs="Times New Roman"/>
          <w:color w:val="auto"/>
          <w:highlight w:val="none"/>
          <w:lang w:val="en-US" w:eastAsia="zh-CN"/>
        </w:rPr>
        <w:t xml:space="preserve">  本项目H</w:t>
      </w:r>
      <w:r>
        <w:rPr>
          <w:rFonts w:hint="default" w:ascii="Times New Roman" w:hAnsi="Times New Roman" w:eastAsia="黑体" w:cs="Times New Roman"/>
          <w:color w:val="auto"/>
          <w:highlight w:val="none"/>
          <w:vertAlign w:val="subscript"/>
          <w:lang w:val="en-US" w:eastAsia="zh-CN"/>
        </w:rPr>
        <w:t>2</w:t>
      </w:r>
      <w:r>
        <w:rPr>
          <w:rFonts w:hint="default" w:ascii="Times New Roman" w:hAnsi="Times New Roman" w:eastAsia="黑体" w:cs="Times New Roman"/>
          <w:color w:val="auto"/>
          <w:highlight w:val="none"/>
          <w:lang w:val="en-US" w:eastAsia="zh-CN"/>
        </w:rPr>
        <w:t>S小时值浓度网格图  单位</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p>
    <w:p w14:paraId="3155BC0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根据预测结果本项目有组织、无组织排放污染物对评价范围内各环境空气保护目标及网格点最大浓度，预测结果如下：</w:t>
      </w:r>
    </w:p>
    <w:p w14:paraId="622A9F39">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a.新增污染源正常排放下的污染物NH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S短期浓度贡献值的最大浓度占标率≤100%；</w:t>
      </w:r>
    </w:p>
    <w:p w14:paraId="0E964DD9">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b</w:t>
      </w:r>
      <w:r>
        <w:rPr>
          <w:rFonts w:hint="default" w:ascii="Times New Roman" w:hAnsi="Times New Roman" w:eastAsia="宋体" w:cs="Times New Roman"/>
          <w:color w:val="auto"/>
          <w:highlight w:val="none"/>
          <w:lang w:val="en-US" w:eastAsia="zh-CN"/>
        </w:rPr>
        <w:t>.项目环境影响符合环境功能区划。污染物NH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、叠加现状浓度后的短期浓度符合《环境影响评价技术导则 大气环境》（HJ2.2-2018）附录D标准限值要求</w:t>
      </w:r>
      <w:r>
        <w:rPr>
          <w:rFonts w:hint="eastAsia" w:ascii="Times New Roman" w:hAnsi="Times New Roman" w:eastAsia="宋体" w:cs="Times New Roman"/>
          <w:color w:val="auto"/>
          <w:highlight w:val="none"/>
          <w:lang w:val="en-US" w:eastAsia="zh-CN"/>
        </w:rPr>
        <w:t>，经过监测</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w:t>
      </w:r>
      <w:r>
        <w:rPr>
          <w:rFonts w:hint="eastAsia" w:ascii="Times New Roman" w:hAnsi="Times New Roman" w:eastAsia="宋体" w:cs="Times New Roman"/>
          <w:color w:val="auto"/>
          <w:highlight w:val="none"/>
          <w:lang w:val="en-US" w:eastAsia="zh-CN"/>
        </w:rPr>
        <w:t>现状浓度值未检出，经预测</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S短期浓度符合《环境影响评价技术导则 大气环境》（HJ2.2-2018）附录D标准限值要求。</w:t>
      </w:r>
    </w:p>
    <w:p w14:paraId="6606E6A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综上所述，本项目的建设对评价范围内大气环境影响可以接受。</w:t>
      </w:r>
    </w:p>
    <w:p w14:paraId="1CE0384D">
      <w:pPr>
        <w:pStyle w:val="22"/>
        <w:rPr>
          <w:rFonts w:hint="default" w:ascii="Times New Roman" w:hAnsi="Times New Roman" w:cs="Times New Roman"/>
          <w:color w:val="auto"/>
          <w:highlight w:val="none"/>
          <w:lang w:val="en-US" w:eastAsia="zh-CN"/>
        </w:rPr>
      </w:pPr>
    </w:p>
    <w:p w14:paraId="46AF37B4">
      <w:pPr>
        <w:pStyle w:val="22"/>
        <w:rPr>
          <w:rFonts w:hint="default" w:ascii="Times New Roman" w:hAnsi="Times New Roman" w:cs="Times New Roman"/>
          <w:color w:val="auto"/>
          <w:highlight w:val="none"/>
          <w:lang w:val="en-US" w:eastAsia="zh-CN"/>
        </w:rPr>
        <w:sectPr>
          <w:pgSz w:w="11906" w:h="16838"/>
          <w:pgMar w:top="1440" w:right="1797" w:bottom="1440" w:left="1797" w:header="992" w:footer="992" w:gutter="0"/>
          <w:pgBorders>
            <w:top w:val="none" w:sz="0" w:space="0"/>
            <w:left w:val="none" w:sz="0" w:space="0"/>
            <w:bottom w:val="none" w:sz="0" w:space="0"/>
            <w:right w:val="none" w:sz="0" w:space="0"/>
          </w:pgBorders>
          <w:pgNumType w:fmt="decimal"/>
          <w:cols w:space="720" w:num="1"/>
          <w:docGrid w:type="lines" w:linePitch="312" w:charSpace="0"/>
        </w:sectPr>
      </w:pPr>
    </w:p>
    <w:p w14:paraId="2B060F90">
      <w:pPr>
        <w:pStyle w:val="6"/>
        <w:pageBreakBefore w:val="0"/>
        <w:widowControl w:val="0"/>
        <w:kinsoku/>
        <w:wordWrap/>
        <w:overflowPunct/>
        <w:topLinePunct w:val="0"/>
        <w:autoSpaceDE/>
        <w:autoSpaceDN/>
        <w:bidi w:val="0"/>
        <w:spacing w:line="500" w:lineRule="exac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5.2.1.8环境防护距离的确定</w:t>
      </w:r>
    </w:p>
    <w:p w14:paraId="54BCB98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highlight w:val="none"/>
          <w:lang w:val="en-US" w:eastAsia="zh-CN"/>
        </w:rPr>
        <w:t>（1）大气环境防护距离</w:t>
      </w:r>
    </w:p>
    <w:p w14:paraId="4E98940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kern w:val="2"/>
          <w:sz w:val="24"/>
          <w:szCs w:val="20"/>
          <w:highlight w:val="none"/>
          <w:lang w:val="en-US" w:eastAsia="zh-CN" w:bidi="ar-SA"/>
        </w:rPr>
      </w:pPr>
      <w:r>
        <w:rPr>
          <w:rFonts w:hint="default" w:ascii="Times New Roman" w:hAnsi="Times New Roman" w:eastAsia="宋体" w:cs="Times New Roman"/>
          <w:color w:val="auto"/>
          <w:kern w:val="2"/>
          <w:sz w:val="24"/>
          <w:szCs w:val="20"/>
          <w:highlight w:val="none"/>
          <w:lang w:val="en-US" w:eastAsia="zh-CN" w:bidi="ar-SA"/>
        </w:rPr>
        <w:t>根据预测结果可知，厂界外大气污染物短期贡献浓度不超过环境质量浓度限值，不需要设置大气环境防护距离。</w:t>
      </w:r>
    </w:p>
    <w:p w14:paraId="5070758B">
      <w:pPr>
        <w:pStyle w:val="22"/>
        <w:rPr>
          <w:rFonts w:hint="default" w:ascii="Times New Roman" w:hAnsi="Times New Roman" w:cs="Times New Roman"/>
          <w:color w:val="auto"/>
          <w:highlight w:val="none"/>
        </w:rPr>
      </w:pPr>
      <w:r>
        <w:rPr>
          <w:color w:val="auto"/>
          <w:highlight w:val="none"/>
        </w:rPr>
        <w:drawing>
          <wp:inline distT="0" distB="0" distL="114300" distR="114300">
            <wp:extent cx="5275580" cy="3216275"/>
            <wp:effectExtent l="0" t="0" r="1270" b="3175"/>
            <wp:docPr id="1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3"/>
                    <pic:cNvPicPr>
                      <a:picLocks noChangeAspect="1"/>
                    </pic:cNvPicPr>
                  </pic:nvPicPr>
                  <pic:blipFill>
                    <a:blip r:embed="rId73"/>
                    <a:stretch>
                      <a:fillRect/>
                    </a:stretch>
                  </pic:blipFill>
                  <pic:spPr>
                    <a:xfrm>
                      <a:off x="0" y="0"/>
                      <a:ext cx="5275580" cy="3216275"/>
                    </a:xfrm>
                    <a:prstGeom prst="rect">
                      <a:avLst/>
                    </a:prstGeom>
                    <a:noFill/>
                    <a:ln>
                      <a:noFill/>
                    </a:ln>
                  </pic:spPr>
                </pic:pic>
              </a:graphicData>
            </a:graphic>
          </wp:inline>
        </w:drawing>
      </w:r>
    </w:p>
    <w:p w14:paraId="57A3EEED">
      <w:pPr>
        <w:pStyle w:val="488"/>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vertAlign w:val="superscript"/>
          <w:lang w:val="en-US" w:eastAsia="zh-CN"/>
        </w:rPr>
      </w:pPr>
      <w:r>
        <w:rPr>
          <w:rFonts w:hint="default" w:ascii="Times New Roman" w:hAnsi="Times New Roman" w:eastAsia="黑体" w:cs="Times New Roman"/>
          <w:color w:val="auto"/>
          <w:highlight w:val="none"/>
          <w:lang w:val="en-US" w:eastAsia="zh-CN"/>
        </w:rPr>
        <w:t>图5-2-</w:t>
      </w:r>
      <w:r>
        <w:rPr>
          <w:rFonts w:hint="eastAsia" w:ascii="Times New Roman" w:hAnsi="Times New Roman" w:eastAsia="黑体" w:cs="Times New Roman"/>
          <w:color w:val="auto"/>
          <w:highlight w:val="none"/>
          <w:lang w:val="en-US" w:eastAsia="zh-CN"/>
        </w:rPr>
        <w:t>9</w:t>
      </w:r>
      <w:r>
        <w:rPr>
          <w:rFonts w:hint="default" w:ascii="Times New Roman" w:hAnsi="Times New Roman" w:eastAsia="黑体" w:cs="Times New Roman"/>
          <w:color w:val="auto"/>
          <w:highlight w:val="none"/>
          <w:lang w:val="en-US" w:eastAsia="zh-CN"/>
        </w:rPr>
        <w:t xml:space="preserve"> 大气防护距离无需设置截图</w:t>
      </w:r>
    </w:p>
    <w:p w14:paraId="78412025">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5.2.3.4环境</w:t>
      </w:r>
      <w:r>
        <w:rPr>
          <w:rFonts w:hint="eastAsia" w:cs="Times New Roman"/>
          <w:color w:val="auto"/>
          <w:highlight w:val="none"/>
          <w:lang w:val="en-US" w:eastAsia="zh-CN"/>
        </w:rPr>
        <w:t>卫生</w:t>
      </w:r>
      <w:r>
        <w:rPr>
          <w:rFonts w:hint="default" w:ascii="Times New Roman" w:hAnsi="Times New Roman" w:cs="Times New Roman"/>
          <w:color w:val="auto"/>
          <w:highlight w:val="none"/>
        </w:rPr>
        <w:t>防护距离分析</w:t>
      </w:r>
    </w:p>
    <w:p w14:paraId="7FD58EA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根据《畜禽养殖业污染防治技术规范》（HJ/T81-2001）要求，</w:t>
      </w:r>
      <w:r>
        <w:rPr>
          <w:rFonts w:hint="default" w:ascii="Times New Roman" w:hAnsi="Times New Roman" w:eastAsia="宋体" w:cs="Times New Roman"/>
          <w:color w:val="auto"/>
          <w:highlight w:val="none"/>
          <w:lang w:val="zh-CN"/>
        </w:rPr>
        <w:t>禁止在下列区域内建设畜禽养殖场：</w:t>
      </w:r>
    </w:p>
    <w:p w14:paraId="018E53C3">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1、生活饮用水水源保护区，风景名胜区、自然保护区的核心区和缓冲区；</w:t>
      </w:r>
    </w:p>
    <w:p w14:paraId="3741881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2、城市和城镇居民区，包括文教科研区、医疗区、商业区、工业区、游览区等人口集中地区；</w:t>
      </w:r>
    </w:p>
    <w:p w14:paraId="3F736780">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3、县级人民政府依法划定的禁养区域；</w:t>
      </w:r>
    </w:p>
    <w:p w14:paraId="67ABD6EE">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4、国家或地方法律、法规规定需特殊保护的其他区域。</w:t>
      </w:r>
    </w:p>
    <w:p w14:paraId="13230462">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新建、改建、扩建的畜禽养殖场选址应避开以上禁建区域。在禁建区域附近建设的，应设在禁建区域常年主导风向的下风向或侧风向处，场界与禁建区域边界的最小距离不得小于500m。</w:t>
      </w:r>
    </w:p>
    <w:p w14:paraId="776ECF7D">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采用GB/T3840-1991中7.4推荐的估算方法进行计算,具体计算公式见式：</w:t>
      </w:r>
    </w:p>
    <w:p w14:paraId="21578D7B">
      <w:p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2981325" cy="581025"/>
            <wp:effectExtent l="0" t="0" r="9525"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74"/>
                    <a:stretch>
                      <a:fillRect/>
                    </a:stretch>
                  </pic:blipFill>
                  <pic:spPr>
                    <a:xfrm>
                      <a:off x="0" y="0"/>
                      <a:ext cx="2981325" cy="581025"/>
                    </a:xfrm>
                    <a:prstGeom prst="rect">
                      <a:avLst/>
                    </a:prstGeom>
                    <a:noFill/>
                    <a:ln>
                      <a:noFill/>
                    </a:ln>
                  </pic:spPr>
                </pic:pic>
              </a:graphicData>
            </a:graphic>
          </wp:inline>
        </w:drawing>
      </w:r>
    </w:p>
    <w:p w14:paraId="7C04A820">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式中:</w:t>
      </w:r>
    </w:p>
    <w:p w14:paraId="65F9CD61">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Qc—大气有害物质的无组织排放量</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单位为千克每小时(kg/h)；</w:t>
      </w:r>
    </w:p>
    <w:p w14:paraId="56EAC0F0">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w:t>
      </w:r>
      <w:r>
        <w:rPr>
          <w:rFonts w:hint="eastAsia" w:ascii="Times New Roman" w:hAnsi="Times New Roman" w:cs="Times New Roman"/>
          <w:color w:val="auto"/>
          <w:sz w:val="24"/>
          <w:szCs w:val="24"/>
          <w:highlight w:val="none"/>
          <w:lang w:val="en-US" w:eastAsia="zh-CN"/>
        </w:rPr>
        <w:t>硫化氢</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1.81</w:t>
      </w:r>
      <w:r>
        <w:rPr>
          <w:rFonts w:hint="default" w:ascii="Times New Roman" w:hAnsi="Times New Roman" w:cs="Times New Roman"/>
          <w:snapToGrid w:val="0"/>
          <w:color w:val="auto"/>
          <w:sz w:val="24"/>
          <w:szCs w:val="24"/>
          <w:highlight w:val="none"/>
          <w:lang w:val="zh-CN"/>
        </w:rPr>
        <w:t>×</w:t>
      </w:r>
      <w:r>
        <w:rPr>
          <w:rFonts w:hint="default" w:ascii="Times New Roman" w:hAnsi="Times New Roman" w:cs="Times New Roman"/>
          <w:color w:val="auto"/>
          <w:sz w:val="24"/>
          <w:szCs w:val="24"/>
          <w:highlight w:val="none"/>
          <w:lang w:eastAsia="zh-CN"/>
        </w:rPr>
        <w:t>10</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kg/h</w:t>
      </w:r>
      <w:r>
        <w:rPr>
          <w:rFonts w:hint="eastAsia" w:ascii="Times New Roman" w:hAnsi="Times New Roman" w:cs="Times New Roman"/>
          <w:color w:val="auto"/>
          <w:sz w:val="24"/>
          <w:szCs w:val="24"/>
          <w:highlight w:val="none"/>
          <w:lang w:val="en-US" w:eastAsia="zh-CN"/>
        </w:rPr>
        <w:t>，氨：0.0864</w:t>
      </w:r>
      <w:r>
        <w:rPr>
          <w:rFonts w:hint="default" w:ascii="Times New Roman" w:hAnsi="Times New Roman" w:cs="Times New Roman"/>
          <w:color w:val="auto"/>
          <w:sz w:val="24"/>
          <w:szCs w:val="24"/>
          <w:highlight w:val="none"/>
          <w:lang w:val="en-US" w:eastAsia="zh-CN"/>
        </w:rPr>
        <w:t>kg/h</w:t>
      </w:r>
      <w:r>
        <w:rPr>
          <w:rFonts w:hint="eastAsia" w:ascii="Times New Roman" w:hAnsi="Times New Roman" w:cs="Times New Roman"/>
          <w:color w:val="auto"/>
          <w:sz w:val="24"/>
          <w:szCs w:val="24"/>
          <w:highlight w:val="none"/>
          <w:lang w:val="en-US" w:eastAsia="zh-CN"/>
        </w:rPr>
        <w:t>。</w:t>
      </w:r>
    </w:p>
    <w:p w14:paraId="482FF1D0">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Cm—大气有害物质环境空气质量的标准限值,单位为毫克每立方米(mg/m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p>
    <w:p w14:paraId="6C4D4ACC">
      <w:pPr>
        <w:spacing w:line="360" w:lineRule="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w:t>
      </w:r>
      <w:r>
        <w:rPr>
          <w:rFonts w:hint="eastAsia" w:ascii="Times New Roman" w:hAnsi="Times New Roman" w:cs="Times New Roman"/>
          <w:color w:val="auto"/>
          <w:sz w:val="24"/>
          <w:szCs w:val="24"/>
          <w:highlight w:val="none"/>
          <w:lang w:val="en-US" w:eastAsia="zh-CN"/>
        </w:rPr>
        <w:t>硫化氢</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0.01</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vertAlign w:val="baseline"/>
          <w:lang w:eastAsia="zh-CN"/>
        </w:rPr>
        <w:t>，</w:t>
      </w:r>
      <w:r>
        <w:rPr>
          <w:rFonts w:hint="eastAsia" w:ascii="Times New Roman" w:hAnsi="Times New Roman" w:cs="Times New Roman"/>
          <w:color w:val="auto"/>
          <w:sz w:val="24"/>
          <w:szCs w:val="24"/>
          <w:highlight w:val="none"/>
          <w:lang w:val="en-US" w:eastAsia="zh-CN"/>
        </w:rPr>
        <w:t>氨</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0.2</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r>
        <w:rPr>
          <w:rFonts w:hint="eastAsia" w:ascii="Times New Roman" w:hAnsi="Times New Roman" w:cs="Times New Roman"/>
          <w:color w:val="auto"/>
          <w:sz w:val="24"/>
          <w:szCs w:val="24"/>
          <w:highlight w:val="none"/>
          <w:vertAlign w:val="baseline"/>
          <w:lang w:eastAsia="zh-CN"/>
        </w:rPr>
        <w:t>。</w:t>
      </w:r>
    </w:p>
    <w:p w14:paraId="5D5CD08A">
      <w:pPr>
        <w:spacing w:line="360" w:lineRule="auto"/>
        <w:rPr>
          <w:rFonts w:hint="eastAsia"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L—大气有害物质卫生防护距离初值，单位为米(m)</w:t>
      </w:r>
      <w:r>
        <w:rPr>
          <w:rFonts w:hint="eastAsia" w:cs="Times New Roman"/>
          <w:color w:val="auto"/>
          <w:sz w:val="24"/>
          <w:szCs w:val="24"/>
          <w:highlight w:val="none"/>
          <w:lang w:val="en-US" w:eastAsia="zh-CN"/>
        </w:rPr>
        <w:t>；</w:t>
      </w:r>
    </w:p>
    <w:p w14:paraId="70AC2EDA">
      <w:pPr>
        <w:spacing w:line="360" w:lineRule="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r—大气有害物质无组织排放源所在生产单元的等效半径，单位为米(m)</w:t>
      </w:r>
      <w:r>
        <w:rPr>
          <w:rFonts w:hint="eastAsia" w:cs="Times New Roman"/>
          <w:color w:val="auto"/>
          <w:sz w:val="24"/>
          <w:szCs w:val="24"/>
          <w:highlight w:val="none"/>
          <w:lang w:val="en-US" w:eastAsia="zh-CN"/>
        </w:rPr>
        <w:t>；</w:t>
      </w:r>
    </w:p>
    <w:p w14:paraId="09499A3D">
      <w:pPr>
        <w:spacing w:line="360" w:lineRule="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收集企业生产单元占地面积S(m</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)数据,根据下式计算：本项目S为</w:t>
      </w:r>
      <w:r>
        <w:rPr>
          <w:rFonts w:hint="eastAsia" w:ascii="Times New Roman" w:hAnsi="Times New Roman" w:cs="Times New Roman"/>
          <w:color w:val="auto"/>
          <w:sz w:val="24"/>
          <w:szCs w:val="24"/>
          <w:highlight w:val="none"/>
          <w:lang w:val="en-US" w:eastAsia="zh-CN"/>
        </w:rPr>
        <w:t>299700</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2</w:t>
      </w:r>
    </w:p>
    <w:p w14:paraId="67A2A86F">
      <w:p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1390650" cy="381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75"/>
                    <a:stretch>
                      <a:fillRect/>
                    </a:stretch>
                  </pic:blipFill>
                  <pic:spPr>
                    <a:xfrm>
                      <a:off x="0" y="0"/>
                      <a:ext cx="1390650" cy="381000"/>
                    </a:xfrm>
                    <a:prstGeom prst="rect">
                      <a:avLst/>
                    </a:prstGeom>
                    <a:noFill/>
                    <a:ln>
                      <a:noFill/>
                    </a:ln>
                  </pic:spPr>
                </pic:pic>
              </a:graphicData>
            </a:graphic>
          </wp:inline>
        </w:drawing>
      </w:r>
    </w:p>
    <w:p w14:paraId="7826B959">
      <w:pPr>
        <w:spacing w:line="360" w:lineRule="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经计算r=</w:t>
      </w:r>
      <w:r>
        <w:rPr>
          <w:rFonts w:hint="eastAsia" w:ascii="Times New Roman" w:hAnsi="Times New Roman" w:cs="Times New Roman"/>
          <w:color w:val="auto"/>
          <w:sz w:val="24"/>
          <w:szCs w:val="24"/>
          <w:highlight w:val="none"/>
          <w:lang w:val="en-US" w:eastAsia="zh-CN"/>
        </w:rPr>
        <w:t>174.3</w:t>
      </w:r>
      <w:r>
        <w:rPr>
          <w:rFonts w:hint="default" w:ascii="Times New Roman" w:hAnsi="Times New Roman" w:cs="Times New Roman"/>
          <w:color w:val="auto"/>
          <w:sz w:val="24"/>
          <w:szCs w:val="24"/>
          <w:highlight w:val="none"/>
          <w:lang w:val="en-US" w:eastAsia="zh-CN"/>
        </w:rPr>
        <w:t>m</w:t>
      </w:r>
    </w:p>
    <w:p w14:paraId="4ECCE05E">
      <w:pPr>
        <w:numPr>
          <w:ilvl w:val="0"/>
          <w:numId w:val="9"/>
        </w:numPr>
        <w:spacing w:line="360" w:lineRule="auto"/>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B、C、D-一卫生防护距离初值计算系数,无因次,根据工业企业所在地区近5年平均风速及大气污染源构成类别从表1查取。经调查，</w:t>
      </w:r>
      <w:r>
        <w:rPr>
          <w:rFonts w:hint="eastAsia" w:ascii="Times New Roman" w:hAnsi="Times New Roman" w:cs="Times New Roman"/>
          <w:color w:val="auto"/>
          <w:sz w:val="24"/>
          <w:szCs w:val="24"/>
          <w:highlight w:val="none"/>
          <w:lang w:val="en-US" w:eastAsia="zh-CN"/>
        </w:rPr>
        <w:t>黑河市</w:t>
      </w:r>
      <w:r>
        <w:rPr>
          <w:rFonts w:hint="default" w:ascii="Times New Roman" w:hAnsi="Times New Roman" w:cs="Times New Roman"/>
          <w:color w:val="auto"/>
          <w:sz w:val="24"/>
          <w:szCs w:val="24"/>
          <w:highlight w:val="none"/>
          <w:lang w:val="en-US" w:eastAsia="zh-CN"/>
        </w:rPr>
        <w:t>近五年平均风速（2020年~2024年）平均风速为</w:t>
      </w:r>
      <w:r>
        <w:rPr>
          <w:rFonts w:hint="eastAsia" w:ascii="Times New Roman" w:hAnsi="Times New Roman" w:cs="Times New Roman"/>
          <w:color w:val="auto"/>
          <w:sz w:val="24"/>
          <w:szCs w:val="24"/>
          <w:highlight w:val="none"/>
          <w:lang w:val="en-US" w:eastAsia="zh-CN"/>
        </w:rPr>
        <w:t>2.21</w:t>
      </w:r>
      <w:r>
        <w:rPr>
          <w:rFonts w:hint="default" w:ascii="Times New Roman" w:hAnsi="Times New Roman" w:cs="Times New Roman"/>
          <w:color w:val="auto"/>
          <w:sz w:val="24"/>
          <w:szCs w:val="24"/>
          <w:highlight w:val="none"/>
          <w:lang w:val="en-US" w:eastAsia="zh-CN"/>
        </w:rPr>
        <w:t>m/s。</w:t>
      </w:r>
    </w:p>
    <w:p w14:paraId="41F994BF">
      <w:pPr>
        <w:numPr>
          <w:ilvl w:val="0"/>
          <w:numId w:val="0"/>
        </w:numPr>
        <w:spacing w:line="360" w:lineRule="auto"/>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drawing>
          <wp:inline distT="0" distB="0" distL="114300" distR="114300">
            <wp:extent cx="5332095" cy="4091305"/>
            <wp:effectExtent l="0" t="0" r="1905" b="444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76"/>
                    <a:stretch>
                      <a:fillRect/>
                    </a:stretch>
                  </pic:blipFill>
                  <pic:spPr>
                    <a:xfrm>
                      <a:off x="0" y="0"/>
                      <a:ext cx="5332095" cy="4091305"/>
                    </a:xfrm>
                    <a:prstGeom prst="rect">
                      <a:avLst/>
                    </a:prstGeom>
                    <a:noFill/>
                    <a:ln>
                      <a:noFill/>
                    </a:ln>
                  </pic:spPr>
                </pic:pic>
              </a:graphicData>
            </a:graphic>
          </wp:inline>
        </w:drawing>
      </w:r>
    </w:p>
    <w:p w14:paraId="07852F17">
      <w:pPr>
        <w:numPr>
          <w:ilvl w:val="0"/>
          <w:numId w:val="0"/>
        </w:numPr>
        <w:spacing w:line="240" w:lineRule="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注：本项目</w:t>
      </w:r>
      <w:r>
        <w:rPr>
          <w:rFonts w:hint="default" w:ascii="Times New Roman" w:hAnsi="Times New Roman" w:cs="Times New Roman"/>
          <w:color w:val="auto"/>
          <w:sz w:val="21"/>
          <w:szCs w:val="21"/>
          <w:highlight w:val="none"/>
          <w:lang w:val="en-US" w:eastAsia="zh-CN"/>
        </w:rPr>
        <w:t>大气有害物质的无组织排放量</w:t>
      </w:r>
      <w:r>
        <w:rPr>
          <w:rFonts w:hint="eastAsia" w:cs="Times New Roman"/>
          <w:color w:val="auto"/>
          <w:sz w:val="21"/>
          <w:szCs w:val="21"/>
          <w:highlight w:val="none"/>
          <w:lang w:val="en-US" w:eastAsia="zh-CN"/>
        </w:rPr>
        <w:t>选取全厂无组织污染物氨的排放总量作为</w:t>
      </w:r>
      <w:r>
        <w:rPr>
          <w:rFonts w:hint="default" w:ascii="Times New Roman" w:hAnsi="Times New Roman" w:cs="Times New Roman"/>
          <w:color w:val="auto"/>
          <w:sz w:val="21"/>
          <w:szCs w:val="21"/>
          <w:highlight w:val="none"/>
          <w:lang w:val="en-US" w:eastAsia="zh-CN"/>
        </w:rPr>
        <w:t>Qc</w:t>
      </w:r>
      <w:r>
        <w:rPr>
          <w:rFonts w:hint="eastAsia" w:cs="Times New Roman"/>
          <w:color w:val="auto"/>
          <w:sz w:val="21"/>
          <w:szCs w:val="21"/>
          <w:highlight w:val="none"/>
          <w:lang w:val="en-US" w:eastAsia="zh-CN"/>
        </w:rPr>
        <w:t>代表值用于计算卫生防护距离，硫化氢的排放量计算出来后极小，无实际意义，故本次不做计算参考。</w:t>
      </w:r>
    </w:p>
    <w:p w14:paraId="68DC189D">
      <w:pPr>
        <w:pStyle w:val="67"/>
        <w:ind w:firstLine="480"/>
        <w:rPr>
          <w:rFonts w:hint="default" w:ascii="Times New Roman" w:hAnsi="Times New Roman" w:eastAsia="宋体" w:cs="Times New Roman"/>
          <w:color w:val="auto"/>
          <w:highlight w:val="none"/>
        </w:rPr>
      </w:pPr>
      <w:r>
        <w:rPr>
          <w:rFonts w:hint="eastAsia" w:ascii="Times New Roman" w:hAnsi="Times New Roman" w:cs="Times New Roman"/>
          <w:b/>
          <w:bCs/>
          <w:color w:val="auto"/>
          <w:sz w:val="24"/>
          <w:szCs w:val="24"/>
          <w:highlight w:val="none"/>
          <w:lang w:val="en-US" w:eastAsia="zh-CN"/>
        </w:rPr>
        <w:t>经计算：L值为1.39米。从</w:t>
      </w:r>
      <w:r>
        <w:rPr>
          <w:rFonts w:hint="eastAsia" w:ascii="Times New Roman" w:hAnsi="Times New Roman" w:eastAsia="宋体" w:cs="Times New Roman"/>
          <w:snapToGrid w:val="0"/>
          <w:color w:val="auto"/>
          <w:kern w:val="0"/>
          <w:szCs w:val="21"/>
          <w:highlight w:val="none"/>
          <w:lang w:val="en-US" w:eastAsia="zh-CN"/>
        </w:rPr>
        <w:t>卫生防护距离初值计算结果可知，本项目大气有害物质卫生防护距离初值为</w:t>
      </w:r>
      <w:r>
        <w:rPr>
          <w:rFonts w:hint="eastAsia" w:cs="Times New Roman"/>
          <w:snapToGrid w:val="0"/>
          <w:color w:val="auto"/>
          <w:kern w:val="0"/>
          <w:szCs w:val="21"/>
          <w:highlight w:val="none"/>
          <w:lang w:val="en-US" w:eastAsia="zh-CN"/>
        </w:rPr>
        <w:t>1.39</w:t>
      </w:r>
      <w:r>
        <w:rPr>
          <w:rFonts w:hint="eastAsia" w:ascii="Times New Roman" w:hAnsi="Times New Roman" w:eastAsia="宋体" w:cs="Times New Roman"/>
          <w:snapToGrid w:val="0"/>
          <w:color w:val="auto"/>
          <w:kern w:val="0"/>
          <w:szCs w:val="21"/>
          <w:highlight w:val="none"/>
          <w:lang w:val="en-US" w:eastAsia="zh-CN"/>
        </w:rPr>
        <w:t>米，当卫生防护距离初值小于50m时，级差为50m。如计算初值小于50m，卫生防护距离终值取50米。</w:t>
      </w:r>
      <w:r>
        <w:rPr>
          <w:rFonts w:hint="default" w:ascii="Times New Roman" w:hAnsi="Times New Roman" w:eastAsia="宋体" w:cs="Times New Roman"/>
          <w:color w:val="auto"/>
          <w:highlight w:val="none"/>
        </w:rPr>
        <w:t>本项目所在区域内无上述</w:t>
      </w:r>
      <w:r>
        <w:rPr>
          <w:rFonts w:hint="default" w:ascii="Times New Roman" w:hAnsi="Times New Roman" w:eastAsia="宋体" w:cs="Times New Roman"/>
          <w:color w:val="auto"/>
          <w:highlight w:val="none"/>
          <w:lang w:val="zh-CN"/>
        </w:rPr>
        <w:t>禁建区域</w:t>
      </w:r>
      <w:r>
        <w:rPr>
          <w:rFonts w:hint="default" w:ascii="Times New Roman" w:hAnsi="Times New Roman" w:eastAsia="宋体" w:cs="Times New Roman"/>
          <w:color w:val="auto"/>
          <w:sz w:val="21"/>
          <w:highlight w:val="none"/>
          <w:lang w:val="zh-CN"/>
        </w:rPr>
        <w:t>。</w:t>
      </w:r>
      <w:r>
        <w:rPr>
          <w:rFonts w:hint="default" w:ascii="Times New Roman" w:hAnsi="Times New Roman" w:eastAsia="宋体" w:cs="Times New Roman"/>
          <w:color w:val="auto"/>
          <w:highlight w:val="none"/>
        </w:rPr>
        <w:t>故本项目环境防护距离为场界外</w:t>
      </w:r>
      <w:r>
        <w:rPr>
          <w:rFonts w:hint="eastAsia" w:eastAsia="宋体" w:cs="Times New Roman"/>
          <w:color w:val="auto"/>
          <w:highlight w:val="none"/>
          <w:lang w:val="en-US" w:eastAsia="zh-CN"/>
        </w:rPr>
        <w:t>5</w:t>
      </w:r>
      <w:r>
        <w:rPr>
          <w:rFonts w:hint="default" w:ascii="Times New Roman" w:hAnsi="Times New Roman" w:eastAsia="宋体" w:cs="Times New Roman"/>
          <w:color w:val="auto"/>
          <w:highlight w:val="none"/>
        </w:rPr>
        <w:t>0m，环境防护距离内不得新建生活饮用水水源保护区、风景名胜区、自然保护区的核心区及缓冲区、城市和城镇居民区，包括文教科研区、医疗区、商业区、工业区、游览区等人口集中地区等敏感目标。</w:t>
      </w:r>
    </w:p>
    <w:p w14:paraId="0474B69A">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5.2.3.5臭气浓度分析</w:t>
      </w:r>
    </w:p>
    <w:p w14:paraId="1CD73FE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解养殖场恶臭对环境空气的影响程度，上海市有关部门对市郊某养殖场专门进行了现场闻味测试，组织10名30岁以下无烟酒嗜好的男女青年进行现场的臭味嗅闻，调查人员分别在畜舍构筑物下风向5m、30m、50m、70m、100m、200m、300m等距离处嗅闻，并以上风向作为对照嗅闻。由嗅闻统计可知，在畜舍设施下风向5m范围内，感觉到较强的臭气味（强度约3～4级），在30m～100m范围内很容易感觉到气味的存在（强度约3～2级），在200m处气味就很弱（强度约1～2级），在300m左右，则基本已嗅闻不到气味。随着距离的增加，臭气浓度会迅速下降，依据《畜禽养殖业污染物排放标准》（GB18596-2001）中的规定，集约化畜禽养殖业恶臭污染物气浓度（无量纲）排放限值为70。恶臭产生的浓度、散发量与存栏数量、清粪工艺频率、牛舍通风型式、粪便处理工艺、污水停留时间长短、气象条件及其稳定程度等均密切相关，且恶臭的排放方式是面源无组织形式的，其源强相对来说具有不确定性。恶臭扩散一般有两种形式的衰减：一种是空间扩散物理；另一种为恶臭物质在日照、紫外线等因素作用下经一定时间的化学衰减。由于其机理复杂，源强和衰减量均难以准确量化，因此本次评价采用类比调查的方式说明养殖场恶臭污染源排放强度。在畜禽养殖过程中，圈舍和粪便处理设施附近臭气浓度一般较大，其值约在80～180之间，根据一些已建成的畜禽养殖场运行情况看，在场界处，以及下风向200m处，臭气浓度一般均小于2.0，建设单位通过采取加强管理、及时清理牛舍粪便、物理化学生物除臭、加速空气交换、加强绿化等措施，臭气经吸收及衰减，可大大减少恶臭对环境的影响，场界臭气浓度能满足《畜禽养殖业污染物排放标准》（GB18596-2001）中表7的限值要求。</w:t>
      </w:r>
    </w:p>
    <w:p w14:paraId="2B34294D">
      <w:pPr>
        <w:pStyle w:val="5"/>
        <w:spacing w:line="500" w:lineRule="exact"/>
        <w:rPr>
          <w:rFonts w:hint="default" w:ascii="Times New Roman" w:hAnsi="Times New Roman" w:cs="Times New Roman"/>
          <w:color w:val="auto"/>
          <w:highlight w:val="none"/>
        </w:rPr>
      </w:pPr>
      <w:bookmarkStart w:id="445" w:name="_Toc57713683"/>
      <w:bookmarkStart w:id="446" w:name="_Toc9071"/>
      <w:r>
        <w:rPr>
          <w:rFonts w:hint="default" w:ascii="Times New Roman" w:hAnsi="Times New Roman" w:cs="Times New Roman"/>
          <w:color w:val="auto"/>
          <w:highlight w:val="none"/>
        </w:rPr>
        <w:t>5.2.4运行期噪声影响预测与评价</w:t>
      </w:r>
      <w:bookmarkEnd w:id="445"/>
      <w:bookmarkEnd w:id="446"/>
    </w:p>
    <w:p w14:paraId="1F6D23AD">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5.2.4.1预测模式</w:t>
      </w:r>
    </w:p>
    <w:p w14:paraId="6AC29F95">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highlight w:val="none"/>
        </w:rPr>
        <w:t>根据《环境影响评价技术导则 声环境》（HJ2.4-2021）的技术要求，本次评价采用导则推荐计算模式：</w:t>
      </w:r>
    </w:p>
    <w:p w14:paraId="069D13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①噪声在空气中的理论衰减公式为：</w:t>
      </w:r>
    </w:p>
    <w:p w14:paraId="765518F3">
      <w:pPr>
        <w:pStyle w:val="67"/>
        <w:spacing w:line="240" w:lineRule="auto"/>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0"/>
          <w:highlight w:val="none"/>
        </w:rPr>
        <w:object>
          <v:shape id="_x0000_i1025" o:spt="75" type="#_x0000_t75" style="height:28.5pt;width:100.5pt;" o:ole="t" filled="f" o:preferrelative="t" stroked="f" coordsize="21600,21600">
            <v:path/>
            <v:fill on="f" focussize="0,0"/>
            <v:stroke on="f" joinstyle="miter"/>
            <v:imagedata r:id="rId78" o:title=""/>
            <o:lock v:ext="edit" aspectratio="t"/>
            <w10:wrap type="none"/>
            <w10:anchorlock/>
          </v:shape>
          <o:OLEObject Type="Embed" ProgID="Equation.3" ShapeID="_x0000_i1025" DrawAspect="Content" ObjectID="_1468075725" r:id="rId77">
            <o:LockedField>false</o:LockedField>
          </o:OLEObject>
        </w:object>
      </w:r>
    </w:p>
    <w:p w14:paraId="504902B2">
      <w:pPr>
        <w:pStyle w:val="67"/>
        <w:ind w:firstLine="480"/>
        <w:rPr>
          <w:rFonts w:hint="default" w:ascii="Times New Roman" w:hAnsi="Times New Roman" w:eastAsia="宋体" w:cs="Times New Roman"/>
          <w:snapToGrid/>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rPr>
        <w:t>——距声源r(m)处的噪声值，dB(A)；</w:t>
      </w:r>
    </w:p>
    <w:p w14:paraId="623B648C">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——距声源r</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(m)处声源值，dB(A)；</w:t>
      </w:r>
    </w:p>
    <w:p w14:paraId="19AFDB40">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——测定声源时距离，m；</w:t>
      </w:r>
    </w:p>
    <w:p w14:paraId="44108A83">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r——衰减距离，m；</w:t>
      </w:r>
    </w:p>
    <w:p w14:paraId="79CA1431">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α——空气中衰减系数。</w:t>
      </w:r>
    </w:p>
    <w:p w14:paraId="76A378C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②噪声叠加计算模式</w:t>
      </w:r>
    </w:p>
    <w:p w14:paraId="461F0D6D">
      <w:pPr>
        <w:pStyle w:val="67"/>
        <w:spacing w:line="240" w:lineRule="auto"/>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0"/>
          <w:highlight w:val="none"/>
        </w:rPr>
        <w:object>
          <v:shape id="_x0000_i1026" o:spt="75" type="#_x0000_t75" style="height:28.5pt;width:87pt;" o:ole="t" fillcolor="#6D6D6D" filled="f" o:preferrelative="t" stroked="f" coordsize="21600,21600">
            <v:path/>
            <v:fill on="f" focussize="0,0"/>
            <v:stroke on="f" joinstyle="miter"/>
            <v:imagedata r:id="rId80" o:title=""/>
            <o:lock v:ext="edit" aspectratio="t"/>
            <w10:wrap type="none"/>
            <w10:anchorlock/>
          </v:shape>
          <o:OLEObject Type="Embed" ProgID="Equation.3" ShapeID="_x0000_i1026" DrawAspect="Content" ObjectID="_1468075726" r:id="rId79">
            <o:LockedField>false</o:LockedField>
          </o:OLEObject>
        </w:object>
      </w:r>
    </w:p>
    <w:p w14:paraId="1B5DED5A">
      <w:pPr>
        <w:pStyle w:val="67"/>
        <w:ind w:firstLine="480"/>
        <w:rPr>
          <w:rFonts w:hint="default" w:ascii="Times New Roman" w:hAnsi="Times New Roman" w:eastAsia="宋体" w:cs="Times New Roman"/>
          <w:snapToGrid/>
          <w:color w:val="auto"/>
          <w:highlight w:val="none"/>
        </w:rPr>
      </w:pPr>
      <w:r>
        <w:rPr>
          <w:rFonts w:hint="default" w:ascii="Times New Roman" w:hAnsi="Times New Roman" w:eastAsia="宋体" w:cs="Times New Roman"/>
          <w:color w:val="auto"/>
          <w:highlight w:val="none"/>
        </w:rPr>
        <w:t>式中：L——噪声叠加后噪声值dB(A)；</w:t>
      </w:r>
    </w:p>
    <w:p w14:paraId="419CA53D">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——第i个噪声值，dB(A)；</w:t>
      </w:r>
    </w:p>
    <w:p w14:paraId="1164B96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若上式的几个噪声值均相同，可简化为：</w:t>
      </w:r>
    </w:p>
    <w:p w14:paraId="4E18E79A">
      <w:pPr>
        <w:pStyle w:val="67"/>
        <w:spacing w:line="240" w:lineRule="auto"/>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0"/>
          <w:highlight w:val="none"/>
        </w:rPr>
        <w:object>
          <v:shape id="_x0000_i1027" o:spt="75" type="#_x0000_t75" style="height:15pt;width:79.5pt;" o:ole="t" fillcolor="#6D6D6D" filled="f" o:preferrelative="t" stroked="f" coordsize="21600,21600">
            <v:path/>
            <v:fill on="f" focussize="0,0"/>
            <v:stroke on="f" joinstyle="miter"/>
            <v:imagedata r:id="rId82" o:title=""/>
            <o:lock v:ext="edit" aspectratio="t"/>
            <w10:wrap type="none"/>
            <w10:anchorlock/>
          </v:shape>
          <o:OLEObject Type="Embed" ProgID="Equation.3" ShapeID="_x0000_i1027" DrawAspect="Content" ObjectID="_1468075727" r:id="rId81">
            <o:LockedField>false</o:LockedField>
          </o:OLEObject>
        </w:object>
      </w:r>
    </w:p>
    <w:p w14:paraId="14E1DE5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式中：L——噪声叠加后噪声值dB(A)；</w:t>
      </w:r>
    </w:p>
    <w:p w14:paraId="2CA80C0C">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rPr>
        <w:t>——单个噪声值，dB(A)；</w:t>
      </w:r>
    </w:p>
    <w:p w14:paraId="4FEEB56D">
      <w:pPr>
        <w:pStyle w:val="67"/>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N——相同噪声值的个数。</w:t>
      </w:r>
    </w:p>
    <w:p w14:paraId="54CAB2A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区内噪声源为牛只叫声和水泵、风机等设备产生的噪声，噪声在室外空间的传播，由于受到遮挡物的隔断，各种介质的吸收与反射，以及空气介质的吸收等物理作用而逐渐减弱。为了简化计算条件并能考虑到最不利因素，计算时只考虑噪声随距离的衰减。</w:t>
      </w:r>
    </w:p>
    <w:p w14:paraId="36B2B52C">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5.2.4.2预测结果</w:t>
      </w:r>
    </w:p>
    <w:p w14:paraId="070D2E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本项目场界噪声预测结果见下表。</w:t>
      </w:r>
    </w:p>
    <w:p w14:paraId="661AEA4B">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表5-2-</w:t>
      </w:r>
      <w:r>
        <w:rPr>
          <w:rFonts w:hint="eastAsia" w:cs="Times New Roman"/>
          <w:color w:val="auto"/>
          <w:highlight w:val="none"/>
          <w:lang w:val="en-US" w:eastAsia="zh-CN"/>
        </w:rPr>
        <w:t>20</w:t>
      </w:r>
      <w:r>
        <w:rPr>
          <w:rFonts w:hint="default" w:ascii="Times New Roman" w:hAnsi="Times New Roman" w:cs="Times New Roman"/>
          <w:color w:val="auto"/>
          <w:highlight w:val="none"/>
        </w:rPr>
        <w:t>场界噪声预测值一览表</w:t>
      </w:r>
    </w:p>
    <w:tbl>
      <w:tblPr>
        <w:tblStyle w:val="47"/>
        <w:tblW w:w="4625"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413"/>
        <w:gridCol w:w="755"/>
        <w:gridCol w:w="769"/>
        <w:gridCol w:w="898"/>
        <w:gridCol w:w="840"/>
        <w:gridCol w:w="910"/>
        <w:gridCol w:w="954"/>
        <w:gridCol w:w="1150"/>
      </w:tblGrid>
      <w:tr w14:paraId="178165A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vMerge w:val="restart"/>
            <w:tcBorders>
              <w:tl2br w:val="nil"/>
              <w:tr2bl w:val="nil"/>
            </w:tcBorders>
            <w:noWrap w:val="0"/>
            <w:vAlign w:val="center"/>
          </w:tcPr>
          <w:p w14:paraId="2D47B909">
            <w:pPr>
              <w:spacing w:line="300" w:lineRule="atLeast"/>
              <w:ind w:firstLine="0" w:firstLineChars="0"/>
              <w:jc w:val="center"/>
              <w:rPr>
                <w:rFonts w:hint="default" w:ascii="Times New Roman" w:hAnsi="Times New Roman" w:eastAsia="宋体" w:cs="Times New Roman"/>
                <w:color w:val="auto"/>
                <w:sz w:val="21"/>
                <w:szCs w:val="21"/>
                <w:highlight w:val="none"/>
              </w:rPr>
            </w:pPr>
            <w:bookmarkStart w:id="447" w:name="_Hlk44603457"/>
            <w:r>
              <w:rPr>
                <w:rFonts w:hint="default" w:ascii="Times New Roman" w:hAnsi="Times New Roman" w:eastAsia="宋体" w:cs="Times New Roman"/>
                <w:color w:val="auto"/>
                <w:sz w:val="21"/>
                <w:szCs w:val="21"/>
                <w:highlight w:val="none"/>
              </w:rPr>
              <w:t>预测点</w:t>
            </w:r>
          </w:p>
        </w:tc>
        <w:tc>
          <w:tcPr>
            <w:tcW w:w="991" w:type="pct"/>
            <w:gridSpan w:val="2"/>
            <w:tcBorders>
              <w:tl2br w:val="nil"/>
              <w:tr2bl w:val="nil"/>
            </w:tcBorders>
            <w:noWrap w:val="0"/>
            <w:vAlign w:val="center"/>
          </w:tcPr>
          <w:p w14:paraId="23C136B7">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贡献值</w:t>
            </w:r>
            <w:r>
              <w:rPr>
                <w:rFonts w:hint="default" w:ascii="Times New Roman" w:hAnsi="Times New Roman" w:eastAsia="宋体" w:cs="Times New Roman"/>
                <w:color w:val="auto"/>
                <w:highlight w:val="none"/>
              </w:rPr>
              <w:t>dB(A)</w:t>
            </w:r>
          </w:p>
        </w:tc>
        <w:tc>
          <w:tcPr>
            <w:tcW w:w="1129" w:type="pct"/>
            <w:gridSpan w:val="2"/>
            <w:tcBorders>
              <w:tl2br w:val="nil"/>
              <w:tr2bl w:val="nil"/>
            </w:tcBorders>
            <w:noWrap w:val="0"/>
            <w:vAlign w:val="center"/>
          </w:tcPr>
          <w:p w14:paraId="196D2C64">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背景值</w:t>
            </w:r>
            <w:r>
              <w:rPr>
                <w:rFonts w:hint="default" w:ascii="Times New Roman" w:hAnsi="Times New Roman" w:eastAsia="宋体" w:cs="Times New Roman"/>
                <w:color w:val="auto"/>
                <w:highlight w:val="none"/>
              </w:rPr>
              <w:t>dB(A)</w:t>
            </w:r>
          </w:p>
        </w:tc>
        <w:tc>
          <w:tcPr>
            <w:tcW w:w="1212" w:type="pct"/>
            <w:gridSpan w:val="2"/>
            <w:tcBorders>
              <w:tl2br w:val="nil"/>
              <w:tr2bl w:val="nil"/>
            </w:tcBorders>
            <w:noWrap w:val="0"/>
            <w:vAlign w:val="center"/>
          </w:tcPr>
          <w:p w14:paraId="20610A7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预测值</w:t>
            </w:r>
            <w:r>
              <w:rPr>
                <w:rFonts w:hint="default" w:ascii="Times New Roman" w:hAnsi="Times New Roman" w:eastAsia="宋体" w:cs="Times New Roman"/>
                <w:color w:val="auto"/>
                <w:highlight w:val="none"/>
              </w:rPr>
              <w:t>dB(A)</w:t>
            </w:r>
          </w:p>
        </w:tc>
        <w:tc>
          <w:tcPr>
            <w:tcW w:w="747" w:type="pct"/>
            <w:tcBorders>
              <w:tl2br w:val="nil"/>
              <w:tr2bl w:val="nil"/>
            </w:tcBorders>
            <w:noWrap w:val="0"/>
            <w:vAlign w:val="center"/>
          </w:tcPr>
          <w:p w14:paraId="04249C56">
            <w:pPr>
              <w:spacing w:line="30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w:t>
            </w:r>
            <w:r>
              <w:rPr>
                <w:rFonts w:hint="default" w:ascii="Times New Roman" w:hAnsi="Times New Roman" w:eastAsia="宋体" w:cs="Times New Roman"/>
                <w:color w:val="auto"/>
                <w:highlight w:val="none"/>
              </w:rPr>
              <w:t>dB(A)</w:t>
            </w:r>
          </w:p>
        </w:tc>
      </w:tr>
      <w:tr w14:paraId="5826AB6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vMerge w:val="continue"/>
            <w:tcBorders>
              <w:tl2br w:val="nil"/>
              <w:tr2bl w:val="nil"/>
            </w:tcBorders>
            <w:noWrap w:val="0"/>
            <w:vAlign w:val="center"/>
          </w:tcPr>
          <w:p w14:paraId="790217D3">
            <w:pPr>
              <w:spacing w:line="300" w:lineRule="atLeast"/>
              <w:ind w:firstLine="0" w:firstLineChars="0"/>
              <w:jc w:val="center"/>
              <w:rPr>
                <w:rFonts w:hint="default" w:ascii="Times New Roman" w:hAnsi="Times New Roman" w:eastAsia="宋体" w:cs="Times New Roman"/>
                <w:color w:val="auto"/>
                <w:sz w:val="21"/>
                <w:szCs w:val="21"/>
                <w:highlight w:val="none"/>
              </w:rPr>
            </w:pPr>
          </w:p>
        </w:tc>
        <w:tc>
          <w:tcPr>
            <w:tcW w:w="491" w:type="pct"/>
            <w:tcBorders>
              <w:right w:val="single" w:color="auto" w:sz="4" w:space="0"/>
              <w:tl2br w:val="nil"/>
              <w:tr2bl w:val="nil"/>
            </w:tcBorders>
            <w:noWrap w:val="0"/>
            <w:vAlign w:val="center"/>
          </w:tcPr>
          <w:p w14:paraId="5E144C34">
            <w:pPr>
              <w:spacing w:line="30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昼间</w:t>
            </w:r>
          </w:p>
        </w:tc>
        <w:tc>
          <w:tcPr>
            <w:tcW w:w="500" w:type="pct"/>
            <w:tcBorders>
              <w:left w:val="single" w:color="auto" w:sz="4" w:space="0"/>
              <w:tl2br w:val="nil"/>
              <w:tr2bl w:val="nil"/>
            </w:tcBorders>
            <w:noWrap w:val="0"/>
            <w:vAlign w:val="center"/>
          </w:tcPr>
          <w:p w14:paraId="09E08078">
            <w:pPr>
              <w:spacing w:line="30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夜间</w:t>
            </w:r>
          </w:p>
        </w:tc>
        <w:tc>
          <w:tcPr>
            <w:tcW w:w="583" w:type="pct"/>
            <w:tcBorders>
              <w:right w:val="single" w:color="auto" w:sz="4" w:space="0"/>
              <w:tl2br w:val="nil"/>
              <w:tr2bl w:val="nil"/>
            </w:tcBorders>
            <w:shd w:val="clear" w:color="auto" w:fill="auto"/>
            <w:noWrap w:val="0"/>
            <w:vAlign w:val="center"/>
          </w:tcPr>
          <w:p w14:paraId="7B31631D">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昼间</w:t>
            </w:r>
          </w:p>
        </w:tc>
        <w:tc>
          <w:tcPr>
            <w:tcW w:w="546" w:type="pct"/>
            <w:tcBorders>
              <w:left w:val="single" w:color="auto" w:sz="4" w:space="0"/>
              <w:tl2br w:val="nil"/>
              <w:tr2bl w:val="nil"/>
            </w:tcBorders>
            <w:shd w:val="clear" w:color="auto" w:fill="auto"/>
            <w:noWrap w:val="0"/>
            <w:vAlign w:val="center"/>
          </w:tcPr>
          <w:p w14:paraId="5CCCB339">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夜间</w:t>
            </w:r>
          </w:p>
        </w:tc>
        <w:tc>
          <w:tcPr>
            <w:tcW w:w="591" w:type="pct"/>
            <w:tcBorders>
              <w:right w:val="single" w:color="auto" w:sz="4" w:space="0"/>
              <w:tl2br w:val="nil"/>
              <w:tr2bl w:val="nil"/>
            </w:tcBorders>
            <w:shd w:val="clear" w:color="auto" w:fill="auto"/>
            <w:noWrap w:val="0"/>
            <w:vAlign w:val="center"/>
          </w:tcPr>
          <w:p w14:paraId="7DA11FE3">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昼间</w:t>
            </w:r>
          </w:p>
        </w:tc>
        <w:tc>
          <w:tcPr>
            <w:tcW w:w="620" w:type="pct"/>
            <w:tcBorders>
              <w:left w:val="single" w:color="auto" w:sz="4" w:space="0"/>
              <w:tl2br w:val="nil"/>
              <w:tr2bl w:val="nil"/>
            </w:tcBorders>
            <w:shd w:val="clear" w:color="auto" w:fill="auto"/>
            <w:noWrap w:val="0"/>
            <w:vAlign w:val="center"/>
          </w:tcPr>
          <w:p w14:paraId="497BB320">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夜间</w:t>
            </w:r>
          </w:p>
        </w:tc>
        <w:tc>
          <w:tcPr>
            <w:tcW w:w="747" w:type="pct"/>
            <w:vMerge w:val="restart"/>
            <w:tcBorders>
              <w:tl2br w:val="nil"/>
              <w:tr2bl w:val="nil"/>
            </w:tcBorders>
            <w:noWrap w:val="0"/>
            <w:vAlign w:val="center"/>
          </w:tcPr>
          <w:p w14:paraId="058D4DAB">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昼间</w:t>
            </w:r>
            <w:r>
              <w:rPr>
                <w:rFonts w:hint="eastAsia" w:cs="Times New Roman"/>
                <w:color w:val="auto"/>
                <w:sz w:val="21"/>
                <w:szCs w:val="21"/>
                <w:highlight w:val="none"/>
                <w:lang w:val="en-US" w:eastAsia="zh-CN"/>
              </w:rPr>
              <w:t>55</w:t>
            </w:r>
            <w:r>
              <w:rPr>
                <w:rFonts w:hint="eastAsia" w:ascii="Times New Roman" w:hAnsi="Times New Roman" w:eastAsia="宋体" w:cs="Times New Roman"/>
                <w:color w:val="auto"/>
                <w:sz w:val="21"/>
                <w:szCs w:val="21"/>
                <w:highlight w:val="none"/>
                <w:lang w:val="en-US" w:eastAsia="zh-CN"/>
              </w:rPr>
              <w:t>，夜间</w:t>
            </w:r>
            <w:r>
              <w:rPr>
                <w:rFonts w:hint="eastAsia" w:cs="Times New Roman"/>
                <w:color w:val="auto"/>
                <w:sz w:val="21"/>
                <w:szCs w:val="21"/>
                <w:highlight w:val="none"/>
                <w:lang w:val="en-US" w:eastAsia="zh-CN"/>
              </w:rPr>
              <w:t>45</w:t>
            </w:r>
          </w:p>
        </w:tc>
      </w:tr>
      <w:tr w14:paraId="1FF08C9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tcBorders>
              <w:tl2br w:val="nil"/>
              <w:tr2bl w:val="nil"/>
            </w:tcBorders>
            <w:shd w:val="clear" w:color="auto" w:fill="auto"/>
            <w:noWrap w:val="0"/>
            <w:vAlign w:val="center"/>
          </w:tcPr>
          <w:p w14:paraId="232F3E71">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rPr>
              <w:t>厂界</w:t>
            </w:r>
            <w:r>
              <w:rPr>
                <w:rFonts w:hint="eastAsia" w:cs="Times New Roman"/>
                <w:color w:val="auto"/>
                <w:highlight w:val="none"/>
                <w:lang w:val="en-US" w:eastAsia="zh-CN"/>
              </w:rPr>
              <w:t>北侧</w:t>
            </w:r>
          </w:p>
        </w:tc>
        <w:tc>
          <w:tcPr>
            <w:tcW w:w="491" w:type="pct"/>
            <w:tcBorders>
              <w:right w:val="single" w:color="auto" w:sz="4" w:space="0"/>
              <w:tl2br w:val="nil"/>
              <w:tr2bl w:val="nil"/>
            </w:tcBorders>
            <w:noWrap w:val="0"/>
            <w:vAlign w:val="center"/>
          </w:tcPr>
          <w:p w14:paraId="7B66AA58">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9.36</w:t>
            </w:r>
          </w:p>
        </w:tc>
        <w:tc>
          <w:tcPr>
            <w:tcW w:w="500" w:type="pct"/>
            <w:tcBorders>
              <w:left w:val="single" w:color="auto" w:sz="4" w:space="0"/>
              <w:tl2br w:val="nil"/>
              <w:tr2bl w:val="nil"/>
            </w:tcBorders>
            <w:shd w:val="clear" w:color="auto" w:fill="auto"/>
            <w:noWrap w:val="0"/>
            <w:vAlign w:val="center"/>
          </w:tcPr>
          <w:p w14:paraId="66BB86D5">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9.36</w:t>
            </w:r>
          </w:p>
        </w:tc>
        <w:tc>
          <w:tcPr>
            <w:tcW w:w="583" w:type="pct"/>
            <w:tcBorders>
              <w:right w:val="single" w:color="auto" w:sz="4" w:space="0"/>
              <w:tl2br w:val="nil"/>
              <w:tr2bl w:val="nil"/>
            </w:tcBorders>
            <w:noWrap w:val="0"/>
            <w:vAlign w:val="center"/>
          </w:tcPr>
          <w:p w14:paraId="2CFD742B">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46" w:type="pct"/>
            <w:tcBorders>
              <w:left w:val="single" w:color="auto" w:sz="4" w:space="0"/>
              <w:tl2br w:val="nil"/>
              <w:tr2bl w:val="nil"/>
            </w:tcBorders>
            <w:noWrap w:val="0"/>
            <w:vAlign w:val="center"/>
          </w:tcPr>
          <w:p w14:paraId="7C24D3EC">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1" w:type="pct"/>
            <w:tcBorders>
              <w:right w:val="single" w:color="auto" w:sz="4" w:space="0"/>
              <w:tl2br w:val="nil"/>
              <w:tr2bl w:val="nil"/>
            </w:tcBorders>
            <w:shd w:val="clear" w:color="auto" w:fill="auto"/>
            <w:noWrap w:val="0"/>
            <w:vAlign w:val="center"/>
          </w:tcPr>
          <w:p w14:paraId="26416E1C">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9.36</w:t>
            </w:r>
          </w:p>
        </w:tc>
        <w:tc>
          <w:tcPr>
            <w:tcW w:w="620" w:type="pct"/>
            <w:tcBorders>
              <w:left w:val="single" w:color="auto" w:sz="4" w:space="0"/>
              <w:tl2br w:val="nil"/>
              <w:tr2bl w:val="nil"/>
            </w:tcBorders>
            <w:shd w:val="clear" w:color="auto" w:fill="auto"/>
            <w:noWrap w:val="0"/>
            <w:vAlign w:val="center"/>
          </w:tcPr>
          <w:p w14:paraId="5A3F72C1">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9.36</w:t>
            </w:r>
          </w:p>
        </w:tc>
        <w:tc>
          <w:tcPr>
            <w:tcW w:w="747" w:type="pct"/>
            <w:vMerge w:val="continue"/>
            <w:tcBorders>
              <w:tl2br w:val="nil"/>
              <w:tr2bl w:val="nil"/>
            </w:tcBorders>
            <w:noWrap w:val="0"/>
            <w:vAlign w:val="center"/>
          </w:tcPr>
          <w:p w14:paraId="2EBEA7D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14:paraId="2340609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tcBorders>
              <w:tl2br w:val="nil"/>
              <w:tr2bl w:val="nil"/>
            </w:tcBorders>
            <w:shd w:val="clear" w:color="auto" w:fill="auto"/>
            <w:noWrap w:val="0"/>
            <w:vAlign w:val="center"/>
          </w:tcPr>
          <w:p w14:paraId="304A30CF">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rPr>
              <w:t>厂界</w:t>
            </w:r>
            <w:r>
              <w:rPr>
                <w:rFonts w:hint="eastAsia" w:ascii="Times New Roman" w:hAnsi="Times New Roman" w:cs="Times New Roman"/>
                <w:color w:val="auto"/>
                <w:highlight w:val="none"/>
                <w:lang w:val="en-US" w:eastAsia="zh-CN"/>
              </w:rPr>
              <w:t>东侧</w:t>
            </w:r>
          </w:p>
        </w:tc>
        <w:tc>
          <w:tcPr>
            <w:tcW w:w="491" w:type="pct"/>
            <w:tcBorders>
              <w:right w:val="single" w:color="auto" w:sz="4" w:space="0"/>
              <w:tl2br w:val="nil"/>
              <w:tr2bl w:val="nil"/>
            </w:tcBorders>
            <w:noWrap w:val="0"/>
            <w:vAlign w:val="center"/>
          </w:tcPr>
          <w:p w14:paraId="6209886C">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22.45</w:t>
            </w:r>
          </w:p>
        </w:tc>
        <w:tc>
          <w:tcPr>
            <w:tcW w:w="500" w:type="pct"/>
            <w:tcBorders>
              <w:left w:val="single" w:color="auto" w:sz="4" w:space="0"/>
              <w:tl2br w:val="nil"/>
              <w:tr2bl w:val="nil"/>
            </w:tcBorders>
            <w:shd w:val="clear" w:color="auto" w:fill="auto"/>
            <w:noWrap w:val="0"/>
            <w:vAlign w:val="center"/>
          </w:tcPr>
          <w:p w14:paraId="3A2F10E9">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22.45</w:t>
            </w:r>
          </w:p>
        </w:tc>
        <w:tc>
          <w:tcPr>
            <w:tcW w:w="583" w:type="pct"/>
            <w:tcBorders>
              <w:right w:val="single" w:color="auto" w:sz="4" w:space="0"/>
              <w:tl2br w:val="nil"/>
              <w:tr2bl w:val="nil"/>
            </w:tcBorders>
            <w:noWrap w:val="0"/>
            <w:vAlign w:val="center"/>
          </w:tcPr>
          <w:p w14:paraId="74ED6735">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46" w:type="pct"/>
            <w:tcBorders>
              <w:left w:val="single" w:color="auto" w:sz="4" w:space="0"/>
              <w:tl2br w:val="nil"/>
              <w:tr2bl w:val="nil"/>
            </w:tcBorders>
            <w:noWrap w:val="0"/>
            <w:vAlign w:val="center"/>
          </w:tcPr>
          <w:p w14:paraId="40659ABB">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1" w:type="pct"/>
            <w:tcBorders>
              <w:right w:val="single" w:color="auto" w:sz="4" w:space="0"/>
              <w:tl2br w:val="nil"/>
              <w:tr2bl w:val="nil"/>
            </w:tcBorders>
            <w:shd w:val="clear" w:color="auto" w:fill="auto"/>
            <w:noWrap w:val="0"/>
            <w:vAlign w:val="center"/>
          </w:tcPr>
          <w:p w14:paraId="63FEF558">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22.45</w:t>
            </w:r>
          </w:p>
        </w:tc>
        <w:tc>
          <w:tcPr>
            <w:tcW w:w="620" w:type="pct"/>
            <w:tcBorders>
              <w:left w:val="single" w:color="auto" w:sz="4" w:space="0"/>
              <w:tl2br w:val="nil"/>
              <w:tr2bl w:val="nil"/>
            </w:tcBorders>
            <w:shd w:val="clear" w:color="auto" w:fill="auto"/>
            <w:noWrap w:val="0"/>
            <w:vAlign w:val="center"/>
          </w:tcPr>
          <w:p w14:paraId="6C106A12">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22.45</w:t>
            </w:r>
          </w:p>
        </w:tc>
        <w:tc>
          <w:tcPr>
            <w:tcW w:w="747" w:type="pct"/>
            <w:vMerge w:val="continue"/>
            <w:tcBorders>
              <w:tl2br w:val="nil"/>
              <w:tr2bl w:val="nil"/>
            </w:tcBorders>
            <w:noWrap w:val="0"/>
            <w:vAlign w:val="center"/>
          </w:tcPr>
          <w:p w14:paraId="27F3208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14:paraId="019D98B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tcBorders>
              <w:tl2br w:val="nil"/>
              <w:tr2bl w:val="nil"/>
            </w:tcBorders>
            <w:shd w:val="clear" w:color="auto" w:fill="auto"/>
            <w:noWrap w:val="0"/>
            <w:vAlign w:val="center"/>
          </w:tcPr>
          <w:p w14:paraId="7F443267">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highlight w:val="none"/>
              </w:rPr>
              <w:t>厂界</w:t>
            </w:r>
            <w:r>
              <w:rPr>
                <w:rFonts w:hint="eastAsia"/>
                <w:color w:val="auto"/>
                <w:highlight w:val="none"/>
                <w:lang w:val="en-US" w:eastAsia="zh-CN"/>
              </w:rPr>
              <w:t>南侧</w:t>
            </w:r>
          </w:p>
        </w:tc>
        <w:tc>
          <w:tcPr>
            <w:tcW w:w="491" w:type="pct"/>
            <w:tcBorders>
              <w:right w:val="single" w:color="auto" w:sz="4" w:space="0"/>
              <w:tl2br w:val="nil"/>
              <w:tr2bl w:val="nil"/>
            </w:tcBorders>
            <w:noWrap w:val="0"/>
            <w:vAlign w:val="center"/>
          </w:tcPr>
          <w:p w14:paraId="450BD0F1">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29.21</w:t>
            </w:r>
          </w:p>
        </w:tc>
        <w:tc>
          <w:tcPr>
            <w:tcW w:w="500" w:type="pct"/>
            <w:tcBorders>
              <w:left w:val="single" w:color="auto" w:sz="4" w:space="0"/>
              <w:tl2br w:val="nil"/>
              <w:tr2bl w:val="nil"/>
            </w:tcBorders>
            <w:shd w:val="clear" w:color="auto" w:fill="auto"/>
            <w:noWrap w:val="0"/>
            <w:vAlign w:val="center"/>
          </w:tcPr>
          <w:p w14:paraId="2A6F66F6">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29.21</w:t>
            </w:r>
          </w:p>
        </w:tc>
        <w:tc>
          <w:tcPr>
            <w:tcW w:w="583" w:type="pct"/>
            <w:tcBorders>
              <w:right w:val="single" w:color="auto" w:sz="4" w:space="0"/>
              <w:tl2br w:val="nil"/>
              <w:tr2bl w:val="nil"/>
            </w:tcBorders>
            <w:noWrap w:val="0"/>
            <w:vAlign w:val="center"/>
          </w:tcPr>
          <w:p w14:paraId="1BE0BB21">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46" w:type="pct"/>
            <w:tcBorders>
              <w:left w:val="single" w:color="auto" w:sz="4" w:space="0"/>
              <w:tl2br w:val="nil"/>
              <w:tr2bl w:val="nil"/>
            </w:tcBorders>
            <w:noWrap w:val="0"/>
            <w:vAlign w:val="center"/>
          </w:tcPr>
          <w:p w14:paraId="197B688A">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1" w:type="pct"/>
            <w:tcBorders>
              <w:right w:val="single" w:color="auto" w:sz="4" w:space="0"/>
              <w:tl2br w:val="nil"/>
              <w:tr2bl w:val="nil"/>
            </w:tcBorders>
            <w:shd w:val="clear" w:color="auto" w:fill="auto"/>
            <w:noWrap w:val="0"/>
            <w:vAlign w:val="center"/>
          </w:tcPr>
          <w:p w14:paraId="7B64DD06">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29.21</w:t>
            </w:r>
          </w:p>
        </w:tc>
        <w:tc>
          <w:tcPr>
            <w:tcW w:w="620" w:type="pct"/>
            <w:tcBorders>
              <w:left w:val="single" w:color="auto" w:sz="4" w:space="0"/>
              <w:tl2br w:val="nil"/>
              <w:tr2bl w:val="nil"/>
            </w:tcBorders>
            <w:shd w:val="clear" w:color="auto" w:fill="auto"/>
            <w:noWrap w:val="0"/>
            <w:vAlign w:val="center"/>
          </w:tcPr>
          <w:p w14:paraId="797D0D63">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29.21</w:t>
            </w:r>
          </w:p>
        </w:tc>
        <w:tc>
          <w:tcPr>
            <w:tcW w:w="747" w:type="pct"/>
            <w:vMerge w:val="continue"/>
            <w:tcBorders>
              <w:tl2br w:val="nil"/>
              <w:tr2bl w:val="nil"/>
            </w:tcBorders>
            <w:noWrap w:val="0"/>
            <w:vAlign w:val="center"/>
          </w:tcPr>
          <w:p w14:paraId="70FCE9ED">
            <w:pPr>
              <w:spacing w:line="300" w:lineRule="atLeast"/>
              <w:ind w:firstLine="0" w:firstLineChars="0"/>
              <w:jc w:val="center"/>
              <w:rPr>
                <w:rFonts w:hint="default" w:ascii="Times New Roman" w:hAnsi="Times New Roman" w:eastAsia="宋体" w:cs="Times New Roman"/>
                <w:color w:val="auto"/>
                <w:sz w:val="21"/>
                <w:szCs w:val="21"/>
                <w:highlight w:val="none"/>
              </w:rPr>
            </w:pPr>
          </w:p>
        </w:tc>
      </w:tr>
      <w:tr w14:paraId="3F96475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tcBorders>
              <w:tl2br w:val="nil"/>
              <w:tr2bl w:val="nil"/>
            </w:tcBorders>
            <w:shd w:val="clear" w:color="auto" w:fill="auto"/>
            <w:noWrap w:val="0"/>
            <w:vAlign w:val="center"/>
          </w:tcPr>
          <w:p w14:paraId="45241233">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highlight w:val="none"/>
              </w:rPr>
              <w:t>厂界</w:t>
            </w:r>
            <w:r>
              <w:rPr>
                <w:rFonts w:hint="eastAsia"/>
                <w:color w:val="auto"/>
                <w:highlight w:val="none"/>
                <w:lang w:val="en-US" w:eastAsia="zh-CN"/>
              </w:rPr>
              <w:t>西侧</w:t>
            </w:r>
          </w:p>
        </w:tc>
        <w:tc>
          <w:tcPr>
            <w:tcW w:w="491" w:type="pct"/>
            <w:tcBorders>
              <w:right w:val="single" w:color="auto" w:sz="4" w:space="0"/>
              <w:tl2br w:val="nil"/>
              <w:tr2bl w:val="nil"/>
            </w:tcBorders>
            <w:noWrap w:val="0"/>
            <w:vAlign w:val="center"/>
          </w:tcPr>
          <w:p w14:paraId="41B70210">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18.60</w:t>
            </w:r>
          </w:p>
        </w:tc>
        <w:tc>
          <w:tcPr>
            <w:tcW w:w="500" w:type="pct"/>
            <w:tcBorders>
              <w:left w:val="single" w:color="auto" w:sz="4" w:space="0"/>
              <w:tl2br w:val="nil"/>
              <w:tr2bl w:val="nil"/>
            </w:tcBorders>
            <w:shd w:val="clear" w:color="auto" w:fill="auto"/>
            <w:noWrap w:val="0"/>
            <w:vAlign w:val="center"/>
          </w:tcPr>
          <w:p w14:paraId="088F0AAF">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18.60</w:t>
            </w:r>
          </w:p>
        </w:tc>
        <w:tc>
          <w:tcPr>
            <w:tcW w:w="583" w:type="pct"/>
            <w:tcBorders>
              <w:right w:val="single" w:color="auto" w:sz="4" w:space="0"/>
              <w:tl2br w:val="nil"/>
              <w:tr2bl w:val="nil"/>
            </w:tcBorders>
            <w:noWrap w:val="0"/>
            <w:vAlign w:val="center"/>
          </w:tcPr>
          <w:p w14:paraId="6F0EDD8A">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46" w:type="pct"/>
            <w:tcBorders>
              <w:left w:val="single" w:color="auto" w:sz="4" w:space="0"/>
              <w:tl2br w:val="nil"/>
              <w:tr2bl w:val="nil"/>
            </w:tcBorders>
            <w:noWrap w:val="0"/>
            <w:vAlign w:val="center"/>
          </w:tcPr>
          <w:p w14:paraId="672DBC13">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1" w:type="pct"/>
            <w:tcBorders>
              <w:bottom w:val="single" w:color="auto" w:sz="4" w:space="0"/>
              <w:right w:val="single" w:color="auto" w:sz="4" w:space="0"/>
              <w:tl2br w:val="nil"/>
              <w:tr2bl w:val="nil"/>
            </w:tcBorders>
            <w:shd w:val="clear" w:color="auto" w:fill="auto"/>
            <w:noWrap w:val="0"/>
            <w:vAlign w:val="center"/>
          </w:tcPr>
          <w:p w14:paraId="511F7A86">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18.60</w:t>
            </w:r>
          </w:p>
        </w:tc>
        <w:tc>
          <w:tcPr>
            <w:tcW w:w="620" w:type="pct"/>
            <w:tcBorders>
              <w:left w:val="single" w:color="auto" w:sz="4" w:space="0"/>
              <w:bottom w:val="single" w:color="auto" w:sz="4" w:space="0"/>
              <w:tl2br w:val="nil"/>
              <w:tr2bl w:val="nil"/>
            </w:tcBorders>
            <w:shd w:val="clear" w:color="auto" w:fill="auto"/>
            <w:noWrap w:val="0"/>
            <w:vAlign w:val="center"/>
          </w:tcPr>
          <w:p w14:paraId="0964176B">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18.60</w:t>
            </w:r>
          </w:p>
        </w:tc>
        <w:tc>
          <w:tcPr>
            <w:tcW w:w="747" w:type="pct"/>
            <w:vMerge w:val="continue"/>
            <w:tcBorders>
              <w:tl2br w:val="nil"/>
              <w:tr2bl w:val="nil"/>
            </w:tcBorders>
            <w:noWrap w:val="0"/>
            <w:vAlign w:val="center"/>
          </w:tcPr>
          <w:p w14:paraId="45E5F69A">
            <w:pPr>
              <w:spacing w:line="300" w:lineRule="atLeast"/>
              <w:ind w:firstLine="0" w:firstLineChars="0"/>
              <w:jc w:val="center"/>
              <w:rPr>
                <w:rFonts w:hint="default" w:ascii="Times New Roman" w:hAnsi="Times New Roman" w:eastAsia="宋体" w:cs="Times New Roman"/>
                <w:color w:val="auto"/>
                <w:sz w:val="21"/>
                <w:szCs w:val="21"/>
                <w:highlight w:val="none"/>
              </w:rPr>
            </w:pPr>
          </w:p>
        </w:tc>
      </w:tr>
      <w:tr w14:paraId="45623AF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8" w:type="pct"/>
            <w:tcBorders>
              <w:tl2br w:val="nil"/>
              <w:tr2bl w:val="nil"/>
            </w:tcBorders>
            <w:shd w:val="clear" w:color="auto" w:fill="auto"/>
            <w:noWrap w:val="0"/>
            <w:vAlign w:val="center"/>
          </w:tcPr>
          <w:p w14:paraId="0CA76610">
            <w:pPr>
              <w:pStyle w:val="49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厂界西北侧</w:t>
            </w:r>
          </w:p>
        </w:tc>
        <w:tc>
          <w:tcPr>
            <w:tcW w:w="491" w:type="pct"/>
            <w:tcBorders>
              <w:right w:val="single" w:color="auto" w:sz="4" w:space="0"/>
              <w:tl2br w:val="nil"/>
              <w:tr2bl w:val="nil"/>
            </w:tcBorders>
            <w:noWrap w:val="0"/>
            <w:vAlign w:val="center"/>
          </w:tcPr>
          <w:p w14:paraId="7FAB7F46">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14.36</w:t>
            </w:r>
          </w:p>
        </w:tc>
        <w:tc>
          <w:tcPr>
            <w:tcW w:w="500" w:type="pct"/>
            <w:tcBorders>
              <w:left w:val="single" w:color="auto" w:sz="4" w:space="0"/>
              <w:tl2br w:val="nil"/>
              <w:tr2bl w:val="nil"/>
            </w:tcBorders>
            <w:shd w:val="clear" w:color="auto" w:fill="auto"/>
            <w:noWrap w:val="0"/>
            <w:vAlign w:val="center"/>
          </w:tcPr>
          <w:p w14:paraId="7BBB252D">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14.36</w:t>
            </w:r>
          </w:p>
        </w:tc>
        <w:tc>
          <w:tcPr>
            <w:tcW w:w="583" w:type="pct"/>
            <w:tcBorders>
              <w:right w:val="single" w:color="auto" w:sz="4" w:space="0"/>
              <w:tl2br w:val="nil"/>
              <w:tr2bl w:val="nil"/>
            </w:tcBorders>
            <w:noWrap w:val="0"/>
            <w:vAlign w:val="center"/>
          </w:tcPr>
          <w:p w14:paraId="3566CA74">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46" w:type="pct"/>
            <w:tcBorders>
              <w:left w:val="single" w:color="auto" w:sz="4" w:space="0"/>
              <w:tl2br w:val="nil"/>
              <w:tr2bl w:val="nil"/>
            </w:tcBorders>
            <w:noWrap w:val="0"/>
            <w:vAlign w:val="center"/>
          </w:tcPr>
          <w:p w14:paraId="3845D3B0">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1" w:type="pct"/>
            <w:tcBorders>
              <w:top w:val="single" w:color="auto" w:sz="4" w:space="0"/>
              <w:right w:val="single" w:color="auto" w:sz="4" w:space="0"/>
              <w:tl2br w:val="nil"/>
              <w:tr2bl w:val="nil"/>
            </w:tcBorders>
            <w:shd w:val="clear" w:color="auto" w:fill="auto"/>
            <w:noWrap w:val="0"/>
            <w:vAlign w:val="center"/>
          </w:tcPr>
          <w:p w14:paraId="1582622F">
            <w:pPr>
              <w:spacing w:line="3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14.36</w:t>
            </w:r>
          </w:p>
        </w:tc>
        <w:tc>
          <w:tcPr>
            <w:tcW w:w="620" w:type="pct"/>
            <w:tcBorders>
              <w:top w:val="single" w:color="auto" w:sz="4" w:space="0"/>
              <w:left w:val="single" w:color="auto" w:sz="4" w:space="0"/>
              <w:tl2br w:val="nil"/>
              <w:tr2bl w:val="nil"/>
            </w:tcBorders>
            <w:shd w:val="clear" w:color="auto" w:fill="auto"/>
            <w:noWrap w:val="0"/>
            <w:vAlign w:val="center"/>
          </w:tcPr>
          <w:p w14:paraId="47687914">
            <w:pPr>
              <w:spacing w:line="300" w:lineRule="atLeast"/>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14.36</w:t>
            </w:r>
          </w:p>
        </w:tc>
        <w:tc>
          <w:tcPr>
            <w:tcW w:w="747" w:type="pct"/>
            <w:vMerge w:val="continue"/>
            <w:tcBorders>
              <w:tl2br w:val="nil"/>
              <w:tr2bl w:val="nil"/>
            </w:tcBorders>
            <w:noWrap w:val="0"/>
            <w:vAlign w:val="center"/>
          </w:tcPr>
          <w:p w14:paraId="76D1C8A0">
            <w:pPr>
              <w:spacing w:line="30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bl>
    <w:p w14:paraId="2939A75E">
      <w:pPr>
        <w:pStyle w:val="146"/>
        <w:rPr>
          <w:rFonts w:hint="default" w:ascii="Times New Roman" w:hAnsi="Times New Roman" w:eastAsia="仿宋" w:cs="Times New Roman"/>
          <w:color w:val="auto"/>
          <w:highlight w:val="none"/>
          <w:lang w:eastAsia="zh-CN"/>
        </w:rPr>
      </w:pPr>
      <w:r>
        <w:rPr>
          <w:color w:val="auto"/>
          <w:highlight w:val="none"/>
        </w:rPr>
        <w:drawing>
          <wp:inline distT="0" distB="0" distL="114300" distR="114300">
            <wp:extent cx="5276850" cy="3449320"/>
            <wp:effectExtent l="0" t="0" r="0" b="1778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83"/>
                    <a:stretch>
                      <a:fillRect/>
                    </a:stretch>
                  </pic:blipFill>
                  <pic:spPr>
                    <a:xfrm>
                      <a:off x="0" y="0"/>
                      <a:ext cx="5276850" cy="3449320"/>
                    </a:xfrm>
                    <a:prstGeom prst="rect">
                      <a:avLst/>
                    </a:prstGeom>
                    <a:noFill/>
                    <a:ln>
                      <a:noFill/>
                    </a:ln>
                  </pic:spPr>
                </pic:pic>
              </a:graphicData>
            </a:graphic>
          </wp:inline>
        </w:drawing>
      </w:r>
    </w:p>
    <w:p w14:paraId="7C667258">
      <w:pPr>
        <w:pStyle w:val="210"/>
        <w:rPr>
          <w:rFonts w:hint="default" w:ascii="Times New Roman" w:hAnsi="Times New Roman" w:cs="Times New Roman"/>
          <w:snapToGrid w:val="0"/>
          <w:color w:val="auto"/>
          <w:kern w:val="0"/>
          <w:highlight w:val="none"/>
        </w:rPr>
      </w:pPr>
      <w:r>
        <w:rPr>
          <w:rFonts w:hint="default" w:ascii="Times New Roman" w:hAnsi="Times New Roman" w:cs="Times New Roman"/>
          <w:color w:val="auto"/>
          <w:highlight w:val="none"/>
        </w:rPr>
        <w:t>图5-2-</w:t>
      </w:r>
      <w:r>
        <w:rPr>
          <w:rFonts w:hint="eastAsia" w:cs="Times New Roman"/>
          <w:color w:val="auto"/>
          <w:highlight w:val="none"/>
          <w:lang w:val="en-US" w:eastAsia="zh-CN"/>
        </w:rPr>
        <w:t>10</w:t>
      </w:r>
      <w:r>
        <w:rPr>
          <w:rFonts w:hint="default" w:ascii="Times New Roman" w:hAnsi="Times New Roman" w:cs="Times New Roman"/>
          <w:color w:val="auto"/>
          <w:highlight w:val="none"/>
        </w:rPr>
        <w:t>噪声预测等值声线图</w:t>
      </w:r>
    </w:p>
    <w:p w14:paraId="0708E71E">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5.2.4.3声环境影响评价结论</w:t>
      </w:r>
    </w:p>
    <w:bookmarkEnd w:id="447"/>
    <w:p w14:paraId="249539C5">
      <w:pPr>
        <w:pStyle w:val="67"/>
        <w:ind w:firstLine="480"/>
        <w:rPr>
          <w:rFonts w:hint="default" w:ascii="Times New Roman" w:hAnsi="Times New Roman" w:eastAsia="宋体" w:cs="Times New Roman"/>
          <w:color w:val="auto"/>
          <w:highlight w:val="none"/>
        </w:rPr>
      </w:pPr>
      <w:bookmarkStart w:id="448" w:name="_Hlk44603448"/>
      <w:r>
        <w:rPr>
          <w:rFonts w:hint="default" w:ascii="Times New Roman" w:hAnsi="Times New Roman" w:eastAsia="宋体" w:cs="Times New Roman"/>
          <w:color w:val="auto"/>
          <w:highlight w:val="none"/>
        </w:rPr>
        <w:t>由表5-2-</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可知，本项目投产后场界噪声贡献值在</w:t>
      </w:r>
      <w:r>
        <w:rPr>
          <w:rFonts w:hint="eastAsia" w:eastAsia="宋体" w:cs="Times New Roman"/>
          <w:color w:val="auto"/>
          <w:highlight w:val="none"/>
          <w:lang w:val="en-US" w:eastAsia="zh-CN"/>
        </w:rPr>
        <w:t>9.36</w:t>
      </w:r>
      <w:r>
        <w:rPr>
          <w:rFonts w:hint="default" w:ascii="Times New Roman" w:hAnsi="Times New Roman" w:eastAsia="宋体" w:cs="Times New Roman"/>
          <w:color w:val="auto"/>
          <w:highlight w:val="none"/>
        </w:rPr>
        <w:t>dB（A）~</w:t>
      </w:r>
      <w:r>
        <w:rPr>
          <w:rFonts w:hint="eastAsia" w:eastAsia="宋体" w:cs="Times New Roman"/>
          <w:color w:val="auto"/>
          <w:highlight w:val="none"/>
          <w:lang w:val="en-US" w:eastAsia="zh-CN"/>
        </w:rPr>
        <w:t>29.21</w:t>
      </w:r>
      <w:r>
        <w:rPr>
          <w:rFonts w:hint="default" w:ascii="Times New Roman" w:hAnsi="Times New Roman" w:eastAsia="宋体" w:cs="Times New Roman"/>
          <w:color w:val="auto"/>
          <w:highlight w:val="none"/>
        </w:rPr>
        <w:t>dB（A）之间，昼夜间最大噪声值出现在场区的</w:t>
      </w:r>
      <w:r>
        <w:rPr>
          <w:rFonts w:hint="eastAsia" w:eastAsia="宋体" w:cs="Times New Roman"/>
          <w:color w:val="auto"/>
          <w:highlight w:val="none"/>
          <w:lang w:val="en-US" w:eastAsia="zh-CN"/>
        </w:rPr>
        <w:t>南</w:t>
      </w:r>
      <w:r>
        <w:rPr>
          <w:rFonts w:hint="default" w:ascii="Times New Roman" w:hAnsi="Times New Roman" w:eastAsia="宋体" w:cs="Times New Roman"/>
          <w:color w:val="auto"/>
          <w:highlight w:val="none"/>
          <w:lang w:val="en-US" w:eastAsia="zh-CN"/>
        </w:rPr>
        <w:t>侧</w:t>
      </w:r>
      <w:r>
        <w:rPr>
          <w:rFonts w:hint="default" w:ascii="Times New Roman" w:hAnsi="Times New Roman" w:eastAsia="宋体" w:cs="Times New Roman"/>
          <w:color w:val="auto"/>
          <w:highlight w:val="none"/>
        </w:rPr>
        <w:t>。该养殖场区规划合理，建筑上采取隔声、吸声等措施，振动较大的设备采取独立基础，设置减振器。项目运行后场界噪声满足《工业企业厂界环境噪声排放标准》（GB12348-2008）表1中的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类声环境功能区标准限值，区域声环境功能不下降。距离养殖场最近的敏感点为项目</w:t>
      </w:r>
      <w:r>
        <w:rPr>
          <w:rFonts w:hint="eastAsia" w:eastAsia="宋体" w:cs="Times New Roman"/>
          <w:color w:val="auto"/>
          <w:highlight w:val="none"/>
          <w:lang w:val="en-US" w:eastAsia="zh-CN"/>
        </w:rPr>
        <w:t>北</w:t>
      </w:r>
      <w:r>
        <w:rPr>
          <w:rFonts w:hint="default" w:ascii="Times New Roman" w:hAnsi="Times New Roman" w:eastAsia="宋体" w:cs="Times New Roman"/>
          <w:color w:val="auto"/>
          <w:highlight w:val="none"/>
        </w:rPr>
        <w:t>侧</w:t>
      </w:r>
      <w:r>
        <w:rPr>
          <w:rFonts w:hint="eastAsia" w:eastAsia="宋体" w:cs="Times New Roman"/>
          <w:color w:val="auto"/>
          <w:szCs w:val="21"/>
          <w:highlight w:val="none"/>
          <w:lang w:val="en-US" w:eastAsia="zh-CN"/>
        </w:rPr>
        <w:t>6460</w:t>
      </w:r>
      <w:r>
        <w:rPr>
          <w:rFonts w:hint="default" w:ascii="Times New Roman" w:hAnsi="Times New Roman" w:eastAsia="宋体" w:cs="Times New Roman"/>
          <w:color w:val="auto"/>
          <w:szCs w:val="21"/>
          <w:highlight w:val="none"/>
          <w:lang w:eastAsia="zh-CN"/>
        </w:rPr>
        <w:t>m</w:t>
      </w:r>
      <w:r>
        <w:rPr>
          <w:rFonts w:hint="default" w:ascii="Times New Roman" w:hAnsi="Times New Roman" w:eastAsia="宋体" w:cs="Times New Roman"/>
          <w:color w:val="auto"/>
          <w:highlight w:val="none"/>
        </w:rPr>
        <w:t>的</w:t>
      </w:r>
      <w:r>
        <w:rPr>
          <w:rFonts w:hint="eastAsia" w:eastAsia="宋体" w:cs="Times New Roman"/>
          <w:color w:val="auto"/>
          <w:szCs w:val="21"/>
          <w:highlight w:val="none"/>
          <w:lang w:val="en-US" w:eastAsia="zh-CN"/>
        </w:rPr>
        <w:t>河北屯</w:t>
      </w:r>
      <w:r>
        <w:rPr>
          <w:rFonts w:hint="default" w:ascii="Times New Roman" w:hAnsi="Times New Roman" w:eastAsia="宋体" w:cs="Times New Roman"/>
          <w:color w:val="auto"/>
          <w:highlight w:val="none"/>
        </w:rPr>
        <w:t>，且噪声源对场界声环境贡献值较小，经距离衰减，因此项目运营产生噪声不会对周围村庄产生影响。</w:t>
      </w:r>
    </w:p>
    <w:bookmarkEnd w:id="448"/>
    <w:p w14:paraId="35425CC0">
      <w:pPr>
        <w:pStyle w:val="5"/>
        <w:spacing w:line="500" w:lineRule="exact"/>
        <w:rPr>
          <w:rFonts w:hint="default" w:ascii="Times New Roman" w:hAnsi="Times New Roman" w:cs="Times New Roman"/>
          <w:color w:val="auto"/>
          <w:highlight w:val="none"/>
        </w:rPr>
      </w:pPr>
      <w:bookmarkStart w:id="449" w:name="_Toc10836"/>
      <w:bookmarkStart w:id="450" w:name="_Toc57713684"/>
      <w:r>
        <w:rPr>
          <w:rFonts w:hint="default" w:ascii="Times New Roman" w:hAnsi="Times New Roman" w:cs="Times New Roman"/>
          <w:color w:val="auto"/>
          <w:highlight w:val="none"/>
        </w:rPr>
        <w:t>5.2.5运行期固体废物影响预测与评价</w:t>
      </w:r>
      <w:bookmarkEnd w:id="449"/>
      <w:bookmarkEnd w:id="450"/>
    </w:p>
    <w:p w14:paraId="77C70E5B">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5.2.5.1</w:t>
      </w:r>
      <w:r>
        <w:rPr>
          <w:rFonts w:hint="eastAsia" w:ascii="Times New Roman" w:hAnsi="Times New Roman" w:cs="Times New Roman"/>
          <w:color w:val="auto"/>
          <w:highlight w:val="none"/>
          <w:lang w:val="en-US" w:eastAsia="zh-CN"/>
        </w:rPr>
        <w:t>含粪污垫料</w:t>
      </w:r>
    </w:p>
    <w:p w14:paraId="4B19C930">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lang w:val="en-US" w:eastAsia="zh-CN"/>
        </w:rPr>
        <w:t>根据《排污许可证申请与核发技术规范 畜禽养殖行业》（HJ1029-2019）中畜禽污染物产生量，肉牛粪便产生量为10.88kg/d·头</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本项目年存栏育肥牛</w:t>
      </w:r>
      <w:r>
        <w:rPr>
          <w:rFonts w:hint="eastAsia"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000</w:t>
      </w:r>
      <w:r>
        <w:rPr>
          <w:rFonts w:hint="default" w:ascii="Times New Roman" w:hAnsi="Times New Roman" w:eastAsia="宋体" w:cs="Times New Roman"/>
          <w:color w:val="auto"/>
          <w:sz w:val="24"/>
          <w:highlight w:val="none"/>
          <w:lang w:eastAsia="zh-CN"/>
        </w:rPr>
        <w:t>头，牛粪产生量为</w:t>
      </w:r>
      <w:r>
        <w:rPr>
          <w:rFonts w:hint="eastAsia" w:eastAsia="宋体" w:cs="Times New Roman"/>
          <w:color w:val="auto"/>
          <w:sz w:val="24"/>
          <w:highlight w:val="none"/>
          <w:lang w:val="en-US" w:eastAsia="zh-CN"/>
        </w:rPr>
        <w:t>65.28</w:t>
      </w:r>
      <w:r>
        <w:rPr>
          <w:rFonts w:hint="default" w:ascii="Times New Roman" w:hAnsi="Times New Roman" w:eastAsia="宋体" w:cs="Times New Roman"/>
          <w:color w:val="auto"/>
          <w:sz w:val="24"/>
          <w:highlight w:val="none"/>
          <w:lang w:val="en-US" w:eastAsia="zh-CN"/>
        </w:rPr>
        <w:t>t/d，</w:t>
      </w:r>
      <w:r>
        <w:rPr>
          <w:rFonts w:hint="eastAsia" w:eastAsia="宋体" w:cs="Times New Roman"/>
          <w:color w:val="auto"/>
          <w:sz w:val="24"/>
          <w:highlight w:val="none"/>
          <w:lang w:val="en-US" w:eastAsia="zh-CN"/>
        </w:rPr>
        <w:t>23827.2</w:t>
      </w:r>
      <w:r>
        <w:rPr>
          <w:rFonts w:hint="default" w:ascii="Times New Roman" w:hAnsi="Times New Roman" w:eastAsia="宋体" w:cs="Times New Roman"/>
          <w:color w:val="auto"/>
          <w:sz w:val="24"/>
          <w:highlight w:val="none"/>
          <w:lang w:val="en-US" w:eastAsia="zh-CN"/>
        </w:rPr>
        <w:t>t/a。</w:t>
      </w:r>
    </w:p>
    <w:p w14:paraId="44F5A64C">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牛群产生的新鲜牛粪一般含水率在80%，同时，根据业主提供的资料，垫床每个月清理一次，在此期间垫草垫料会有一定的水分挥发，挥发量占总的牛粪、牛尿的总量的50%左右。</w:t>
      </w:r>
    </w:p>
    <w:p w14:paraId="47B21E2D">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2"/>
          <w:highlight w:val="none"/>
          <w:lang w:val="en-US" w:eastAsia="zh-CN"/>
        </w:rPr>
        <w:t>牛舍每平方米需垫料约3.5kg，牛舍面积为</w:t>
      </w:r>
      <w:r>
        <w:rPr>
          <w:rFonts w:hint="eastAsia" w:cs="Times New Roman"/>
          <w:color w:val="auto"/>
          <w:sz w:val="24"/>
          <w:szCs w:val="22"/>
          <w:highlight w:val="none"/>
          <w:lang w:val="en-US" w:eastAsia="zh-CN"/>
        </w:rPr>
        <w:t>52160.92</w:t>
      </w:r>
      <w:r>
        <w:rPr>
          <w:rFonts w:hint="default" w:ascii="Times New Roman" w:hAnsi="Times New Roman" w:eastAsia="宋体" w:cs="Times New Roman"/>
          <w:color w:val="auto"/>
          <w:sz w:val="24"/>
          <w:szCs w:val="22"/>
          <w:highlight w:val="none"/>
          <w:lang w:val="en-US" w:eastAsia="zh-CN"/>
        </w:rPr>
        <w:t>m</w:t>
      </w:r>
      <w:r>
        <w:rPr>
          <w:rFonts w:hint="default" w:ascii="Times New Roman" w:hAnsi="Times New Roman" w:eastAsia="宋体" w:cs="Times New Roman"/>
          <w:color w:val="auto"/>
          <w:sz w:val="24"/>
          <w:szCs w:val="22"/>
          <w:highlight w:val="none"/>
          <w:vertAlign w:val="superscript"/>
          <w:lang w:val="en-US" w:eastAsia="zh-CN"/>
        </w:rPr>
        <w:t>2</w:t>
      </w:r>
      <w:r>
        <w:rPr>
          <w:rFonts w:hint="default" w:ascii="Times New Roman" w:hAnsi="Times New Roman" w:eastAsia="宋体" w:cs="Times New Roman"/>
          <w:color w:val="auto"/>
          <w:sz w:val="24"/>
          <w:szCs w:val="22"/>
          <w:highlight w:val="none"/>
          <w:lang w:val="en-US" w:eastAsia="zh-CN"/>
        </w:rPr>
        <w:t>，牛舍采用</w:t>
      </w:r>
      <w:r>
        <w:rPr>
          <w:rFonts w:hint="eastAsia" w:cs="Times New Roman"/>
          <w:color w:val="auto"/>
          <w:sz w:val="24"/>
          <w:szCs w:val="22"/>
          <w:highlight w:val="none"/>
          <w:lang w:val="en-US" w:eastAsia="zh-CN"/>
        </w:rPr>
        <w:t>散养</w:t>
      </w:r>
      <w:r>
        <w:rPr>
          <w:rFonts w:hint="default" w:ascii="Times New Roman" w:hAnsi="Times New Roman" w:eastAsia="宋体" w:cs="Times New Roman"/>
          <w:color w:val="auto"/>
          <w:sz w:val="24"/>
          <w:szCs w:val="22"/>
          <w:highlight w:val="none"/>
          <w:lang w:val="en-US" w:eastAsia="zh-CN"/>
        </w:rPr>
        <w:t>模式，</w:t>
      </w:r>
      <w:r>
        <w:rPr>
          <w:rFonts w:hint="default" w:ascii="Times New Roman" w:hAnsi="Times New Roman" w:eastAsia="宋体" w:cs="Times New Roman"/>
          <w:color w:val="auto"/>
          <w:sz w:val="24"/>
          <w:szCs w:val="24"/>
          <w:highlight w:val="none"/>
          <w:shd w:val="clear" w:color="auto" w:fill="FFFFFF"/>
          <w:lang w:eastAsia="zh-CN"/>
        </w:rPr>
        <w:t>垫料</w:t>
      </w:r>
      <w:r>
        <w:rPr>
          <w:rFonts w:hint="eastAsia" w:cs="Times New Roman"/>
          <w:color w:val="auto"/>
          <w:sz w:val="24"/>
          <w:szCs w:val="24"/>
          <w:highlight w:val="none"/>
          <w:shd w:val="clear" w:color="auto" w:fill="FFFFFF"/>
          <w:lang w:val="en-US" w:eastAsia="zh-CN"/>
        </w:rPr>
        <w:t>铺设</w:t>
      </w:r>
      <w:r>
        <w:rPr>
          <w:rFonts w:hint="default" w:ascii="Times New Roman" w:hAnsi="Times New Roman" w:eastAsia="宋体" w:cs="Times New Roman"/>
          <w:color w:val="auto"/>
          <w:sz w:val="24"/>
          <w:szCs w:val="24"/>
          <w:highlight w:val="none"/>
          <w:shd w:val="clear" w:color="auto" w:fill="FFFFFF"/>
          <w:lang w:eastAsia="zh-CN"/>
        </w:rPr>
        <w:t>面积</w:t>
      </w:r>
      <w:r>
        <w:rPr>
          <w:rFonts w:hint="eastAsia" w:cs="Times New Roman"/>
          <w:color w:val="auto"/>
          <w:sz w:val="24"/>
          <w:szCs w:val="24"/>
          <w:highlight w:val="none"/>
          <w:shd w:val="clear" w:color="auto" w:fill="FFFFFF"/>
          <w:lang w:val="en-US" w:eastAsia="zh-CN"/>
        </w:rPr>
        <w:t>即为</w:t>
      </w:r>
      <w:r>
        <w:rPr>
          <w:rFonts w:hint="default" w:ascii="Times New Roman" w:hAnsi="Times New Roman" w:eastAsia="宋体" w:cs="Times New Roman"/>
          <w:color w:val="auto"/>
          <w:sz w:val="24"/>
          <w:szCs w:val="24"/>
          <w:highlight w:val="none"/>
          <w:shd w:val="clear" w:color="auto" w:fill="FFFFFF"/>
          <w:lang w:eastAsia="zh-CN"/>
        </w:rPr>
        <w:t>牛舍</w:t>
      </w:r>
      <w:r>
        <w:rPr>
          <w:rFonts w:hint="eastAsia" w:cs="Times New Roman"/>
          <w:color w:val="auto"/>
          <w:sz w:val="24"/>
          <w:szCs w:val="24"/>
          <w:highlight w:val="none"/>
          <w:shd w:val="clear" w:color="auto" w:fill="FFFFFF"/>
          <w:lang w:val="en-US" w:eastAsia="zh-CN"/>
        </w:rPr>
        <w:t>面积</w:t>
      </w:r>
      <w:r>
        <w:rPr>
          <w:rFonts w:hint="default" w:ascii="Times New Roman" w:hAnsi="Times New Roman" w:eastAsia="宋体" w:cs="Times New Roman"/>
          <w:color w:val="auto"/>
          <w:sz w:val="24"/>
          <w:szCs w:val="22"/>
          <w:highlight w:val="none"/>
          <w:lang w:val="en-US" w:eastAsia="zh-CN"/>
        </w:rPr>
        <w:t>，每月</w:t>
      </w:r>
      <w:r>
        <w:rPr>
          <w:rFonts w:hint="default" w:ascii="Times New Roman" w:hAnsi="Times New Roman" w:eastAsia="宋体" w:cs="Times New Roman"/>
          <w:color w:val="auto"/>
          <w:sz w:val="24"/>
          <w:szCs w:val="24"/>
          <w:highlight w:val="none"/>
          <w:shd w:val="clear" w:color="auto" w:fill="FFFFFF"/>
          <w:lang w:eastAsia="zh-CN"/>
        </w:rPr>
        <w:t>垫草垫料</w:t>
      </w:r>
      <w:r>
        <w:rPr>
          <w:rFonts w:hint="default" w:ascii="Times New Roman" w:hAnsi="Times New Roman" w:eastAsia="宋体" w:cs="Times New Roman"/>
          <w:color w:val="auto"/>
          <w:sz w:val="24"/>
          <w:szCs w:val="24"/>
          <w:highlight w:val="none"/>
          <w:shd w:val="clear" w:color="auto" w:fill="FFFFFF"/>
          <w:lang w:val="en-US" w:eastAsia="zh-CN"/>
        </w:rPr>
        <w:t>1次，</w:t>
      </w:r>
      <w:r>
        <w:rPr>
          <w:rFonts w:hint="default" w:ascii="Times New Roman" w:hAnsi="Times New Roman" w:eastAsia="宋体" w:cs="Times New Roman"/>
          <w:color w:val="auto"/>
          <w:sz w:val="24"/>
          <w:szCs w:val="24"/>
          <w:highlight w:val="none"/>
          <w:shd w:val="clear" w:color="auto" w:fill="FFFFFF"/>
          <w:lang w:eastAsia="zh-CN"/>
        </w:rPr>
        <w:t>垫草垫料用量为</w:t>
      </w:r>
      <w:r>
        <w:rPr>
          <w:rFonts w:hint="eastAsia" w:cs="Times New Roman"/>
          <w:color w:val="auto"/>
          <w:sz w:val="24"/>
          <w:szCs w:val="24"/>
          <w:highlight w:val="none"/>
          <w:shd w:val="clear" w:color="auto" w:fill="FFFFFF"/>
          <w:lang w:val="en-US" w:eastAsia="zh-CN"/>
        </w:rPr>
        <w:t>2191</w:t>
      </w:r>
      <w:r>
        <w:rPr>
          <w:rFonts w:hint="default" w:ascii="Times New Roman" w:hAnsi="Times New Roman" w:eastAsia="宋体" w:cs="Times New Roman"/>
          <w:color w:val="auto"/>
          <w:sz w:val="24"/>
          <w:szCs w:val="24"/>
          <w:highlight w:val="none"/>
          <w:shd w:val="clear" w:color="auto" w:fill="FFFFFF"/>
          <w:lang w:val="en-US" w:eastAsia="zh-CN"/>
        </w:rPr>
        <w:t>t/a。</w:t>
      </w:r>
    </w:p>
    <w:p w14:paraId="19024156">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因此，项目</w:t>
      </w:r>
      <w:r>
        <w:rPr>
          <w:rFonts w:hint="default" w:ascii="Times New Roman" w:hAnsi="Times New Roman" w:eastAsia="宋体" w:cs="Times New Roman"/>
          <w:color w:val="auto"/>
          <w:sz w:val="24"/>
          <w:szCs w:val="24"/>
          <w:highlight w:val="none"/>
          <w:lang w:eastAsia="zh-CN"/>
        </w:rPr>
        <w:t>废垫草垫料（含粪尿）产生量为</w:t>
      </w:r>
      <w:r>
        <w:rPr>
          <w:rFonts w:hint="eastAsia" w:cs="Times New Roman"/>
          <w:color w:val="auto"/>
          <w:sz w:val="24"/>
          <w:szCs w:val="24"/>
          <w:highlight w:val="none"/>
          <w:lang w:val="en-US" w:eastAsia="zh-CN"/>
        </w:rPr>
        <w:t>26018.2</w:t>
      </w:r>
      <w:r>
        <w:rPr>
          <w:rFonts w:hint="default" w:ascii="Times New Roman" w:hAnsi="Times New Roman" w:eastAsia="宋体" w:cs="Times New Roman"/>
          <w:color w:val="auto"/>
          <w:sz w:val="24"/>
          <w:szCs w:val="24"/>
          <w:highlight w:val="none"/>
          <w:lang w:val="en-US" w:eastAsia="zh-CN"/>
        </w:rPr>
        <w:t>t/a，属一般固体废物，根据《固体废物分类与代码目录》，废物种类为“SW82畜牧业废物”，代码为“030-001-S82”和“030-003-S82”。垫草垫料每个月清理更换一次，</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default" w:ascii="Times New Roman" w:hAnsi="Times New Roman" w:eastAsia="宋体" w:cs="Times New Roman"/>
          <w:color w:val="auto"/>
          <w:sz w:val="24"/>
          <w:szCs w:val="24"/>
          <w:highlight w:val="none"/>
          <w:lang w:eastAsia="zh-CN"/>
        </w:rPr>
        <w:t>。</w:t>
      </w:r>
    </w:p>
    <w:p w14:paraId="4BFBCEB5">
      <w:pPr>
        <w:pStyle w:val="6"/>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5.2.5.2生活垃圾</w:t>
      </w:r>
    </w:p>
    <w:p w14:paraId="6845589A">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本项目拟定职工</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0人</w:t>
      </w:r>
      <w:r>
        <w:rPr>
          <w:rFonts w:hint="default" w:ascii="Times New Roman" w:hAnsi="Times New Roman" w:eastAsia="宋体" w:cs="Times New Roman"/>
          <w:color w:val="auto"/>
          <w:highlight w:val="none"/>
        </w:rPr>
        <w:t>，生活垃圾产生量为0.5kg/人·天，则项目运行期间生活垃圾产生量为0.0</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t/d、</w:t>
      </w:r>
      <w:r>
        <w:rPr>
          <w:rFonts w:hint="default" w:ascii="Times New Roman" w:hAnsi="Times New Roman" w:eastAsia="宋体" w:cs="Times New Roman"/>
          <w:color w:val="auto"/>
          <w:highlight w:val="none"/>
          <w:lang w:val="en-US" w:eastAsia="zh-CN"/>
        </w:rPr>
        <w:t>14.6</w:t>
      </w:r>
      <w:r>
        <w:rPr>
          <w:rFonts w:hint="default" w:ascii="Times New Roman" w:hAnsi="Times New Roman" w:eastAsia="宋体" w:cs="Times New Roman"/>
          <w:color w:val="auto"/>
          <w:highlight w:val="none"/>
        </w:rPr>
        <w:t>t/a。</w:t>
      </w:r>
    </w:p>
    <w:p w14:paraId="35A70785">
      <w:pPr>
        <w:pStyle w:val="6"/>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5.2.5.3病死牛尸体</w:t>
      </w:r>
    </w:p>
    <w:p w14:paraId="41F49D8F">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根据《规模化畜禽养殖场环境影响评价与实例研究》（常玉海等，农业环境科学学报，2007年，26(增刊)：311-318）可知，由于项目采用科学化管理与养殖，病死牛产生量较小。本项目取平均值0.1%，项目年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栏肉牛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头，则本项目正常死亡及普通疫病的病死牛约</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rPr>
        <w:t>头，每头牛重约</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00kg，</w:t>
      </w:r>
      <w:r>
        <w:rPr>
          <w:rFonts w:hint="eastAsia" w:eastAsia="宋体" w:cs="Times New Roman"/>
          <w:color w:val="auto"/>
          <w:highlight w:val="none"/>
          <w:lang w:val="en-US" w:eastAsia="zh-CN"/>
        </w:rPr>
        <w:t>7.0</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Cs w:val="24"/>
          <w:highlight w:val="none"/>
        </w:rPr>
        <w:t>根据《国家危险废物名录（2021</w:t>
      </w:r>
      <w:r>
        <w:rPr>
          <w:rFonts w:hint="default" w:ascii="Times New Roman" w:hAnsi="Times New Roman" w:eastAsia="宋体" w:cs="Times New Roman"/>
          <w:color w:val="auto"/>
          <w:highlight w:val="none"/>
        </w:rPr>
        <w:t>年版）</w:t>
      </w:r>
      <w:r>
        <w:rPr>
          <w:rFonts w:hint="default" w:ascii="Times New Roman" w:hAnsi="Times New Roman" w:eastAsia="宋体" w:cs="Times New Roman"/>
          <w:color w:val="auto"/>
          <w:szCs w:val="24"/>
          <w:highlight w:val="none"/>
        </w:rPr>
        <w:t>》病死牛不属于危废，病死牛的处置问题应根据我国《畜禽养殖业污染防治技术规划》（HJ/T81-2001）的固定采取焚烧炉焚烧或填埋的方法要求执行，防止周围环境产生污染，减少对人畜的健康问题，病死牛要及时处理，严禁随意丢弃，严禁出售或作为饲料再利用。本项目病死牛委托有资质单位进行无害化处理，满足《畜禽养殖业污染防治技术规划》（HJ/T81-2001）要求。</w:t>
      </w:r>
    </w:p>
    <w:p w14:paraId="46456FF1">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5.2.5.</w:t>
      </w:r>
      <w:r>
        <w:rPr>
          <w:rFonts w:hint="eastAsia" w:cs="Times New Roman"/>
          <w:color w:val="auto"/>
          <w:highlight w:val="none"/>
          <w:lang w:val="en-US" w:eastAsia="zh-CN"/>
        </w:rPr>
        <w:t>4</w:t>
      </w:r>
      <w:r>
        <w:rPr>
          <w:rFonts w:hint="default" w:ascii="Times New Roman" w:hAnsi="Times New Roman" w:cs="Times New Roman"/>
          <w:color w:val="auto"/>
          <w:highlight w:val="none"/>
        </w:rPr>
        <w:t>医疗废物</w:t>
      </w:r>
    </w:p>
    <w:p w14:paraId="5DF0FC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本项目产生医疗废物</w:t>
      </w:r>
      <w:r>
        <w:rPr>
          <w:rFonts w:hint="default" w:ascii="Times New Roman" w:hAnsi="Times New Roman" w:eastAsia="宋体" w:cs="Times New Roman"/>
          <w:color w:val="auto"/>
          <w:highlight w:val="none"/>
          <w:lang w:eastAsia="zh-CN"/>
        </w:rPr>
        <w:t>1.5</w:t>
      </w:r>
      <w:r>
        <w:rPr>
          <w:rFonts w:hint="default" w:ascii="Times New Roman" w:hAnsi="Times New Roman" w:eastAsia="宋体" w:cs="Times New Roman"/>
          <w:color w:val="auto"/>
          <w:highlight w:val="none"/>
        </w:rPr>
        <w:t>t/a。医疗废物暂存于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，贮存期不超过一天，交由有资质的单位处理。</w:t>
      </w:r>
    </w:p>
    <w:p w14:paraId="11DB391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根据《建设项目危险废物环境影响评价指南》，对本项目产生的医疗废物影响分析如下：</w:t>
      </w:r>
    </w:p>
    <w:p w14:paraId="509D5E2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（1）危险废物贮存场所（设施）环境影响分析</w:t>
      </w:r>
    </w:p>
    <w:p w14:paraId="3C33638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本项目医疗废物暂存于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，位于厂区</w:t>
      </w:r>
      <w:r>
        <w:rPr>
          <w:rFonts w:hint="default" w:ascii="Times New Roman" w:hAnsi="Times New Roman" w:eastAsia="宋体" w:cs="Times New Roman"/>
          <w:color w:val="auto"/>
          <w:highlight w:val="none"/>
          <w:lang w:val="en-US" w:eastAsia="zh-CN"/>
        </w:rPr>
        <w:t>东北</w:t>
      </w:r>
      <w:r>
        <w:rPr>
          <w:rFonts w:hint="default" w:ascii="Times New Roman" w:hAnsi="Times New Roman" w:eastAsia="宋体" w:cs="Times New Roman"/>
          <w:color w:val="auto"/>
          <w:highlight w:val="none"/>
        </w:rPr>
        <w:t>侧，面积</w:t>
      </w:r>
      <w:r>
        <w:rPr>
          <w:rFonts w:hint="eastAsia" w:eastAsia="宋体" w:cs="Times New Roman"/>
          <w:color w:val="auto"/>
          <w:highlight w:val="none"/>
          <w:lang w:val="en-US" w:eastAsia="zh-CN"/>
        </w:rPr>
        <w:t>43.56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，贮存能力可满足要求。</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的设置按照《危险废物贮存污染控制标准》（GB18597-2023）的要求进行。</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地面进行防渗；地面与裙脚要用坚固、防渗的材料建造，建筑材料必须与危险废物相容；按照GB15562.2的规定设置警示标志等，在采取以上措施后，可大大降低对地下水、土壤造成的影响。</w:t>
      </w:r>
    </w:p>
    <w:p w14:paraId="6A6335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（2）运输过程的环境影响分析</w:t>
      </w:r>
    </w:p>
    <w:p w14:paraId="69318E0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医疗废物在转运过程中如遇恶劣天气、驾驶人员操作不当或运输车辆行驶部件、装卸系统、安全附件、储运容器的安全性能不好均会造成危险废物的泄露，对沿线居民和环境质量造成影响。</w:t>
      </w:r>
    </w:p>
    <w:p w14:paraId="3A7C406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本次环评提出对运输人员加强专业培训、定期对运输车辆进行检修、对储存容器定期检查、配备齐全的安全附件、做好包装外的识别标识等措施，可大大降低危险废物泄露的风险。</w:t>
      </w:r>
    </w:p>
    <w:p w14:paraId="141E9F5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（3）委托利用或者处置的环境影响分析</w:t>
      </w:r>
    </w:p>
    <w:p w14:paraId="50CAF11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医疗废物产生量约为</w:t>
      </w:r>
      <w:r>
        <w:rPr>
          <w:rFonts w:hint="default" w:ascii="Times New Roman" w:hAnsi="Times New Roman" w:eastAsia="宋体" w:cs="Times New Roman"/>
          <w:color w:val="auto"/>
          <w:highlight w:val="none"/>
          <w:lang w:eastAsia="zh-CN"/>
        </w:rPr>
        <w:t>1.5</w:t>
      </w:r>
      <w:r>
        <w:rPr>
          <w:rFonts w:hint="default" w:ascii="Times New Roman" w:hAnsi="Times New Roman" w:eastAsia="宋体" w:cs="Times New Roman"/>
          <w:color w:val="auto"/>
          <w:highlight w:val="none"/>
        </w:rPr>
        <w:t>t/a，属于《国家危险废物名录（</w:t>
      </w:r>
      <w:r>
        <w:rPr>
          <w:rFonts w:hint="default" w:ascii="Times New Roman" w:hAnsi="Times New Roman" w:eastAsia="宋体" w:cs="Times New Roman"/>
          <w:color w:val="auto"/>
          <w:szCs w:val="24"/>
          <w:highlight w:val="none"/>
        </w:rPr>
        <w:t>2021</w:t>
      </w:r>
      <w:r>
        <w:rPr>
          <w:rFonts w:hint="default" w:ascii="Times New Roman" w:hAnsi="Times New Roman" w:eastAsia="宋体" w:cs="Times New Roman"/>
          <w:color w:val="auto"/>
          <w:highlight w:val="none"/>
        </w:rPr>
        <w:t>年版）》中所列危险废物，类别为HW01，编号为：900-001-01，用专用容器桶进行收集后定期交有资质单位处理。</w:t>
      </w:r>
    </w:p>
    <w:p w14:paraId="673B5FF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以上措施，建设项目产生的固体废物均得到了妥善处置和合理利用，符合《畜禽养殖业污染治理工程技术规范》（HJ497-2009）和《畜禽养殖业污染防治技术规范》（HJ/T81-2001）的要求，不向环境排放，并能给企业创造良好经济效益，并对改善区域农业生态环境产生积极影响，因此项目产生的固废均可得到有效的处置和利用，不会产生二次污染，对项目周围环境不会产生明显不良影响。</w:t>
      </w:r>
    </w:p>
    <w:p w14:paraId="0235D901">
      <w:pPr>
        <w:pStyle w:val="5"/>
        <w:spacing w:line="500" w:lineRule="exact"/>
        <w:rPr>
          <w:rFonts w:hint="default" w:ascii="Times New Roman" w:hAnsi="Times New Roman" w:cs="Times New Roman"/>
          <w:color w:val="auto"/>
          <w:highlight w:val="none"/>
        </w:rPr>
      </w:pPr>
      <w:bookmarkStart w:id="451" w:name="_Toc57713685"/>
      <w:bookmarkStart w:id="452" w:name="_Toc12318"/>
      <w:r>
        <w:rPr>
          <w:rFonts w:hint="default" w:ascii="Times New Roman" w:hAnsi="Times New Roman" w:cs="Times New Roman"/>
          <w:color w:val="auto"/>
          <w:highlight w:val="none"/>
        </w:rPr>
        <w:t>5.2.6运行期生态环境影响预测与评价</w:t>
      </w:r>
      <w:bookmarkEnd w:id="451"/>
      <w:bookmarkEnd w:id="452"/>
    </w:p>
    <w:p w14:paraId="38DA1E71">
      <w:pPr>
        <w:pStyle w:val="6"/>
        <w:bidi w:val="0"/>
        <w:rPr>
          <w:color w:val="auto"/>
          <w:highlight w:val="none"/>
        </w:rPr>
      </w:pPr>
      <w:bookmarkStart w:id="453" w:name="_Hlk150478830"/>
      <w:r>
        <w:rPr>
          <w:rFonts w:hint="eastAsia"/>
          <w:color w:val="auto"/>
          <w:highlight w:val="none"/>
          <w:lang w:val="en-US" w:eastAsia="zh-CN"/>
        </w:rPr>
        <w:t>5.2.6.1</w:t>
      </w:r>
      <w:r>
        <w:rPr>
          <w:color w:val="auto"/>
          <w:highlight w:val="none"/>
          <w:lang w:val="en-US"/>
        </w:rPr>
        <w:t>影响方式</w:t>
      </w:r>
    </w:p>
    <w:p w14:paraId="26D2EA86">
      <w:pPr>
        <w:keepNext w:val="0"/>
        <w:keepLines w:val="0"/>
        <w:pageBreakBefore w:val="0"/>
        <w:widowControl w:val="0"/>
        <w:kinsoku/>
        <w:wordWrap/>
        <w:overflowPunct/>
        <w:topLinePunct w:val="0"/>
        <w:autoSpaceDE/>
        <w:autoSpaceDN/>
        <w:bidi w:val="0"/>
        <w:adjustRightInd/>
        <w:snapToGrid/>
        <w:textAlignment w:val="auto"/>
        <w:rPr>
          <w:color w:val="auto"/>
          <w:highlight w:val="none"/>
          <w:lang w:val="en-US"/>
        </w:rPr>
      </w:pPr>
      <w:r>
        <w:rPr>
          <w:rFonts w:hint="eastAsia"/>
          <w:color w:val="auto"/>
          <w:highlight w:val="none"/>
          <w:lang w:val="en-US" w:eastAsia="zh-CN"/>
        </w:rPr>
        <w:t>1.</w:t>
      </w:r>
      <w:r>
        <w:rPr>
          <w:color w:val="auto"/>
          <w:highlight w:val="none"/>
          <w:lang w:val="en-US"/>
        </w:rPr>
        <w:t>噪声</w:t>
      </w:r>
    </w:p>
    <w:p w14:paraId="729D5DCB">
      <w:pPr>
        <w:keepNext w:val="0"/>
        <w:keepLines w:val="0"/>
        <w:pageBreakBefore w:val="0"/>
        <w:widowControl w:val="0"/>
        <w:kinsoku/>
        <w:wordWrap/>
        <w:overflowPunct/>
        <w:topLinePunct w:val="0"/>
        <w:autoSpaceDE/>
        <w:autoSpaceDN/>
        <w:bidi w:val="0"/>
        <w:adjustRightInd/>
        <w:snapToGrid/>
        <w:textAlignment w:val="auto"/>
        <w:rPr>
          <w:color w:val="auto"/>
          <w:highlight w:val="none"/>
          <w:lang w:val="en-US"/>
        </w:rPr>
      </w:pPr>
      <w:r>
        <w:rPr>
          <w:color w:val="auto"/>
          <w:highlight w:val="none"/>
          <w:lang w:val="en-US"/>
        </w:rPr>
        <w:t>项目运营期设备运行噪声可能会驱散附近动物产生间接生态影响。主要影响对象为动物分布范围、种群数量、种群结构、行为等。影响性质为长期不可逆，影响程度较弱。</w:t>
      </w:r>
    </w:p>
    <w:p w14:paraId="7DB12344">
      <w:pPr>
        <w:keepNext w:val="0"/>
        <w:keepLines w:val="0"/>
        <w:pageBreakBefore w:val="0"/>
        <w:widowControl w:val="0"/>
        <w:kinsoku/>
        <w:wordWrap/>
        <w:overflowPunct/>
        <w:topLinePunct w:val="0"/>
        <w:autoSpaceDE/>
        <w:autoSpaceDN/>
        <w:bidi w:val="0"/>
        <w:adjustRightInd/>
        <w:snapToGrid/>
        <w:textAlignment w:val="auto"/>
        <w:rPr>
          <w:color w:val="auto"/>
          <w:highlight w:val="none"/>
          <w:lang w:val="en-US"/>
        </w:rPr>
      </w:pPr>
      <w:r>
        <w:rPr>
          <w:rFonts w:hint="eastAsia"/>
          <w:color w:val="auto"/>
          <w:highlight w:val="none"/>
          <w:lang w:val="en-US" w:eastAsia="zh-CN"/>
        </w:rPr>
        <w:t>2.</w:t>
      </w:r>
      <w:r>
        <w:rPr>
          <w:color w:val="auto"/>
          <w:highlight w:val="none"/>
          <w:lang w:val="en-US"/>
        </w:rPr>
        <w:t>自然景观</w:t>
      </w:r>
    </w:p>
    <w:p w14:paraId="1328132C">
      <w:pPr>
        <w:keepNext w:val="0"/>
        <w:keepLines w:val="0"/>
        <w:pageBreakBefore w:val="0"/>
        <w:widowControl w:val="0"/>
        <w:kinsoku/>
        <w:wordWrap/>
        <w:overflowPunct/>
        <w:topLinePunct w:val="0"/>
        <w:autoSpaceDE/>
        <w:autoSpaceDN/>
        <w:bidi w:val="0"/>
        <w:adjustRightInd/>
        <w:snapToGrid/>
        <w:textAlignment w:val="auto"/>
        <w:rPr>
          <w:rFonts w:ascii="Times New Roman" w:hAnsi="Times New Roman" w:cs="Times New Roman"/>
          <w:color w:val="auto"/>
          <w:kern w:val="21"/>
          <w:szCs w:val="24"/>
          <w:highlight w:val="none"/>
        </w:rPr>
      </w:pPr>
      <w:r>
        <w:rPr>
          <w:color w:val="auto"/>
          <w:highlight w:val="none"/>
          <w:lang w:val="en-US"/>
        </w:rPr>
        <w:t>运营期工程永久占地会使占地区原有景观改变，取而代之的是人为景观，可能对评价区自然景观产生直接接生态影响。主要影响对象为生态系统、生物多样性、景观多样性、完整性等。影响性质为长期不可逆，影响程度较弱。</w:t>
      </w:r>
    </w:p>
    <w:p w14:paraId="6E5DE241">
      <w:pPr>
        <w:pStyle w:val="6"/>
        <w:bidi w:val="0"/>
        <w:rPr>
          <w:color w:val="auto"/>
          <w:highlight w:val="none"/>
        </w:rPr>
      </w:pPr>
      <w:r>
        <w:rPr>
          <w:rFonts w:hint="eastAsia"/>
          <w:color w:val="auto"/>
          <w:highlight w:val="none"/>
          <w:lang w:val="en-US" w:eastAsia="zh-CN"/>
        </w:rPr>
        <w:t>5.2.6.2</w:t>
      </w:r>
      <w:r>
        <w:rPr>
          <w:color w:val="auto"/>
          <w:highlight w:val="none"/>
          <w:lang w:val="en-US"/>
        </w:rPr>
        <w:t>对土地利用的影响</w:t>
      </w:r>
    </w:p>
    <w:p w14:paraId="783399CC">
      <w:pPr>
        <w:keepNext w:val="0"/>
        <w:keepLines w:val="0"/>
        <w:pageBreakBefore w:val="0"/>
        <w:widowControl w:val="0"/>
        <w:kinsoku/>
        <w:wordWrap/>
        <w:overflowPunct/>
        <w:topLinePunct w:val="0"/>
        <w:autoSpaceDE/>
        <w:autoSpaceDN/>
        <w:bidi w:val="0"/>
        <w:adjustRightInd/>
        <w:snapToGrid/>
        <w:textAlignment w:val="auto"/>
        <w:rPr>
          <w:rFonts w:hint="eastAsia"/>
          <w:color w:val="auto"/>
          <w:highlight w:val="none"/>
          <w:lang w:val="en-US" w:eastAsia="zh-CN"/>
        </w:rPr>
      </w:pPr>
      <w:r>
        <w:rPr>
          <w:rFonts w:hint="eastAsia"/>
          <w:color w:val="auto"/>
          <w:highlight w:val="none"/>
          <w:lang w:val="en-US" w:eastAsia="zh-CN"/>
        </w:rPr>
        <w:t>项目对土地利用的影响主要发生在施工期，项目占地面积相对较小，对整个评价区影响较小，不会导致土地利用格局发生明显变化，即工程建设对评价区域土地利用格局影响轻微，项目运营期不会对土地利用格局造成影响。</w:t>
      </w:r>
    </w:p>
    <w:p w14:paraId="7373F876">
      <w:pPr>
        <w:pStyle w:val="6"/>
        <w:bidi w:val="0"/>
        <w:rPr>
          <w:color w:val="auto"/>
          <w:highlight w:val="none"/>
        </w:rPr>
      </w:pPr>
      <w:r>
        <w:rPr>
          <w:rFonts w:hint="eastAsia"/>
          <w:color w:val="auto"/>
          <w:highlight w:val="none"/>
          <w:lang w:val="en-US" w:eastAsia="zh-CN"/>
        </w:rPr>
        <w:t>5.2.6.3</w:t>
      </w:r>
      <w:r>
        <w:rPr>
          <w:color w:val="auto"/>
          <w:highlight w:val="none"/>
          <w:lang w:val="en-US"/>
        </w:rPr>
        <w:t>对陆生生态系统的影响</w:t>
      </w:r>
    </w:p>
    <w:p w14:paraId="27BD9D2A">
      <w:pPr>
        <w:keepNext w:val="0"/>
        <w:keepLines w:val="0"/>
        <w:pageBreakBefore w:val="0"/>
        <w:widowControl w:val="0"/>
        <w:kinsoku/>
        <w:wordWrap/>
        <w:overflowPunct/>
        <w:topLinePunct w:val="0"/>
        <w:autoSpaceDE/>
        <w:autoSpaceDN/>
        <w:bidi w:val="0"/>
        <w:adjustRightInd/>
        <w:snapToGrid/>
        <w:textAlignment w:val="auto"/>
        <w:rPr>
          <w:rFonts w:hint="eastAsia"/>
          <w:color w:val="auto"/>
          <w:highlight w:val="none"/>
          <w:lang w:val="en-US" w:eastAsia="zh-CN"/>
        </w:rPr>
      </w:pPr>
      <w:r>
        <w:rPr>
          <w:rFonts w:hint="eastAsia"/>
          <w:color w:val="auto"/>
          <w:highlight w:val="none"/>
          <w:lang w:val="en-US" w:eastAsia="zh-CN"/>
        </w:rPr>
        <w:t>项目永久占地全部为新增占地，新增占地为农用设施用地（现状为空闲地）。占用耕地为一般耕地，不占用永久基本农田；占用林地为一般商品林，不涉及珍稀濒危及保护动植物。项目建设过程中会对原有植被有所破坏，这些植物种类将随着植被的砍伐和场地平整过程而消失或数量减少。而那些受影响的生物种类在周边地区是极为常见的，且分布也较为散落，这些繁殖和散布力很强的生物种类的损失不会造成很大的生态影响。同时，随着项目的建设，厂区绿化工程也将同时开工建设，在厂区周围合理培植乔木、灌木（应以赏花类为主）、草坪相结合的绿化带，并形成较密的树林，重新建立起有序的陆地生态系统，不单可以抵消由于建设造成的生态功能的缺失，而且有利于改善建设区域的生态环境。综上所述，项目运营期对陆生生态系统的影响较小。</w:t>
      </w:r>
    </w:p>
    <w:p w14:paraId="59AC4247">
      <w:pPr>
        <w:pStyle w:val="6"/>
        <w:bidi w:val="0"/>
        <w:rPr>
          <w:color w:val="auto"/>
          <w:highlight w:val="none"/>
        </w:rPr>
      </w:pPr>
      <w:r>
        <w:rPr>
          <w:rFonts w:hint="eastAsia"/>
          <w:color w:val="auto"/>
          <w:highlight w:val="none"/>
          <w:lang w:val="en-US" w:eastAsia="zh-CN"/>
        </w:rPr>
        <w:t>5.2.6.4</w:t>
      </w:r>
      <w:r>
        <w:rPr>
          <w:color w:val="auto"/>
          <w:highlight w:val="none"/>
          <w:lang w:val="en-US"/>
        </w:rPr>
        <w:t>对自然景观的影响</w:t>
      </w:r>
    </w:p>
    <w:p w14:paraId="55B8689E">
      <w:pPr>
        <w:keepNext w:val="0"/>
        <w:keepLines w:val="0"/>
        <w:pageBreakBefore w:val="0"/>
        <w:widowControl w:val="0"/>
        <w:kinsoku/>
        <w:wordWrap/>
        <w:overflowPunct/>
        <w:topLinePunct w:val="0"/>
        <w:autoSpaceDE/>
        <w:autoSpaceDN/>
        <w:bidi w:val="0"/>
        <w:adjustRightInd/>
        <w:snapToGrid/>
        <w:textAlignment w:val="auto"/>
        <w:rPr>
          <w:rFonts w:hint="eastAsia"/>
          <w:color w:val="auto"/>
          <w:highlight w:val="none"/>
          <w:lang w:val="en-US" w:eastAsia="zh-CN"/>
        </w:rPr>
      </w:pPr>
      <w:r>
        <w:rPr>
          <w:rFonts w:hint="eastAsia"/>
          <w:color w:val="auto"/>
          <w:highlight w:val="none"/>
          <w:lang w:val="en-US" w:eastAsia="zh-CN"/>
        </w:rPr>
        <w:t>项目选址总体位于成片林地中，随着项目的建设完成运营将切割原有景观面貌，使其空间连续性和自然性被破坏，为永久影响，但评价区内绝大部分面积植被没有发生变化，因而保证生态系统功能的延续和对外界干扰的抵御。此外，项目投产运行后厂区内颜色与周围原有绿色不相协调，对视觉有一定冲突。为降低上述影响，建议建设单位在厂界处做好绿化工程，在厂区周围合理培植乔木、灌木（应以赏花类为主）、草坪相结合的绿化带，并形成较密的树林。综上所述，项目运营期对自然景观的影响的影响较小。</w:t>
      </w:r>
    </w:p>
    <w:p w14:paraId="6EDC6215">
      <w:pPr>
        <w:pStyle w:val="6"/>
        <w:bidi w:val="0"/>
        <w:rPr>
          <w:color w:val="auto"/>
          <w:highlight w:val="none"/>
        </w:rPr>
      </w:pPr>
      <w:r>
        <w:rPr>
          <w:rFonts w:hint="eastAsia"/>
          <w:color w:val="auto"/>
          <w:highlight w:val="none"/>
          <w:lang w:val="en-US" w:eastAsia="zh-CN"/>
        </w:rPr>
        <w:t>5.2.6.5</w:t>
      </w:r>
      <w:r>
        <w:rPr>
          <w:color w:val="auto"/>
          <w:highlight w:val="none"/>
          <w:lang w:val="en-US"/>
        </w:rPr>
        <w:t>评价结论</w:t>
      </w:r>
    </w:p>
    <w:p w14:paraId="455B9C2F">
      <w:pPr>
        <w:keepNext w:val="0"/>
        <w:keepLines w:val="0"/>
        <w:pageBreakBefore w:val="0"/>
        <w:widowControl w:val="0"/>
        <w:kinsoku/>
        <w:wordWrap/>
        <w:overflowPunct/>
        <w:topLinePunct w:val="0"/>
        <w:autoSpaceDE/>
        <w:autoSpaceDN/>
        <w:bidi w:val="0"/>
        <w:adjustRightInd/>
        <w:snapToGrid/>
        <w:textAlignment w:val="auto"/>
        <w:rPr>
          <w:rFonts w:hint="default"/>
          <w:color w:val="auto"/>
          <w:highlight w:val="none"/>
          <w:lang w:val="en-US" w:eastAsia="zh-CN"/>
        </w:rPr>
      </w:pPr>
      <w:bookmarkStart w:id="454" w:name="_Hlk150480115"/>
      <w:r>
        <w:rPr>
          <w:rFonts w:hint="eastAsia"/>
          <w:color w:val="auto"/>
          <w:highlight w:val="none"/>
          <w:lang w:val="en-US" w:eastAsia="zh-CN"/>
        </w:rPr>
        <w:t>项目对土地利用的影响主要发生在施工期，项目占地面积相对较小，对整个评价区影响较小，不会导致土地利用格局发生明显变化。随着项目的建设，厂区绿化工程也将同时开工建设，在厂区周围合理培植乔木、灌木（应以赏花类为主）、草坪相结合的绿化带，并形成较密的树林，重新建立起有序的陆地生态系统，不单可以抵消由于建设造成的生态功能的缺失，而且有利于改善建设区域的生态环境。综上所述，项目运营期对区域生态环境的影响可以接受，从环境保护的角度分析，项目的建设是可行的。</w:t>
      </w:r>
      <w:bookmarkEnd w:id="453"/>
      <w:bookmarkEnd w:id="454"/>
    </w:p>
    <w:p w14:paraId="1EE03FB4">
      <w:pPr>
        <w:pStyle w:val="5"/>
        <w:spacing w:line="500" w:lineRule="exact"/>
        <w:rPr>
          <w:rFonts w:hint="default" w:ascii="Times New Roman" w:hAnsi="Times New Roman" w:cs="Times New Roman"/>
          <w:color w:val="auto"/>
          <w:highlight w:val="none"/>
        </w:rPr>
      </w:pPr>
      <w:bookmarkStart w:id="455" w:name="_Toc57713686"/>
      <w:bookmarkStart w:id="456" w:name="_Toc16834"/>
      <w:r>
        <w:rPr>
          <w:rFonts w:hint="default" w:ascii="Times New Roman" w:hAnsi="Times New Roman" w:cs="Times New Roman"/>
          <w:color w:val="auto"/>
          <w:highlight w:val="none"/>
        </w:rPr>
        <w:t>5.2.7水土流失的环境影响预测与评价</w:t>
      </w:r>
      <w:bookmarkEnd w:id="455"/>
      <w:bookmarkEnd w:id="456"/>
    </w:p>
    <w:p w14:paraId="781535B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土流失主要指地表组成物质受流水、重力或人为作用造成的水和土的流失过程，它主要包括水的损失和土（土壤，母质，风化物，基岩）的流失两部分。此外，由于径流和土壤侵蚀中携带着大量的养分流失，所以水土流失过程也必然伴随着养分流失过程。水土流失造成的危害主要有破坏土地完整性、土壤肥力衰退，影响农业生产、影响水资源开发利用、加剧洪涝灾害等。为了避免本项目在施工及运营过程中造成区域水土流失，破坏当地生态环境，提出建议如下：</w:t>
      </w:r>
    </w:p>
    <w:p w14:paraId="0BEA9EB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①项目施工过程中利用拦挡物将施工过程中产生的废渣、弃土、弃石等几种围挡，避免在暴雨中被冲刷流失。</w:t>
      </w:r>
    </w:p>
    <w:p w14:paraId="489A9E9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②针对施工过程中产生的深坑、浅凹等陷区，及时用机械或人工进行平整，根据不同情况可改造成农、林、牧用地。</w:t>
      </w:r>
    </w:p>
    <w:p w14:paraId="007B4D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③建议项目方在项目建成后，及时对周边裸露的地表进行绿化，减少土地裸露面积。</w:t>
      </w:r>
    </w:p>
    <w:p w14:paraId="314FB856">
      <w:pPr>
        <w:pStyle w:val="5"/>
        <w:spacing w:line="500" w:lineRule="exact"/>
        <w:rPr>
          <w:rFonts w:hint="default" w:ascii="Times New Roman" w:hAnsi="Times New Roman" w:cs="Times New Roman"/>
          <w:color w:val="auto"/>
          <w:highlight w:val="none"/>
        </w:rPr>
      </w:pPr>
      <w:bookmarkStart w:id="457" w:name="_Toc57713687"/>
      <w:bookmarkStart w:id="458" w:name="_Toc3199"/>
      <w:r>
        <w:rPr>
          <w:rFonts w:hint="default" w:ascii="Times New Roman" w:hAnsi="Times New Roman" w:cs="Times New Roman"/>
          <w:color w:val="auto"/>
          <w:highlight w:val="none"/>
        </w:rPr>
        <w:t>5.2.8环境风险影响影响预测与评价</w:t>
      </w:r>
      <w:bookmarkEnd w:id="457"/>
      <w:bookmarkEnd w:id="458"/>
    </w:p>
    <w:p w14:paraId="75EF58FD">
      <w:pPr>
        <w:pStyle w:val="6"/>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5.2.8.1</w:t>
      </w:r>
      <w:r>
        <w:rPr>
          <w:rFonts w:hint="eastAsia" w:cs="Times New Roman"/>
          <w:color w:val="auto"/>
          <w:highlight w:val="none"/>
          <w:lang w:val="en-US" w:eastAsia="zh-CN"/>
        </w:rPr>
        <w:t>渗滤液收集</w:t>
      </w:r>
      <w:r>
        <w:rPr>
          <w:rFonts w:hint="default" w:ascii="Times New Roman" w:hAnsi="Times New Roman" w:cs="Times New Roman"/>
          <w:color w:val="auto"/>
          <w:highlight w:val="none"/>
        </w:rPr>
        <w:t>池事故</w:t>
      </w:r>
    </w:p>
    <w:p w14:paraId="29EE434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当防渗设施非正常状况下，可能造成地下水环境污染的主要途径是污水下渗影响，影响较大的因素如防渗膜破裂，使污水渗入地下含水层，对地下水水质造成影响。</w:t>
      </w:r>
      <w:r>
        <w:rPr>
          <w:rFonts w:hint="default" w:ascii="Times New Roman" w:hAnsi="Times New Roman" w:eastAsia="宋体" w:cs="Times New Roman"/>
          <w:color w:val="auto"/>
          <w:highlight w:val="none"/>
          <w:lang w:val="en-GB"/>
        </w:rPr>
        <w:t>对粪污储存池进行重点防渗，粪污储存池</w:t>
      </w:r>
      <w:r>
        <w:rPr>
          <w:rFonts w:hint="default" w:ascii="Times New Roman" w:hAnsi="Times New Roman" w:eastAsia="宋体" w:cs="Times New Roman"/>
          <w:color w:val="auto"/>
          <w:highlight w:val="none"/>
        </w:rPr>
        <w:t>地面（池底）等效粘土层厚度要≥6.0m，满足渗透系数K≤1.0×10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cm/s；防渗粘土层（至少1m厚）上部及侧面铺设1.0mm高密度聚乙烯（HDPE）防渗膜（渗透系数K≤10</w:t>
      </w:r>
      <w:r>
        <w:rPr>
          <w:rFonts w:hint="default" w:ascii="Times New Roman" w:hAnsi="Times New Roman" w:eastAsia="宋体" w:cs="Times New Roman"/>
          <w:color w:val="auto"/>
          <w:highlight w:val="none"/>
          <w:vertAlign w:val="superscript"/>
        </w:rPr>
        <w:t>-12</w:t>
      </w:r>
      <w:r>
        <w:rPr>
          <w:rFonts w:hint="default" w:ascii="Times New Roman" w:hAnsi="Times New Roman" w:eastAsia="宋体" w:cs="Times New Roman"/>
          <w:color w:val="auto"/>
          <w:highlight w:val="none"/>
        </w:rPr>
        <w:t>cm/s），在做好基层防渗的基础上进行水泥硬化的要求。</w:t>
      </w:r>
    </w:p>
    <w:p w14:paraId="7EAD7C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本项目拟在场区下游设置1座地下水跟踪监控井，一旦发现监测水质发生变化，立即停止使用，并采取补救措施。本项目粪污储存池的建设须严格按照防渗要求设计、施工；切实遵守对地下水监测井的监测规定。</w:t>
      </w:r>
    </w:p>
    <w:p w14:paraId="1995053F">
      <w:pPr>
        <w:pStyle w:val="5"/>
        <w:spacing w:line="500" w:lineRule="exact"/>
        <w:rPr>
          <w:rFonts w:hint="default" w:ascii="Times New Roman" w:hAnsi="Times New Roman" w:cs="Times New Roman"/>
          <w:color w:val="auto"/>
          <w:highlight w:val="none"/>
        </w:rPr>
      </w:pPr>
      <w:bookmarkStart w:id="459" w:name="_Toc57713688"/>
      <w:bookmarkStart w:id="460" w:name="_Toc13118"/>
      <w:r>
        <w:rPr>
          <w:rFonts w:hint="default" w:ascii="Times New Roman" w:hAnsi="Times New Roman" w:cs="Times New Roman"/>
          <w:color w:val="auto"/>
          <w:highlight w:val="none"/>
        </w:rPr>
        <w:t>5.2.9病疫情风险分析</w:t>
      </w:r>
      <w:bookmarkEnd w:id="459"/>
      <w:bookmarkEnd w:id="460"/>
    </w:p>
    <w:p w14:paraId="615FBDB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养殖场如管理不善，会诱发常见疾病，如口蹄疫、炭疽等，而且传播很快，甚至感染到人群。</w:t>
      </w:r>
    </w:p>
    <w:p w14:paraId="3B8E255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炭疽是由炭疽杆菌引起的一种急性、热败血性传染病。本病能传染给人和其他家畜。炭疽杆菌为革兰氏阳性菌，为需氧和兼性需氧菌。菌体对外界理化因素的抵抗力不强，但炭疽杆菌芽孢的抵抗力很强，在干燥状态下可存活40年以上，在土壤中可生存20年以上且具有感染力。如果被感染动物的尸体处理不当或形成大量芽孢并污染土壤、水源、牧地等，则可成为长久的疫源地。本病主要传染源是病畜，经消化道感染。常因采食被污染的饲料、饮水而感染，其次是带有炭疽杆菌的吸血昆虫叮咬，通过皮肤而感染。本病世界各地均有发生，一般呈散发性，但有时也可呈地方性流行。多发生于炎热多雨的季节。牛群一般对为最急性型发病，体温升高，出现昏迷、突然卧倒、呼吸极度困难、可视黏膜呈蓝紫色、口吐白沫、全身战栗、心悸等症状，不久出现虚脱，濒死期天然孔出血，出现症状后数分钟至数小时死亡。</w:t>
      </w:r>
    </w:p>
    <w:p w14:paraId="19D9DC9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蹄疫是偶蹄兽的一种急性、发热性高度接触性传染病，其临床特征是在口腔黏膜、蹄部和乳房皮肤发生水疱性疹。病毒主要存在于水疱皮及淋巴液中。病牛是主要的传染源，康复期和 潜伏期的病牛亦可带毒排毒，本病主要经呼吸和消化道感染，也能经黏膜和皮肤感染。其传播 既有蔓延式又有跳跃式的，它可发生于一年四季。潜伏期平均2~4天，最长可达7天左右，病牛体温升高40~41℃，精神沉郁、食欲下降，闭口、流涎，开口时有吸吮声。1~2天后在唇内面、齿龈、舌面和颊部黏膜发生蚕豆大至核桃大的水疱。此时口角流涎增多，呈白色泡沫状，常挂满嘴边，采食、反刍完全停止。在口腔发生水疱的同时或稍后，趾间及蹄冠的柔软皮肤上也发生水疱，并很快破溃出现糜烂，然后逐渐愈合。若病牛衰弱管理不当或治疗不及时，糜烂部可能继发感染化脓、坏死、甚至蹄匣脱落，乳头皮肤有时也可能出现水疱，而且很快破 裂形成烂斑。本病一般为良性经过，只是口腔发病，约经1周即可治愈，如果蹄部出现病变时，则病期可延至2~3周或更久，死亡率一般不超过1％~3％。但有时当水疱病变逐渐愈合，病牛趋向恢复健康时，病情突然恶化，全身虚弱、肌肉震颤、特别是心跳加快、节律不齐，因心脏麻痹而突然倒地死亡，这种病型称为恶性口蹄疫，病死率高达20％~50％，主要是由于病毒侵害心肌所致。犊牛患病时特征性水疱症状不明显，主要表现为出血性肠炎和心肌麻痹，死亡率很高。</w:t>
      </w:r>
    </w:p>
    <w:p w14:paraId="72006B54">
      <w:pPr>
        <w:pStyle w:val="67"/>
        <w:ind w:firstLine="0" w:firstLineChars="0"/>
        <w:jc w:val="center"/>
        <w:rPr>
          <w:rFonts w:hint="default" w:ascii="Times New Roman" w:hAnsi="Times New Roman" w:cs="Times New Roman"/>
          <w:color w:val="auto"/>
          <w:highlight w:val="none"/>
        </w:rPr>
      </w:pPr>
    </w:p>
    <w:p w14:paraId="734661EA">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1E7C05DC">
      <w:pPr>
        <w:pStyle w:val="3"/>
        <w:spacing w:line="500" w:lineRule="exact"/>
        <w:rPr>
          <w:rFonts w:hint="default" w:ascii="Times New Roman" w:hAnsi="Times New Roman" w:cs="Times New Roman"/>
          <w:color w:val="auto"/>
          <w:highlight w:val="none"/>
        </w:rPr>
      </w:pPr>
      <w:bookmarkStart w:id="461" w:name="_Toc480447673"/>
      <w:bookmarkStart w:id="462" w:name="_Toc486255099"/>
      <w:bookmarkStart w:id="463" w:name="_Toc22606"/>
      <w:bookmarkStart w:id="464" w:name="_Toc57713689"/>
      <w:r>
        <w:rPr>
          <w:rFonts w:hint="default" w:ascii="Times New Roman" w:hAnsi="Times New Roman" w:cs="Times New Roman"/>
          <w:color w:val="auto"/>
          <w:highlight w:val="none"/>
        </w:rPr>
        <w:t>6污染防治</w:t>
      </w:r>
      <w:bookmarkStart w:id="465" w:name="_Hlt89699472"/>
      <w:bookmarkEnd w:id="465"/>
      <w:r>
        <w:rPr>
          <w:rFonts w:hint="default" w:ascii="Times New Roman" w:hAnsi="Times New Roman" w:cs="Times New Roman"/>
          <w:color w:val="auto"/>
          <w:highlight w:val="none"/>
        </w:rPr>
        <w:t>措施</w:t>
      </w:r>
      <w:bookmarkEnd w:id="461"/>
      <w:bookmarkEnd w:id="462"/>
      <w:r>
        <w:rPr>
          <w:rFonts w:hint="default" w:ascii="Times New Roman" w:hAnsi="Times New Roman" w:cs="Times New Roman"/>
          <w:color w:val="auto"/>
          <w:highlight w:val="none"/>
        </w:rPr>
        <w:t>及其可行性论证</w:t>
      </w:r>
      <w:bookmarkEnd w:id="463"/>
      <w:bookmarkEnd w:id="464"/>
    </w:p>
    <w:p w14:paraId="62DACE4A">
      <w:pPr>
        <w:pStyle w:val="5"/>
        <w:spacing w:line="500" w:lineRule="exact"/>
        <w:rPr>
          <w:rFonts w:hint="default" w:ascii="Times New Roman" w:hAnsi="Times New Roman" w:cs="Times New Roman"/>
          <w:color w:val="auto"/>
          <w:sz w:val="30"/>
          <w:szCs w:val="30"/>
          <w:highlight w:val="none"/>
        </w:rPr>
      </w:pPr>
      <w:bookmarkStart w:id="466" w:name="_Toc241305662"/>
      <w:bookmarkStart w:id="467" w:name="_Toc57713690"/>
      <w:bookmarkStart w:id="468" w:name="_Toc480447674"/>
      <w:bookmarkStart w:id="469" w:name="_Toc486255100"/>
      <w:bookmarkStart w:id="470" w:name="_Toc225741621"/>
      <w:bookmarkStart w:id="471" w:name="_Toc255202308"/>
      <w:bookmarkStart w:id="472" w:name="_Toc277178439"/>
      <w:bookmarkStart w:id="473" w:name="_Toc237081935"/>
      <w:bookmarkStart w:id="474" w:name="_Toc21154"/>
      <w:r>
        <w:rPr>
          <w:rFonts w:hint="default" w:ascii="Times New Roman" w:hAnsi="Times New Roman" w:cs="Times New Roman"/>
          <w:color w:val="auto"/>
          <w:sz w:val="30"/>
          <w:szCs w:val="30"/>
          <w:highlight w:val="none"/>
        </w:rPr>
        <w:t>6.1施工期污染防治措施</w:t>
      </w:r>
      <w:bookmarkEnd w:id="466"/>
      <w:bookmarkEnd w:id="467"/>
      <w:bookmarkEnd w:id="468"/>
      <w:bookmarkEnd w:id="469"/>
      <w:bookmarkEnd w:id="470"/>
      <w:bookmarkEnd w:id="471"/>
      <w:bookmarkEnd w:id="472"/>
      <w:bookmarkEnd w:id="473"/>
      <w:bookmarkEnd w:id="474"/>
    </w:p>
    <w:p w14:paraId="43DCCC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施工期污染以扬尘废气和机械尾气、施工废水、机械和运输车辆噪声、建筑垃圾及弃土等固体废物为主，并可伴随着小部分水土流失。施工期应采取相应的防治措施，防止项目施工时造成环境污染。</w:t>
      </w:r>
    </w:p>
    <w:p w14:paraId="745B2FBE">
      <w:pPr>
        <w:pStyle w:val="5"/>
        <w:spacing w:line="500" w:lineRule="exact"/>
        <w:rPr>
          <w:rFonts w:hint="default" w:ascii="Times New Roman" w:hAnsi="Times New Roman" w:cs="Times New Roman"/>
          <w:color w:val="auto"/>
          <w:highlight w:val="none"/>
        </w:rPr>
      </w:pPr>
      <w:bookmarkStart w:id="475" w:name="_Toc203373353"/>
      <w:bookmarkStart w:id="476" w:name="_Toc204572392"/>
      <w:bookmarkStart w:id="477" w:name="_Toc200162814"/>
      <w:bookmarkStart w:id="478" w:name="_Toc486255101"/>
      <w:bookmarkStart w:id="479" w:name="_Toc57713691"/>
      <w:bookmarkStart w:id="480" w:name="_Toc201330163"/>
      <w:bookmarkStart w:id="481" w:name="_Toc225741622"/>
      <w:bookmarkStart w:id="482" w:name="_Toc200162117"/>
      <w:bookmarkStart w:id="483" w:name="_Toc203113620"/>
      <w:bookmarkStart w:id="484" w:name="_Toc18124"/>
      <w:bookmarkStart w:id="485" w:name="_Toc200952545"/>
      <w:r>
        <w:rPr>
          <w:rFonts w:hint="default" w:ascii="Times New Roman" w:hAnsi="Times New Roman" w:cs="Times New Roman"/>
          <w:color w:val="auto"/>
          <w:highlight w:val="none"/>
        </w:rPr>
        <w:t>6.1.1水污染防治措施</w:t>
      </w:r>
      <w:bookmarkEnd w:id="475"/>
      <w:bookmarkEnd w:id="476"/>
      <w:bookmarkEnd w:id="477"/>
      <w:bookmarkEnd w:id="478"/>
      <w:bookmarkEnd w:id="479"/>
      <w:bookmarkEnd w:id="480"/>
      <w:bookmarkEnd w:id="481"/>
      <w:bookmarkEnd w:id="482"/>
      <w:bookmarkEnd w:id="483"/>
      <w:bookmarkEnd w:id="484"/>
      <w:bookmarkEnd w:id="485"/>
    </w:p>
    <w:p w14:paraId="74C440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工程施工期间，严禁污水乱排和污染农田、环境等。</w:t>
      </w:r>
    </w:p>
    <w:p w14:paraId="7A92C17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同时应做好建筑材料和建筑废料的管理，避免地面水体二次污染。在施工过程中不对机械设备的检修及冲洗，以防止设备漏油现象的发生；施工机械设备的维修应在专业厂家进行，防止施工现场地表油类污染。</w:t>
      </w:r>
    </w:p>
    <w:p w14:paraId="7198069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项目区设置临时防渗厕所，定期清掏堆肥。施工期无施工废水排放到环境水体。本项目施工内容较少，施工期持续时间短，施工过程中产生的废水对周围环境不会造成影响。</w:t>
      </w:r>
    </w:p>
    <w:p w14:paraId="22C1CB7B">
      <w:pPr>
        <w:pStyle w:val="5"/>
        <w:spacing w:line="500" w:lineRule="exact"/>
        <w:rPr>
          <w:rFonts w:hint="default" w:ascii="Times New Roman" w:hAnsi="Times New Roman" w:cs="Times New Roman"/>
          <w:color w:val="auto"/>
          <w:highlight w:val="none"/>
        </w:rPr>
      </w:pPr>
      <w:bookmarkStart w:id="486" w:name="_Toc204572393"/>
      <w:bookmarkStart w:id="487" w:name="_Toc225741623"/>
      <w:bookmarkStart w:id="488" w:name="_Toc201330164"/>
      <w:bookmarkStart w:id="489" w:name="_Toc200162815"/>
      <w:bookmarkStart w:id="490" w:name="_Toc200162118"/>
      <w:bookmarkStart w:id="491" w:name="_Toc486255102"/>
      <w:bookmarkStart w:id="492" w:name="_Toc8659"/>
      <w:bookmarkStart w:id="493" w:name="_Toc57713692"/>
      <w:bookmarkStart w:id="494" w:name="_Toc203113621"/>
      <w:bookmarkStart w:id="495" w:name="_Toc203373354"/>
      <w:bookmarkStart w:id="496" w:name="_Toc200952546"/>
      <w:r>
        <w:rPr>
          <w:rFonts w:hint="default" w:ascii="Times New Roman" w:hAnsi="Times New Roman" w:cs="Times New Roman"/>
          <w:color w:val="auto"/>
          <w:highlight w:val="none"/>
        </w:rPr>
        <w:t>6.1.2大气污染防治措施</w:t>
      </w:r>
      <w:bookmarkEnd w:id="486"/>
      <w:bookmarkEnd w:id="487"/>
      <w:bookmarkEnd w:id="488"/>
      <w:bookmarkEnd w:id="489"/>
      <w:bookmarkEnd w:id="490"/>
      <w:bookmarkEnd w:id="491"/>
      <w:bookmarkEnd w:id="492"/>
      <w:bookmarkEnd w:id="493"/>
      <w:bookmarkEnd w:id="494"/>
      <w:bookmarkEnd w:id="495"/>
      <w:bookmarkEnd w:id="496"/>
    </w:p>
    <w:p w14:paraId="795569B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（1）扬尘控制</w:t>
      </w:r>
    </w:p>
    <w:p w14:paraId="5B36D3F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为使施工过程中产生的扬尘对周围环境空气的影响降低到最小程度，建议采取以下防护措施：</w:t>
      </w:r>
    </w:p>
    <w:p w14:paraId="6DFB324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施工期间应加强环境管理，贯彻边施工、边防治的原则。</w:t>
      </w:r>
    </w:p>
    <w:p w14:paraId="05F1B14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施工现场只存放用于回填的土方量，多余的土方要及时运走，干燥季节要适时的对现场存放的土方洒水，保持其表面潮湿，以避免扬尘。</w:t>
      </w:r>
    </w:p>
    <w:p w14:paraId="5FA615C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建议使用商品混凝土，不使用混凝土搅拌机，以减轻扬尘对人体健康、农作物、植被的影响。</w:t>
      </w:r>
    </w:p>
    <w:p w14:paraId="3972EAC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施工现场道路要做到路面硬化，经常清扫路面，干旱季节要定时洒水，保持路面湿润。</w:t>
      </w:r>
    </w:p>
    <w:p w14:paraId="38CACE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运输白灰、水泥、土方、施工垃圾等易产生扬尘的车辆要密闭处理，或采取其它措施，以避免沿途散落。</w:t>
      </w:r>
    </w:p>
    <w:p w14:paraId="5B0E3F2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出工地的车辆要对车轮进行清洗或清扫。</w:t>
      </w:r>
    </w:p>
    <w:p w14:paraId="7760B9E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7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主要施工现场要围挡或部分围挡，以减少施工扬尘的扩散范围，减轻扬尘对周围环境的污染。</w:t>
      </w:r>
    </w:p>
    <w:p w14:paraId="046D32A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8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⑧</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施工结束时，应及时对施工占用场地进行恢复。</w:t>
      </w:r>
    </w:p>
    <w:p w14:paraId="08EA4EC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围挡起直接阻挡扬尘飞扬的作用，洒水可降低施工扬尘的起尘量，经上述治理后，施工期产生的扬尘满足《大气污染物综合排放标准》（GB16297-1996）表2中无组织排放监控浓度限值。</w:t>
      </w:r>
    </w:p>
    <w:p w14:paraId="31A3E7C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（2）车辆尾气</w:t>
      </w:r>
    </w:p>
    <w:p w14:paraId="4C4BFE2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做好施工现场的交通组织，施工道路硬化路面，保持路面平整，同时减少运输车辆怠速产生的废气排放。项目运输车辆定期检修，汽车尾气能够达标排放。项目场区占地面积较大，远离居民区，项目汽车尾气不会对施工区大气环境产生较大影响。</w:t>
      </w:r>
    </w:p>
    <w:p w14:paraId="05AE4691">
      <w:pPr>
        <w:pStyle w:val="5"/>
        <w:spacing w:line="500" w:lineRule="exact"/>
        <w:rPr>
          <w:rFonts w:hint="default" w:ascii="Times New Roman" w:hAnsi="Times New Roman" w:cs="Times New Roman"/>
          <w:color w:val="auto"/>
          <w:highlight w:val="none"/>
        </w:rPr>
      </w:pPr>
      <w:bookmarkStart w:id="497" w:name="_Toc201330165"/>
      <w:bookmarkStart w:id="498" w:name="_Toc200162119"/>
      <w:bookmarkStart w:id="499" w:name="_Toc1885"/>
      <w:bookmarkStart w:id="500" w:name="_Toc225741624"/>
      <w:bookmarkStart w:id="501" w:name="_Toc57713693"/>
      <w:bookmarkStart w:id="502" w:name="_Toc203113622"/>
      <w:bookmarkStart w:id="503" w:name="_Toc204572394"/>
      <w:bookmarkStart w:id="504" w:name="_Toc200162816"/>
      <w:bookmarkStart w:id="505" w:name="_Toc486255103"/>
      <w:bookmarkStart w:id="506" w:name="_Toc203373355"/>
      <w:bookmarkStart w:id="507" w:name="_Toc200952547"/>
      <w:r>
        <w:rPr>
          <w:rFonts w:hint="default" w:ascii="Times New Roman" w:hAnsi="Times New Roman" w:cs="Times New Roman"/>
          <w:color w:val="auto"/>
          <w:highlight w:val="none"/>
        </w:rPr>
        <w:t>6.1.3噪声污染防治措施</w:t>
      </w:r>
      <w:bookmarkEnd w:id="497"/>
      <w:bookmarkEnd w:id="498"/>
      <w:bookmarkEnd w:id="499"/>
      <w:bookmarkEnd w:id="500"/>
      <w:bookmarkEnd w:id="501"/>
      <w:bookmarkEnd w:id="502"/>
      <w:bookmarkEnd w:id="503"/>
      <w:bookmarkEnd w:id="504"/>
      <w:bookmarkEnd w:id="505"/>
      <w:bookmarkEnd w:id="506"/>
      <w:bookmarkEnd w:id="507"/>
    </w:p>
    <w:p w14:paraId="41BB9A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施工期间的噪声污染主要来自于施工机械作业产生的噪声和运输车辆产生的交通噪声。</w:t>
      </w:r>
    </w:p>
    <w:p w14:paraId="29791E9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本项目施工区距离噪声环境敏感点较远，施工期噪声不会对于区环境造成较大影响。为保证施工场界噪声达标排放，提出以下防治措施：</w:t>
      </w:r>
    </w:p>
    <w:p w14:paraId="034817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合理安排施工计划和施工机械设备组合以及施工时间，避免在同一时间集中使用大量的动力机械设备，对产生高噪声设备尽量安排在白天使用，合理安排高噪声设备远离敏感目标作业，同时夜间（22:00～6:00）不使用噪声设备。</w:t>
      </w:r>
    </w:p>
    <w:p w14:paraId="463A226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对项目的施工进行合理布局，尽量将高噪声的机械设备安装在施工场区中部，远离边界。此外，尽量选用低噪声机械设备或带隔声、消声的设备，对产生噪声的施工设备加强维护和维修工作，亦对噪声有良好作用。</w:t>
      </w:r>
    </w:p>
    <w:p w14:paraId="13EE698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项目运输路线经过道路沿线两侧村屯时，应加强现场货物的运输管理，在运输车辆经过居民点时，尽量减速慢行，居民区内禁止鸣笛，禁止在中午（12:00-14:00）和夜间（22:00-6:00）经过居民点运输，以免影响沿途居民的正常生活。</w:t>
      </w:r>
    </w:p>
    <w:p w14:paraId="53D40FD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经上述治理后，项目施工期产生的场界噪声能够满足</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"http://www.mee.gov.cn/ywgz/fgbz/bz/bzwb/wlhj/hjzspfbz/202512/t20251211_1137517.shtml" </w:instrText>
      </w:r>
      <w:r>
        <w:rPr>
          <w:rFonts w:hint="default" w:ascii="Times New Roman" w:hAnsi="Times New Roman" w:eastAsia="宋体" w:cs="Times New Roman"/>
          <w:color w:val="auto"/>
          <w:highlight w:val="none"/>
        </w:rPr>
        <w:fldChar w:fldCharType="separate"/>
      </w:r>
      <w:r>
        <w:rPr>
          <w:rFonts w:hint="eastAsia" w:ascii="Times New Roman" w:hAnsi="Times New Roman" w:eastAsia="宋体" w:cs="Times New Roman"/>
          <w:color w:val="auto"/>
          <w:highlight w:val="none"/>
        </w:rPr>
        <w:t>《建筑施工噪声排放标准》（GB 12523-2025）</w:t>
      </w:r>
      <w:r>
        <w:rPr>
          <w:rFonts w:hint="eastAsia"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中要求。</w:t>
      </w:r>
    </w:p>
    <w:p w14:paraId="0DD14175">
      <w:pPr>
        <w:pStyle w:val="5"/>
        <w:spacing w:line="500" w:lineRule="exact"/>
        <w:rPr>
          <w:rFonts w:hint="default" w:ascii="Times New Roman" w:hAnsi="Times New Roman" w:cs="Times New Roman"/>
          <w:color w:val="auto"/>
          <w:highlight w:val="none"/>
        </w:rPr>
      </w:pPr>
      <w:bookmarkStart w:id="508" w:name="_Toc200162817"/>
      <w:bookmarkStart w:id="509" w:name="_Toc203373356"/>
      <w:bookmarkStart w:id="510" w:name="_Toc201330166"/>
      <w:bookmarkStart w:id="511" w:name="_Toc23376"/>
      <w:bookmarkStart w:id="512" w:name="_Toc57713694"/>
      <w:bookmarkStart w:id="513" w:name="_Toc203113623"/>
      <w:bookmarkStart w:id="514" w:name="_Toc486255104"/>
      <w:bookmarkStart w:id="515" w:name="_Toc200162120"/>
      <w:bookmarkStart w:id="516" w:name="_Toc225741625"/>
      <w:bookmarkStart w:id="517" w:name="_Toc200952548"/>
      <w:bookmarkStart w:id="518" w:name="_Toc204572395"/>
      <w:r>
        <w:rPr>
          <w:rFonts w:hint="default" w:ascii="Times New Roman" w:hAnsi="Times New Roman" w:cs="Times New Roman"/>
          <w:color w:val="auto"/>
          <w:highlight w:val="none"/>
        </w:rPr>
        <w:t>6.1.4固体废物污染防治措施</w:t>
      </w:r>
      <w:bookmarkEnd w:id="508"/>
      <w:bookmarkEnd w:id="509"/>
      <w:bookmarkEnd w:id="510"/>
      <w:bookmarkEnd w:id="511"/>
      <w:bookmarkEnd w:id="512"/>
      <w:bookmarkEnd w:id="513"/>
      <w:bookmarkEnd w:id="514"/>
      <w:bookmarkEnd w:id="515"/>
      <w:bookmarkEnd w:id="516"/>
      <w:bookmarkEnd w:id="517"/>
      <w:bookmarkEnd w:id="518"/>
    </w:p>
    <w:p w14:paraId="37E997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间在运输和转运各种建筑材料（如砂石、水泥、砖、木材等）时，将产生一定量建筑垃圾。废弃垃圾中钢筋、木材、废纸板等可以回收利用，混凝土块、砖瓦、弃渣等送至市政管理部门指定地点，多余土方除回填外平整场地外，挖方的表土用于场区绿化，无弃土产生。建筑垃圾严禁随意抛弃倾倒。</w:t>
      </w:r>
    </w:p>
    <w:p w14:paraId="1D9F123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施工生活区内设置垃圾箱（桶）内，施工人员的生活垃圾也及时收集到指定的由当地环卫部门统一及时清运处理。</w:t>
      </w:r>
    </w:p>
    <w:p w14:paraId="7D58C03B">
      <w:pPr>
        <w:pStyle w:val="5"/>
        <w:spacing w:line="500" w:lineRule="exact"/>
        <w:rPr>
          <w:rFonts w:hint="default" w:ascii="Times New Roman" w:hAnsi="Times New Roman" w:cs="Times New Roman"/>
          <w:color w:val="auto"/>
          <w:highlight w:val="none"/>
        </w:rPr>
      </w:pPr>
      <w:bookmarkStart w:id="519" w:name="_Toc225741626"/>
      <w:bookmarkStart w:id="520" w:name="_Toc203373357"/>
      <w:bookmarkStart w:id="521" w:name="_Toc201330167"/>
      <w:bookmarkStart w:id="522" w:name="_Toc203113624"/>
      <w:bookmarkStart w:id="523" w:name="_Toc200952549"/>
      <w:bookmarkStart w:id="524" w:name="_Toc486255105"/>
      <w:bookmarkStart w:id="525" w:name="_Toc200162818"/>
      <w:bookmarkStart w:id="526" w:name="_Toc204572396"/>
      <w:bookmarkStart w:id="527" w:name="_Toc200162121"/>
      <w:bookmarkStart w:id="528" w:name="_Toc57713695"/>
      <w:bookmarkStart w:id="529" w:name="_Toc22641"/>
      <w:r>
        <w:rPr>
          <w:rFonts w:hint="default" w:ascii="Times New Roman" w:hAnsi="Times New Roman" w:cs="Times New Roman"/>
          <w:color w:val="auto"/>
          <w:highlight w:val="none"/>
        </w:rPr>
        <w:t>6.1.5生态保护减缓措施</w:t>
      </w:r>
      <w:bookmarkEnd w:id="519"/>
      <w:bookmarkEnd w:id="520"/>
      <w:bookmarkEnd w:id="521"/>
      <w:bookmarkEnd w:id="522"/>
      <w:bookmarkEnd w:id="523"/>
      <w:bookmarkEnd w:id="524"/>
      <w:bookmarkEnd w:id="525"/>
      <w:bookmarkEnd w:id="526"/>
      <w:bookmarkEnd w:id="527"/>
      <w:bookmarkEnd w:id="528"/>
      <w:bookmarkEnd w:id="529"/>
    </w:p>
    <w:p w14:paraId="354541D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建设期的生态影响主要是土地平整及土方挖运施工导致的水土流失，工程应加强施工道路的路面建设，创造施工场地良好的排水条件，减少雨水冲刷和停留时间，从而达到减少水土流失的目的。</w:t>
      </w:r>
    </w:p>
    <w:p w14:paraId="302C9B5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（1）在有植被处施工时，将表土和深土分别堆放，施工后分层回填并恢复地貌。</w:t>
      </w:r>
    </w:p>
    <w:p w14:paraId="5228FCB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（2）在道路施工时，渣土应及时清运，完工后恢复道路两侧绿地。</w:t>
      </w:r>
    </w:p>
    <w:p w14:paraId="16557F7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（3）应注意选择施工季节，避免雨天施工，防止在暴雨期间造成大量水土流失。</w:t>
      </w:r>
    </w:p>
    <w:p w14:paraId="496D659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（4）施工时弃土尽量回用，直接送至填方处堆存，减少倒运次数，可减轻水土流失。施工结束后立即进行地表植被恢复，减少水土流失和扬尘污染。</w:t>
      </w:r>
    </w:p>
    <w:p w14:paraId="15498E2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施工期应把剥离的表层腐殖土集中妥善处理，并采取遮挡措施，对挖方进行妥善的临时堆置，并及时进行基坑开挖弃方的清运，避免随意排放，以确保挖填裸露堆土，不被雨水冲刷，避免造成水土流失，施工结束后，挖方回填，恢复地表植被。</w:t>
      </w:r>
    </w:p>
    <w:p w14:paraId="547EBB9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（6）加强对施工人员生态环境方面知识的教育，加强管理，增强对生态环境保护的意识和观念，并使施工人员变为自觉行为。</w:t>
      </w:r>
    </w:p>
    <w:p w14:paraId="55E12592">
      <w:pPr>
        <w:pStyle w:val="6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项目占地类型为</w:t>
      </w:r>
      <w:r>
        <w:rPr>
          <w:rFonts w:hint="default" w:ascii="Times New Roman" w:hAnsi="Times New Roman" w:eastAsia="宋体" w:cs="Times New Roman"/>
          <w:color w:val="auto"/>
          <w:highlight w:val="none"/>
          <w:lang w:val="en-US" w:eastAsia="zh-CN"/>
        </w:rPr>
        <w:t>一般草原</w:t>
      </w:r>
      <w:r>
        <w:rPr>
          <w:rFonts w:hint="default" w:ascii="Times New Roman" w:hAnsi="Times New Roman" w:eastAsia="宋体" w:cs="Times New Roman"/>
          <w:color w:val="auto"/>
          <w:highlight w:val="none"/>
        </w:rPr>
        <w:t>，西南侧为水田，西北侧为一般草原和农田，东南侧为水田，东北侧为一般草原，无国家和地方保护物种，运行期通过绿化工程等措施，将最大程度减缓对生态环境的影响。</w:t>
      </w:r>
    </w:p>
    <w:p w14:paraId="3456B166">
      <w:pPr>
        <w:pStyle w:val="4"/>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bookmarkStart w:id="530" w:name="_Toc457030059"/>
      <w:bookmarkStart w:id="531" w:name="_Toc477368693"/>
      <w:bookmarkStart w:id="532" w:name="_Toc57713696"/>
      <w:bookmarkStart w:id="533" w:name="_Toc8720"/>
      <w:r>
        <w:rPr>
          <w:rFonts w:hint="default" w:ascii="Times New Roman" w:hAnsi="Times New Roman" w:cs="Times New Roman"/>
          <w:color w:val="auto"/>
          <w:highlight w:val="none"/>
        </w:rPr>
        <w:t>6.2运行期污染防治措施</w:t>
      </w:r>
      <w:bookmarkEnd w:id="530"/>
      <w:r>
        <w:rPr>
          <w:rFonts w:hint="default" w:ascii="Times New Roman" w:hAnsi="Times New Roman" w:cs="Times New Roman"/>
          <w:color w:val="auto"/>
          <w:highlight w:val="none"/>
        </w:rPr>
        <w:t>及可行性论证</w:t>
      </w:r>
      <w:bookmarkEnd w:id="531"/>
      <w:bookmarkEnd w:id="532"/>
      <w:bookmarkEnd w:id="533"/>
    </w:p>
    <w:p w14:paraId="298255EF">
      <w:pPr>
        <w:pStyle w:val="5"/>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bookmarkStart w:id="534" w:name="_Toc57713697"/>
      <w:bookmarkStart w:id="535" w:name="_Toc15968"/>
      <w:r>
        <w:rPr>
          <w:rFonts w:hint="default" w:ascii="Times New Roman" w:hAnsi="Times New Roman" w:cs="Times New Roman"/>
          <w:color w:val="auto"/>
          <w:highlight w:val="none"/>
        </w:rPr>
        <w:t>6.2.1运行期废水污染防治措施及可行性论证</w:t>
      </w:r>
      <w:bookmarkEnd w:id="534"/>
      <w:bookmarkEnd w:id="535"/>
    </w:p>
    <w:p w14:paraId="558767E2">
      <w:pPr>
        <w:pStyle w:val="6"/>
        <w:pageBreakBefore w:val="0"/>
        <w:widowControl w:val="0"/>
        <w:kinsoku/>
        <w:wordWrap/>
        <w:overflowPunct/>
        <w:topLinePunct w:val="0"/>
        <w:autoSpaceDE/>
        <w:autoSpaceDN/>
        <w:bidi w:val="0"/>
        <w:adjustRightInd w:val="0"/>
        <w:snapToGrid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6.2.1.1废水处理措施可行性分析</w:t>
      </w:r>
    </w:p>
    <w:p w14:paraId="25DDDB96">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根据《畜禽养殖业污染治理工程技术规范》（HJ497-2009），畜禽养殖场应建立排 水系统，并实行雨污分流。选用粪污处理工艺时，应根据养殖场的养殖种类、养殖规模、粪污收集方式、当地的自然地理环境条件以及排水去向等因素确定工艺路线及处理目标，并应充分考虑畜禽养殖废水的特殊性，在实现综合利用或达标排放的情况下，优先 选择低运行成本的处理工艺。 </w:t>
      </w:r>
    </w:p>
    <w:p w14:paraId="313D85E7">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畜禽养殖场（户）粪污处理设施建设技术指南》（农办牧〔2022〕19号）：“固体粪污指畜禽养殖过程中产生的粪、尿、外漏饮水和冲洗水及少量散落饲料等组成的固态混合物。畜禽养殖场（户）可采用堆肥、沤肥、生产垫料等方式处理固体粪污。堆肥宜采用条垛式、强制通风静态垛、槽式、发酵仓、反应器或覆膜堆肥等好氧工艺，根据不同工艺配套必要的混合、输送、搅拌、供氧和除臭等设施设备。沤肥宜采用平地或半坑式糊泥静置等兼氧工艺。</w:t>
      </w:r>
    </w:p>
    <w:p w14:paraId="46B84138">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畜禽养殖场应根据养殖污染防治要求和当地环境承载力，配备与设计生产能力、粪 污处理利用方式相匹配的畜禽粪污处理设施设备，满足防雨、防渗、防溢流和安全防护要求，并确保正常运行。交由第三方处理机构处理畜禽粪污的，应按照转运时间间隔建设粪污暂存设施。畜禽养殖户应当采取措施，对畜禽粪污进行科学处理，防止污染环境。 </w:t>
      </w:r>
    </w:p>
    <w:p w14:paraId="78A5E922">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畜禽养殖场（户）宜采用干清粪、水泡粪、地面垫料、床（网）下垫料等清粪工艺，逐步淘汰水冲粪工艺，合理控制清粪环节用水量。新建养殖场采用干清粪工艺的，鼓励进行机械干清粪。”</w:t>
      </w:r>
    </w:p>
    <w:p w14:paraId="02D7E829">
      <w:pPr>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肉牛饲养过程中饮用水量较少，排放的尿液较少，并且牛粪较为干燥，尿液、粪便和垫床黏结混合在一起，因此，没有流动性尿液排放。肉牛育肥过程中产生的牛粪便和尿液落入牛舍内垫草垫料上，废垫床每个月清理更换一次，粪污采取人工清理+车辆转运的方式，</w:t>
      </w:r>
      <w:r>
        <w:rPr>
          <w:rFonts w:hint="default" w:ascii="Times New Roman" w:hAnsi="Times New Roman" w:eastAsia="宋体" w:cs="Times New Roman"/>
          <w:color w:val="auto"/>
          <w:kern w:val="0"/>
          <w:sz w:val="24"/>
          <w:szCs w:val="24"/>
          <w:highlight w:val="none"/>
          <w:lang w:val="en-US" w:eastAsia="zh-CN" w:bidi="ar"/>
        </w:rPr>
        <w:t>含有粪尿垫草垫料</w:t>
      </w:r>
      <w:r>
        <w:rPr>
          <w:rFonts w:hint="eastAsia" w:cs="Times New Roman"/>
          <w:color w:val="auto"/>
          <w:kern w:val="0"/>
          <w:sz w:val="24"/>
          <w:szCs w:val="24"/>
          <w:highlight w:val="none"/>
          <w:lang w:val="en-US" w:eastAsia="zh-CN" w:bidi="ar"/>
        </w:rPr>
        <w:t>送至堆肥间发酵</w:t>
      </w:r>
      <w:r>
        <w:rPr>
          <w:rFonts w:hint="default" w:ascii="Times New Roman" w:hAnsi="Times New Roman" w:eastAsia="宋体" w:cs="Times New Roman"/>
          <w:color w:val="auto"/>
          <w:highlight w:val="none"/>
          <w:lang w:val="en-US" w:eastAsia="zh-CN"/>
        </w:rPr>
        <w:t>制成</w:t>
      </w:r>
      <w:r>
        <w:rPr>
          <w:rFonts w:hint="eastAsia" w:eastAsia="宋体" w:cs="Times New Roman"/>
          <w:color w:val="auto"/>
          <w:highlight w:val="none"/>
          <w:lang w:val="en-US" w:eastAsia="zh-CN"/>
        </w:rPr>
        <w:t>固体粪肥</w:t>
      </w:r>
      <w:r>
        <w:rPr>
          <w:rFonts w:hint="default" w:ascii="Times New Roman" w:hAnsi="Times New Roman" w:eastAsia="宋体" w:cs="Times New Roman"/>
          <w:color w:val="auto"/>
          <w:highlight w:val="none"/>
          <w:lang w:val="en-US" w:eastAsia="zh-CN"/>
        </w:rPr>
        <w:t>，使用喷粪车作为肥料施用于配套消纳地进行施肥，非施肥季节储存于</w:t>
      </w:r>
      <w:r>
        <w:rPr>
          <w:rFonts w:hint="eastAsia" w:ascii="Times New Roman" w:hAnsi="Times New Roman"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sz w:val="24"/>
          <w:szCs w:val="24"/>
          <w:highlight w:val="none"/>
          <w:lang w:val="en-US" w:eastAsia="zh-CN"/>
        </w:rPr>
        <w:t xml:space="preserve">养殖区不采用水冲洗方式清理，养殖区不产生冲洗废水。 </w:t>
      </w:r>
    </w:p>
    <w:p w14:paraId="02BDFF3A">
      <w:pPr>
        <w:pStyle w:val="67"/>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sz w:val="24"/>
          <w:szCs w:val="24"/>
          <w:highlight w:val="none"/>
          <w:lang w:val="en-US" w:eastAsia="zh-CN"/>
        </w:rPr>
        <w:t>综上，本项目采取的地表水防治措施可行。</w:t>
      </w:r>
    </w:p>
    <w:p w14:paraId="56B48DEC">
      <w:pPr>
        <w:pStyle w:val="6"/>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6.2.</w:t>
      </w:r>
      <w:r>
        <w:rPr>
          <w:rFonts w:hint="default" w:ascii="Times New Roman" w:hAnsi="Times New Roman" w:cs="Times New Roman"/>
          <w:color w:val="auto"/>
          <w:highlight w:val="none"/>
          <w:lang w:val="en-US"/>
        </w:rPr>
        <w:t>1</w:t>
      </w:r>
      <w:r>
        <w:rPr>
          <w:rFonts w:hint="default" w:ascii="Times New Roman" w:hAnsi="Times New Roman" w:cs="Times New Roman"/>
          <w:color w:val="auto"/>
          <w:highlight w:val="none"/>
        </w:rPr>
        <w:t>.4粪污无害化处理有机肥料土地消纳可行性分析</w:t>
      </w:r>
    </w:p>
    <w:p w14:paraId="5E7124D3">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业污染防治技术规范》提出了原则性规定：畜禽养殖场的建设应坚持“农牧结合、种养平衡”的原则，根据本项目区域土地（包括与其他土地经营者签约承诺消纳本厂区产生粪便污水的土地）对畜禽粪便的消纳能力，确定新建畜禽养殖厂的养殖规模。对于无相应消纳土地的养殖厂，必须配套建立具有相应加工（处理）能力的粪便污水处理设施或处理（处置）机制。</w:t>
      </w:r>
    </w:p>
    <w:p w14:paraId="33667DA6">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根据《畜禽粪污土地承载力测算技术指南》（2018年1月）中对畜禽规模养殖场粪污消纳配套土地面积测算的公式及过程，最终得到粪污消纳配套土地面积的等式如下（以氮肥确定）：</w:t>
      </w:r>
    </w:p>
    <w:p w14:paraId="7E875BAA">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配套土地面积=（存栏量×氮排泄量×养分留存率×当季利用率）/（单位土地养分需求×施肥供给养分占比×粪肥占施肥比率）</w:t>
      </w:r>
    </w:p>
    <w:p w14:paraId="42EEAE03">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根据《畜禽粪污土地承载力测算技术指南》3.3猪当量（指用于衡量畜禽氮（磷）排泄量的度量单位）规定：1头猪为1个猪当量。1个猪当量的氮排泄量为11kg/a。按存栏量折算：100头猪相当于15头奶牛、30头肉牛、250只羊、2500只家禽。生猪、奶牛、肉牛固体粪便中氮素占氮排泄总量的50%。因此，本项目粪尿中氮排泄量为</w:t>
      </w:r>
      <w:r>
        <w:rPr>
          <w:rFonts w:hint="eastAsia" w:eastAsia="宋体" w:cs="Times New Roman"/>
          <w:color w:val="auto"/>
          <w:highlight w:val="none"/>
          <w:lang w:val="en-US" w:eastAsia="zh-CN"/>
        </w:rPr>
        <w:t>5.5</w:t>
      </w:r>
      <w:r>
        <w:rPr>
          <w:rFonts w:hint="default" w:ascii="Times New Roman" w:hAnsi="Times New Roman" w:eastAsia="宋体" w:cs="Times New Roman"/>
          <w:color w:val="auto"/>
          <w:highlight w:val="none"/>
        </w:rPr>
        <w:t>kg/a。本项目达产后全厂存栏肉牛</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头，经折算相当于</w:t>
      </w:r>
      <w:r>
        <w:rPr>
          <w:rFonts w:hint="default" w:ascii="Times New Roman" w:hAnsi="Times New Roman" w:eastAsia="宋体" w:cs="Times New Roman"/>
          <w:color w:val="auto"/>
          <w:highlight w:val="none"/>
          <w:lang w:val="en-US" w:eastAsia="zh-CN"/>
        </w:rPr>
        <w:t>约</w:t>
      </w:r>
      <w:r>
        <w:rPr>
          <w:rFonts w:hint="eastAsia" w:eastAsia="宋体" w:cs="Times New Roman"/>
          <w:color w:val="auto"/>
          <w:highlight w:val="none"/>
          <w:lang w:val="en-US" w:eastAsia="zh-CN"/>
        </w:rPr>
        <w:t>20000</w:t>
      </w:r>
      <w:r>
        <w:rPr>
          <w:rFonts w:hint="default" w:ascii="Times New Roman" w:hAnsi="Times New Roman" w:eastAsia="宋体" w:cs="Times New Roman"/>
          <w:color w:val="auto"/>
          <w:highlight w:val="none"/>
        </w:rPr>
        <w:t>头猪；</w:t>
      </w:r>
    </w:p>
    <w:p w14:paraId="2191B742">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氮排泄量，5.5kg/头；</w:t>
      </w:r>
    </w:p>
    <w:p w14:paraId="71022732">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养分留存率，推荐值为65%；</w:t>
      </w:r>
    </w:p>
    <w:p w14:paraId="3177A11B">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当季利用率，取推荐值25%；</w:t>
      </w:r>
    </w:p>
    <w:p w14:paraId="5B67C9C3">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单位土地养分需求根据当地实际作物种类，玉米；目标产量，6t/hm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；玉米形成100kg产量需要吸收氮量推荐值，2.3kg。计算得到单位土地养分需求为138kg/hm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14:paraId="684CAA46">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施肥供给养分占比，东北地区黑土地平均土壤全氮含量2.6g/kg，旱地种植大田作物时，全氮含量大于1.0g/kg土壤氮养分分级属于I级，施肥供给养分占比取值35%；</w:t>
      </w:r>
    </w:p>
    <w:p w14:paraId="66B173EE">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粪肥占施肥比率，取75%。</w:t>
      </w:r>
    </w:p>
    <w:p w14:paraId="0D1449E9">
      <w:pPr>
        <w:pStyle w:val="67"/>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计算得到，配套土地面积为</w:t>
      </w:r>
      <w:r>
        <w:rPr>
          <w:rFonts w:hint="eastAsia" w:eastAsia="宋体" w:cs="Times New Roman"/>
          <w:color w:val="auto"/>
          <w:highlight w:val="none"/>
          <w:lang w:val="en-US" w:eastAsia="zh-CN"/>
        </w:rPr>
        <w:t>493.44</w:t>
      </w:r>
      <w:r>
        <w:rPr>
          <w:rFonts w:hint="default" w:ascii="Times New Roman" w:hAnsi="Times New Roman" w:eastAsia="宋体" w:cs="Times New Roman"/>
          <w:color w:val="auto"/>
          <w:highlight w:val="none"/>
        </w:rPr>
        <w:t>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，折合</w:t>
      </w:r>
      <w:r>
        <w:rPr>
          <w:rFonts w:hint="eastAsia" w:eastAsia="宋体" w:cs="Times New Roman"/>
          <w:color w:val="auto"/>
          <w:highlight w:val="none"/>
          <w:lang w:val="en-US" w:eastAsia="zh-CN"/>
        </w:rPr>
        <w:t>7401.66</w:t>
      </w:r>
      <w:r>
        <w:rPr>
          <w:rFonts w:hint="default" w:ascii="Times New Roman" w:hAnsi="Times New Roman" w:eastAsia="宋体" w:cs="Times New Roman"/>
          <w:color w:val="auto"/>
          <w:highlight w:val="none"/>
        </w:rPr>
        <w:t>亩。</w:t>
      </w:r>
    </w:p>
    <w:p w14:paraId="0287B7CF">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kern w:val="0"/>
          <w:highlight w:val="none"/>
        </w:rPr>
        <w:t>因此</w:t>
      </w:r>
      <w:r>
        <w:rPr>
          <w:rFonts w:hint="default" w:ascii="Times New Roman" w:hAnsi="Times New Roman" w:eastAsia="宋体" w:cs="Times New Roman"/>
          <w:color w:val="auto"/>
          <w:kern w:val="0"/>
          <w:highlight w:val="none"/>
          <w:lang w:val="en-GB"/>
        </w:rPr>
        <w:t>，从</w:t>
      </w:r>
      <w:r>
        <w:rPr>
          <w:rFonts w:hint="default" w:ascii="Times New Roman" w:hAnsi="Times New Roman" w:eastAsia="宋体" w:cs="Times New Roman"/>
          <w:color w:val="auto"/>
          <w:highlight w:val="none"/>
        </w:rPr>
        <w:t>畜禽粪污土地承载力分析本项目需要配套施肥土地</w:t>
      </w:r>
      <w:r>
        <w:rPr>
          <w:rFonts w:hint="eastAsia" w:eastAsia="宋体" w:cs="Times New Roman"/>
          <w:color w:val="auto"/>
          <w:highlight w:val="none"/>
          <w:lang w:val="en-US" w:eastAsia="zh-CN"/>
        </w:rPr>
        <w:t>7401.66亩</w:t>
      </w:r>
      <w:r>
        <w:rPr>
          <w:rFonts w:hint="default" w:ascii="Times New Roman" w:hAnsi="Times New Roman" w:eastAsia="宋体" w:cs="Times New Roman"/>
          <w:color w:val="auto"/>
          <w:highlight w:val="none"/>
        </w:rPr>
        <w:t>，建设单位已</w:t>
      </w:r>
      <w:r>
        <w:rPr>
          <w:rFonts w:hint="default" w:ascii="Times New Roman" w:hAnsi="Times New Roman" w:eastAsia="宋体" w:cs="Times New Roman"/>
          <w:color w:val="auto"/>
          <w:highlight w:val="none"/>
          <w:lang w:val="en-US" w:eastAsia="zh-CN"/>
        </w:rPr>
        <w:t>与</w:t>
      </w:r>
      <w:r>
        <w:rPr>
          <w:rFonts w:hint="default" w:ascii="Times New Roman" w:hAnsi="Times New Roman" w:eastAsia="宋体" w:cs="Times New Roman"/>
          <w:color w:val="auto"/>
          <w:highlight w:val="none"/>
          <w:lang w:val="en-GB" w:eastAsia="zh-CN"/>
        </w:rPr>
        <w:t>孙吴县建设现代农机专业合作社</w:t>
      </w:r>
      <w:r>
        <w:rPr>
          <w:rFonts w:hint="default" w:ascii="Times New Roman" w:hAnsi="Times New Roman" w:eastAsia="宋体" w:cs="Times New Roman"/>
          <w:color w:val="auto"/>
          <w:highlight w:val="none"/>
          <w:lang w:val="en-US" w:eastAsia="zh-CN"/>
        </w:rPr>
        <w:t>签订协议</w:t>
      </w:r>
      <w:r>
        <w:rPr>
          <w:rFonts w:hint="default" w:ascii="Times New Roman" w:hAnsi="Times New Roman" w:eastAsia="宋体" w:cs="Times New Roman"/>
          <w:color w:val="auto"/>
          <w:highlight w:val="none"/>
        </w:rPr>
        <w:t>（见附件</w:t>
      </w:r>
      <w:r>
        <w:rPr>
          <w:rFonts w:hint="eastAsia" w:eastAsia="宋体" w:cs="Times New Roman"/>
          <w:color w:val="auto"/>
          <w:highlight w:val="none"/>
          <w:lang w:val="en-US" w:eastAsia="zh-CN"/>
        </w:rPr>
        <w:t>4</w:t>
      </w:r>
      <w:r>
        <w:rPr>
          <w:rFonts w:hint="default" w:ascii="Times New Roman" w:hAnsi="Times New Roman" w:eastAsia="宋体" w:cs="Times New Roman"/>
          <w:color w:val="auto"/>
          <w:highlight w:val="none"/>
        </w:rPr>
        <w:t>），提供</w:t>
      </w:r>
      <w:r>
        <w:rPr>
          <w:rFonts w:hint="default" w:ascii="Times New Roman" w:hAnsi="Times New Roman" w:eastAsia="宋体" w:cs="Times New Roman"/>
          <w:color w:val="auto"/>
          <w:highlight w:val="none"/>
          <w:lang w:val="en-US" w:eastAsia="zh-CN"/>
        </w:rPr>
        <w:t>1</w:t>
      </w:r>
      <w:r>
        <w:rPr>
          <w:rFonts w:hint="eastAsia"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亩土地供本项目还田使用，满足配套土地需求。</w:t>
      </w:r>
    </w:p>
    <w:p w14:paraId="1A43BC9D">
      <w:pPr>
        <w:pStyle w:val="6"/>
        <w:rPr>
          <w:rFonts w:hint="default" w:ascii="Times New Roman" w:hAnsi="Times New Roman" w:cs="Times New Roman"/>
          <w:color w:val="auto"/>
          <w:highlight w:val="none"/>
          <w:lang w:val="en-GB"/>
        </w:rPr>
      </w:pPr>
      <w:r>
        <w:rPr>
          <w:rFonts w:hint="default" w:ascii="Times New Roman" w:hAnsi="Times New Roman" w:cs="Times New Roman"/>
          <w:color w:val="auto"/>
          <w:highlight w:val="none"/>
          <w:lang w:val="en-GB"/>
        </w:rPr>
        <w:t>6.1.2.6运输路线可行性</w:t>
      </w:r>
    </w:p>
    <w:p w14:paraId="74DFD6DD">
      <w:pPr>
        <w:pStyle w:val="67"/>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本项目</w:t>
      </w:r>
      <w:r>
        <w:rPr>
          <w:rFonts w:hint="default"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lang w:val="en-GB"/>
        </w:rPr>
        <w:t>租用罐车拉运</w:t>
      </w:r>
      <w:r>
        <w:rPr>
          <w:rFonts w:hint="eastAsia" w:eastAsia="宋体" w:cs="Times New Roman"/>
          <w:color w:val="auto"/>
          <w:highlight w:val="none"/>
          <w:lang w:val="en-US" w:eastAsia="zh-CN"/>
        </w:rPr>
        <w:t>发酵后的固体粪肥</w:t>
      </w:r>
      <w:r>
        <w:rPr>
          <w:rFonts w:hint="default" w:ascii="Times New Roman" w:hAnsi="Times New Roman" w:eastAsia="宋体" w:cs="Times New Roman"/>
          <w:color w:val="auto"/>
          <w:highlight w:val="none"/>
          <w:lang w:val="en-GB"/>
        </w:rPr>
        <w:t>至田间地头，均利用原有乡村道路，发生翻车事故导致废水散逸的可能性很小。本项目提出在天气状况不良的情况下，禁止运输车进入道路，对相关人员进行培训，同时要对运输车辆进行车况安全检查，对有安全隐患的车辆在未排除隐患前不许参与运输。在采取了以上保护措施后，本项目运输线路是可行的。</w:t>
      </w:r>
    </w:p>
    <w:p w14:paraId="2298C7B9">
      <w:pPr>
        <w:pStyle w:val="5"/>
        <w:spacing w:line="500" w:lineRule="exact"/>
        <w:rPr>
          <w:rFonts w:hint="default" w:ascii="Times New Roman" w:hAnsi="Times New Roman" w:cs="Times New Roman"/>
          <w:color w:val="auto"/>
          <w:highlight w:val="none"/>
        </w:rPr>
      </w:pPr>
      <w:bookmarkStart w:id="536" w:name="_Toc2396"/>
      <w:bookmarkStart w:id="537" w:name="_Toc57713698"/>
      <w:r>
        <w:rPr>
          <w:rFonts w:hint="default" w:ascii="Times New Roman" w:hAnsi="Times New Roman" w:cs="Times New Roman"/>
          <w:color w:val="auto"/>
          <w:highlight w:val="none"/>
        </w:rPr>
        <w:t>6.2.2运行期地下水污染防治措施及可行性论证</w:t>
      </w:r>
      <w:bookmarkEnd w:id="536"/>
      <w:bookmarkEnd w:id="537"/>
    </w:p>
    <w:p w14:paraId="68DEC103">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6.2.2.1地下水污染防治原则</w:t>
      </w:r>
    </w:p>
    <w:p w14:paraId="164876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按地下水环境影响评价导则提出的“</w:t>
      </w:r>
      <w:r>
        <w:rPr>
          <w:rFonts w:hint="eastAsia" w:ascii="Times New Roman" w:hAnsi="Times New Roman" w:eastAsia="宋体" w:cs="Times New Roman"/>
          <w:color w:val="auto"/>
          <w:highlight w:val="none"/>
          <w:lang w:val="en-US" w:eastAsia="zh-CN"/>
        </w:rPr>
        <w:t>源头控制、分区防控、污染监控、应急响应</w:t>
      </w:r>
      <w:r>
        <w:rPr>
          <w:rFonts w:hint="default" w:ascii="Times New Roman" w:hAnsi="Times New Roman" w:eastAsia="宋体" w:cs="Times New Roman"/>
          <w:color w:val="auto"/>
          <w:highlight w:val="none"/>
        </w:rPr>
        <w:t>”的地下水污染防治要求，结合本项目工程类型及污染源分布，提出以下防治原则：</w:t>
      </w:r>
    </w:p>
    <w:p w14:paraId="18681756">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源头严控，减少污染物下渗优先从产污、集污环节实施污染源头管控，优化生产运营管理模式，规范粪污收集、转运、暂存及渗滤液收集流程，最大限度减少污废水无组织散落、漫流现象；强化涉污构筑物施工质量管控，从工程建设层面降低防渗破损、污水泄漏概率，从根源削减污染物进入包气带及地下水环境的污染通量。</w:t>
      </w:r>
    </w:p>
    <w:p w14:paraId="509D19D3">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分区设防，精准落实防渗等级依据项目场地水文地质条件、地下水敏感程度、各功能区产污强度与污染风险等级，划分重点防渗区、一般防渗区、简单防渗区，实行差异化分区防渗管控。对储粪间、渗滤液收集池、污水管网、粪污堆放区等高污染风险区域执行重点防渗标准；对办公区、道路、绿化区等低风险区域落实常规防渗措施，做到分区明确、防渗达标、防控精准。</w:t>
      </w:r>
    </w:p>
    <w:p w14:paraId="5A272814">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动态监测，建立长效监控体系按照导则及行业规范布设地下水水质、水位跟踪监测井，制定常态化地下水监测计划，明确监测点位、监测因子、监测频次与监测指标；定期开展地下水环境现状监测与数据分析，实时掌握项目周边地下水水质变化趋势，及时发现隐性渗漏污染迹象，实现地下水污染早发现、早预警。</w:t>
      </w:r>
    </w:p>
    <w:p w14:paraId="2A9E5FE6">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应急响应，健全污染处置机制编制完善地下水污染环境风险应急预案，明确非正常工况下防渗破损、污水泄漏等突发污染事件处置流程、责任分工及应急处置措施；储备应急防渗、导流、截污、吸附处置物资，一旦发生污水泄漏入渗地下水情况，第一时间启动应急响应，采取截断污染源、水力截获、污染水体抽排治理等措施，快速阻断污染羽扩散范围，最大限度降低突发泄漏对区域地下水环境造成的不利影响。</w:t>
      </w:r>
    </w:p>
    <w:p w14:paraId="5B138F6E">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统筹回用，降低外排污染风险结合项目自身粪污资源化利用工艺，场内产生渗滤液、养殖废水优先场内综合回用，实现污废水闭路循环利用，减少废水贮存滞留时长与泄漏隐患，兼顾地下水环境保护与项目资源化利用需求。</w:t>
      </w:r>
    </w:p>
    <w:p w14:paraId="0F7362A3">
      <w:pPr>
        <w:pStyle w:val="67"/>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6</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日常运维，保障防控措施长效稳定建立构筑物防渗设施定期巡检、维护、检修制度，定期排查地下管线、防渗层、收集池完好情况，及时修复破损部位；加强从业人员环保及地下水保护培训，规范日常生产操作行为，确保各项地下水污染防治措施长期稳定有效运行。</w:t>
      </w:r>
    </w:p>
    <w:p w14:paraId="0A4BF077">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6.2.2.2地下水污染分区染防治措施</w:t>
      </w:r>
    </w:p>
    <w:p w14:paraId="43A09A05">
      <w:pPr>
        <w:pStyle w:val="67"/>
        <w:ind w:firstLine="480"/>
        <w:rPr>
          <w:rFonts w:hint="default" w:ascii="Times New Roman" w:hAnsi="Times New Roman" w:eastAsia="宋体" w:cs="Times New Roman"/>
          <w:color w:val="auto"/>
          <w:highlight w:val="none"/>
        </w:rPr>
      </w:pPr>
      <w:bookmarkStart w:id="538" w:name="_Hlk44603579"/>
      <w:r>
        <w:rPr>
          <w:rFonts w:hint="default" w:ascii="Times New Roman" w:hAnsi="Times New Roman" w:eastAsia="宋体" w:cs="Times New Roman"/>
          <w:color w:val="auto"/>
          <w:highlight w:val="none"/>
        </w:rPr>
        <w:t>为了进一步保护地下水资源，本工程采取以下防渗处理措施：</w:t>
      </w:r>
    </w:p>
    <w:bookmarkEnd w:id="538"/>
    <w:p w14:paraId="233DD85C">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堆肥间按重点防渗区采取防渗措施；牛舍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highlight w:val="none"/>
        </w:rPr>
        <w:t>采取一般防渗措施；办公室等其他建筑物、厂内道路采取简单防渗，对其地面采用混凝土进行一般地面硬化。</w:t>
      </w:r>
    </w:p>
    <w:p w14:paraId="017D897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本项目对地下水的主要污染途径为液体渗透，在认真采取以上措施的基础上，一旦发生水泥硬化层发生断裂，将由于防渗层的保护作用，尿液积聚在各储尿区，不会对地下水源造成影响。</w:t>
      </w:r>
    </w:p>
    <w:p w14:paraId="32C468C0">
      <w:pPr>
        <w:pStyle w:val="67"/>
        <w:keepNext w:val="0"/>
        <w:keepLines w:val="0"/>
        <w:pageBreakBefore w:val="0"/>
        <w:widowControl w:val="0"/>
        <w:kinsoku/>
        <w:wordWrap/>
        <w:overflowPunct w:val="0"/>
        <w:topLinePunct/>
        <w:autoSpaceDE w:val="0"/>
        <w:autoSpaceDN/>
        <w:bidi w:val="0"/>
        <w:adjustRightInd w:val="0"/>
        <w:snapToGrid w:val="0"/>
        <w:ind w:firstLine="480"/>
        <w:textAlignment w:val="auto"/>
        <w:rPr>
          <w:rFonts w:hint="default" w:ascii="Times New Roman" w:hAnsi="Times New Roman" w:eastAsia="宋体" w:cs="Times New Roman"/>
          <w:color w:val="auto"/>
          <w:szCs w:val="24"/>
          <w:highlight w:val="none"/>
        </w:rPr>
      </w:pPr>
      <w:bookmarkStart w:id="539" w:name="_Hlk44603600"/>
      <w:r>
        <w:rPr>
          <w:rFonts w:hint="default" w:ascii="Times New Roman" w:hAnsi="Times New Roman" w:eastAsia="宋体" w:cs="Times New Roman"/>
          <w:color w:val="auto"/>
          <w:szCs w:val="24"/>
          <w:highlight w:val="none"/>
        </w:rPr>
        <w:t>本项目地下水防渗分区参照表6-2-</w:t>
      </w:r>
      <w:r>
        <w:rPr>
          <w:rFonts w:hint="eastAsia"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，本项目地下水防渗分区情况见表6-2-</w:t>
      </w:r>
      <w:r>
        <w:rPr>
          <w:rFonts w:hint="eastAsia"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w:t>
      </w:r>
    </w:p>
    <w:p w14:paraId="344FA47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表6-2-</w:t>
      </w:r>
      <w:r>
        <w:rPr>
          <w:rFonts w:hint="eastAsia" w:cs="Times New Roman"/>
          <w:color w:val="auto"/>
          <w:highlight w:val="none"/>
          <w:lang w:val="en-US" w:eastAsia="zh-CN"/>
        </w:rPr>
        <w:t>1</w:t>
      </w:r>
      <w:r>
        <w:rPr>
          <w:rFonts w:hint="default" w:ascii="Times New Roman" w:hAnsi="Times New Roman" w:cs="Times New Roman"/>
          <w:color w:val="auto"/>
          <w:highlight w:val="none"/>
        </w:rPr>
        <w:t>地下水防渗分区参照表</w:t>
      </w:r>
    </w:p>
    <w:tbl>
      <w:tblPr>
        <w:tblStyle w:val="47"/>
        <w:tblW w:w="83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445"/>
        <w:gridCol w:w="1222"/>
        <w:gridCol w:w="1842"/>
        <w:gridCol w:w="2357"/>
      </w:tblGrid>
      <w:tr w14:paraId="2A456A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shd w:val="clear" w:color="auto" w:fill="auto"/>
            <w:vAlign w:val="center"/>
          </w:tcPr>
          <w:p w14:paraId="1167DE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防渗分区</w:t>
            </w:r>
          </w:p>
        </w:tc>
        <w:tc>
          <w:tcPr>
            <w:tcW w:w="1445" w:type="dxa"/>
            <w:shd w:val="clear" w:color="auto" w:fill="auto"/>
            <w:vAlign w:val="center"/>
          </w:tcPr>
          <w:p w14:paraId="19E80E6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天然包气带防污性能</w:t>
            </w:r>
          </w:p>
        </w:tc>
        <w:tc>
          <w:tcPr>
            <w:tcW w:w="1222" w:type="dxa"/>
            <w:shd w:val="clear" w:color="auto" w:fill="auto"/>
            <w:vAlign w:val="center"/>
          </w:tcPr>
          <w:p w14:paraId="46D139C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污染控制难易程度</w:t>
            </w:r>
          </w:p>
        </w:tc>
        <w:tc>
          <w:tcPr>
            <w:tcW w:w="1842" w:type="dxa"/>
            <w:shd w:val="clear" w:color="auto" w:fill="auto"/>
            <w:vAlign w:val="center"/>
          </w:tcPr>
          <w:p w14:paraId="0733953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污染物类型</w:t>
            </w:r>
          </w:p>
        </w:tc>
        <w:tc>
          <w:tcPr>
            <w:tcW w:w="2357" w:type="dxa"/>
            <w:vAlign w:val="center"/>
          </w:tcPr>
          <w:p w14:paraId="4DEE4D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防渗要求</w:t>
            </w:r>
          </w:p>
        </w:tc>
      </w:tr>
      <w:tr w14:paraId="0A15A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restart"/>
            <w:shd w:val="clear" w:color="auto" w:fill="auto"/>
            <w:vAlign w:val="center"/>
          </w:tcPr>
          <w:p w14:paraId="28716E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重点防渗区</w:t>
            </w:r>
          </w:p>
        </w:tc>
        <w:tc>
          <w:tcPr>
            <w:tcW w:w="1445" w:type="dxa"/>
            <w:shd w:val="clear" w:color="auto" w:fill="auto"/>
            <w:vAlign w:val="center"/>
          </w:tcPr>
          <w:p w14:paraId="5C6F3A8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弱</w:t>
            </w:r>
          </w:p>
        </w:tc>
        <w:tc>
          <w:tcPr>
            <w:tcW w:w="1222" w:type="dxa"/>
            <w:shd w:val="clear" w:color="auto" w:fill="auto"/>
            <w:vAlign w:val="center"/>
          </w:tcPr>
          <w:p w14:paraId="084997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难</w:t>
            </w:r>
          </w:p>
        </w:tc>
        <w:tc>
          <w:tcPr>
            <w:tcW w:w="1842" w:type="dxa"/>
            <w:vMerge w:val="restart"/>
            <w:shd w:val="clear" w:color="auto" w:fill="auto"/>
            <w:vAlign w:val="center"/>
          </w:tcPr>
          <w:p w14:paraId="7042CC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重金属、持久性有机物污染物</w:t>
            </w:r>
          </w:p>
        </w:tc>
        <w:tc>
          <w:tcPr>
            <w:tcW w:w="2357" w:type="dxa"/>
            <w:vMerge w:val="restart"/>
            <w:vAlign w:val="center"/>
          </w:tcPr>
          <w:p w14:paraId="1F61B6C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p>
        </w:tc>
      </w:tr>
      <w:tr w14:paraId="6C446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continue"/>
            <w:shd w:val="clear" w:color="auto" w:fill="auto"/>
            <w:vAlign w:val="center"/>
          </w:tcPr>
          <w:p w14:paraId="2618B64C">
            <w:pPr>
              <w:pStyle w:val="146"/>
              <w:rPr>
                <w:rFonts w:hint="default" w:ascii="Times New Roman" w:hAnsi="Times New Roman" w:eastAsia="宋体" w:cs="Times New Roman"/>
                <w:color w:val="auto"/>
                <w:highlight w:val="none"/>
              </w:rPr>
            </w:pPr>
          </w:p>
        </w:tc>
        <w:tc>
          <w:tcPr>
            <w:tcW w:w="1445" w:type="dxa"/>
            <w:shd w:val="clear" w:color="auto" w:fill="auto"/>
            <w:vAlign w:val="center"/>
          </w:tcPr>
          <w:p w14:paraId="035B4F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中—强</w:t>
            </w:r>
          </w:p>
        </w:tc>
        <w:tc>
          <w:tcPr>
            <w:tcW w:w="1222" w:type="dxa"/>
            <w:shd w:val="clear" w:color="auto" w:fill="auto"/>
            <w:vAlign w:val="center"/>
          </w:tcPr>
          <w:p w14:paraId="341F08C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难</w:t>
            </w:r>
          </w:p>
        </w:tc>
        <w:tc>
          <w:tcPr>
            <w:tcW w:w="1842" w:type="dxa"/>
            <w:vMerge w:val="continue"/>
            <w:shd w:val="clear" w:color="auto" w:fill="auto"/>
            <w:vAlign w:val="center"/>
          </w:tcPr>
          <w:p w14:paraId="1D008F89">
            <w:pPr>
              <w:pStyle w:val="146"/>
              <w:rPr>
                <w:rFonts w:hint="default" w:ascii="Times New Roman" w:hAnsi="Times New Roman" w:eastAsia="宋体" w:cs="Times New Roman"/>
                <w:color w:val="auto"/>
                <w:highlight w:val="none"/>
              </w:rPr>
            </w:pPr>
          </w:p>
        </w:tc>
        <w:tc>
          <w:tcPr>
            <w:tcW w:w="2357" w:type="dxa"/>
            <w:vMerge w:val="continue"/>
            <w:vAlign w:val="center"/>
          </w:tcPr>
          <w:p w14:paraId="3B508B10">
            <w:pPr>
              <w:pStyle w:val="146"/>
              <w:rPr>
                <w:rFonts w:hint="default" w:ascii="Times New Roman" w:hAnsi="Times New Roman" w:eastAsia="宋体" w:cs="Times New Roman"/>
                <w:color w:val="auto"/>
                <w:highlight w:val="none"/>
              </w:rPr>
            </w:pPr>
          </w:p>
        </w:tc>
      </w:tr>
      <w:tr w14:paraId="0F43D3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continue"/>
            <w:shd w:val="clear" w:color="auto" w:fill="auto"/>
            <w:vAlign w:val="center"/>
          </w:tcPr>
          <w:p w14:paraId="79C03FCC">
            <w:pPr>
              <w:pStyle w:val="146"/>
              <w:rPr>
                <w:rFonts w:hint="default" w:ascii="Times New Roman" w:hAnsi="Times New Roman" w:eastAsia="宋体" w:cs="Times New Roman"/>
                <w:color w:val="auto"/>
                <w:highlight w:val="none"/>
              </w:rPr>
            </w:pPr>
          </w:p>
        </w:tc>
        <w:tc>
          <w:tcPr>
            <w:tcW w:w="1445" w:type="dxa"/>
            <w:shd w:val="clear" w:color="auto" w:fill="auto"/>
            <w:vAlign w:val="center"/>
          </w:tcPr>
          <w:p w14:paraId="2E63EF7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中—强</w:t>
            </w:r>
          </w:p>
        </w:tc>
        <w:tc>
          <w:tcPr>
            <w:tcW w:w="1222" w:type="dxa"/>
            <w:shd w:val="clear" w:color="auto" w:fill="auto"/>
            <w:vAlign w:val="center"/>
          </w:tcPr>
          <w:p w14:paraId="4A0A8F7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易</w:t>
            </w:r>
          </w:p>
        </w:tc>
        <w:tc>
          <w:tcPr>
            <w:tcW w:w="1842" w:type="dxa"/>
            <w:vMerge w:val="continue"/>
            <w:shd w:val="clear" w:color="auto" w:fill="auto"/>
            <w:vAlign w:val="center"/>
          </w:tcPr>
          <w:p w14:paraId="692FCEE2">
            <w:pPr>
              <w:pStyle w:val="146"/>
              <w:rPr>
                <w:rFonts w:hint="default" w:ascii="Times New Roman" w:hAnsi="Times New Roman" w:eastAsia="宋体" w:cs="Times New Roman"/>
                <w:color w:val="auto"/>
                <w:highlight w:val="none"/>
              </w:rPr>
            </w:pPr>
          </w:p>
        </w:tc>
        <w:tc>
          <w:tcPr>
            <w:tcW w:w="2357" w:type="dxa"/>
            <w:vMerge w:val="continue"/>
            <w:vAlign w:val="center"/>
          </w:tcPr>
          <w:p w14:paraId="6CB7F738">
            <w:pPr>
              <w:pStyle w:val="146"/>
              <w:rPr>
                <w:rFonts w:hint="default" w:ascii="Times New Roman" w:hAnsi="Times New Roman" w:eastAsia="宋体" w:cs="Times New Roman"/>
                <w:color w:val="auto"/>
                <w:highlight w:val="none"/>
              </w:rPr>
            </w:pPr>
          </w:p>
        </w:tc>
      </w:tr>
      <w:tr w14:paraId="696ED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restart"/>
            <w:shd w:val="clear" w:color="auto" w:fill="auto"/>
            <w:vAlign w:val="center"/>
          </w:tcPr>
          <w:p w14:paraId="5318096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一般防渗区</w:t>
            </w:r>
          </w:p>
        </w:tc>
        <w:tc>
          <w:tcPr>
            <w:tcW w:w="1445" w:type="dxa"/>
            <w:shd w:val="clear" w:color="auto" w:fill="auto"/>
            <w:vAlign w:val="center"/>
          </w:tcPr>
          <w:p w14:paraId="04AAD92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弱</w:t>
            </w:r>
          </w:p>
        </w:tc>
        <w:tc>
          <w:tcPr>
            <w:tcW w:w="1222" w:type="dxa"/>
            <w:shd w:val="clear" w:color="auto" w:fill="auto"/>
            <w:vAlign w:val="center"/>
          </w:tcPr>
          <w:p w14:paraId="3524D00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易—难</w:t>
            </w:r>
          </w:p>
        </w:tc>
        <w:tc>
          <w:tcPr>
            <w:tcW w:w="1842" w:type="dxa"/>
            <w:vMerge w:val="restart"/>
            <w:shd w:val="clear" w:color="auto" w:fill="auto"/>
            <w:vAlign w:val="center"/>
          </w:tcPr>
          <w:p w14:paraId="170D20F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其他类型</w:t>
            </w:r>
          </w:p>
        </w:tc>
        <w:tc>
          <w:tcPr>
            <w:tcW w:w="2357" w:type="dxa"/>
            <w:vMerge w:val="restart"/>
            <w:vAlign w:val="center"/>
          </w:tcPr>
          <w:p w14:paraId="1B4811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tc>
      </w:tr>
      <w:tr w14:paraId="013F7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continue"/>
            <w:shd w:val="clear" w:color="auto" w:fill="auto"/>
            <w:vAlign w:val="center"/>
          </w:tcPr>
          <w:p w14:paraId="1B2A83D4">
            <w:pPr>
              <w:pStyle w:val="146"/>
              <w:rPr>
                <w:rFonts w:hint="default" w:ascii="Times New Roman" w:hAnsi="Times New Roman" w:eastAsia="宋体" w:cs="Times New Roman"/>
                <w:color w:val="auto"/>
                <w:highlight w:val="none"/>
              </w:rPr>
            </w:pPr>
          </w:p>
        </w:tc>
        <w:tc>
          <w:tcPr>
            <w:tcW w:w="1445" w:type="dxa"/>
            <w:shd w:val="clear" w:color="auto" w:fill="auto"/>
            <w:vAlign w:val="center"/>
          </w:tcPr>
          <w:p w14:paraId="39260D4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中—强</w:t>
            </w:r>
          </w:p>
        </w:tc>
        <w:tc>
          <w:tcPr>
            <w:tcW w:w="1222" w:type="dxa"/>
            <w:shd w:val="clear" w:color="auto" w:fill="auto"/>
            <w:vAlign w:val="center"/>
          </w:tcPr>
          <w:p w14:paraId="02F7EAB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难</w:t>
            </w:r>
          </w:p>
        </w:tc>
        <w:tc>
          <w:tcPr>
            <w:tcW w:w="1842" w:type="dxa"/>
            <w:vMerge w:val="continue"/>
            <w:shd w:val="clear" w:color="auto" w:fill="auto"/>
            <w:vAlign w:val="center"/>
          </w:tcPr>
          <w:p w14:paraId="512A3407">
            <w:pPr>
              <w:pStyle w:val="146"/>
              <w:rPr>
                <w:rFonts w:hint="default" w:ascii="Times New Roman" w:hAnsi="Times New Roman" w:eastAsia="宋体" w:cs="Times New Roman"/>
                <w:color w:val="auto"/>
                <w:highlight w:val="none"/>
              </w:rPr>
            </w:pPr>
          </w:p>
        </w:tc>
        <w:tc>
          <w:tcPr>
            <w:tcW w:w="2357" w:type="dxa"/>
            <w:vMerge w:val="continue"/>
            <w:vAlign w:val="center"/>
          </w:tcPr>
          <w:p w14:paraId="471C2E87">
            <w:pPr>
              <w:pStyle w:val="146"/>
              <w:rPr>
                <w:rFonts w:hint="default" w:ascii="Times New Roman" w:hAnsi="Times New Roman" w:eastAsia="宋体" w:cs="Times New Roman"/>
                <w:color w:val="auto"/>
                <w:highlight w:val="none"/>
              </w:rPr>
            </w:pPr>
          </w:p>
        </w:tc>
      </w:tr>
      <w:tr w14:paraId="2304C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continue"/>
            <w:shd w:val="clear" w:color="auto" w:fill="auto"/>
            <w:vAlign w:val="center"/>
          </w:tcPr>
          <w:p w14:paraId="61354EE3">
            <w:pPr>
              <w:pStyle w:val="146"/>
              <w:rPr>
                <w:rFonts w:hint="default" w:ascii="Times New Roman" w:hAnsi="Times New Roman" w:eastAsia="宋体" w:cs="Times New Roman"/>
                <w:color w:val="auto"/>
                <w:highlight w:val="none"/>
              </w:rPr>
            </w:pPr>
          </w:p>
        </w:tc>
        <w:tc>
          <w:tcPr>
            <w:tcW w:w="1445" w:type="dxa"/>
            <w:shd w:val="clear" w:color="auto" w:fill="auto"/>
            <w:vAlign w:val="center"/>
          </w:tcPr>
          <w:p w14:paraId="29CF0F7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w:t>
            </w:r>
          </w:p>
        </w:tc>
        <w:tc>
          <w:tcPr>
            <w:tcW w:w="1222" w:type="dxa"/>
            <w:shd w:val="clear" w:color="auto" w:fill="auto"/>
            <w:vAlign w:val="center"/>
          </w:tcPr>
          <w:p w14:paraId="21EDF4B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易</w:t>
            </w:r>
          </w:p>
        </w:tc>
        <w:tc>
          <w:tcPr>
            <w:tcW w:w="1842" w:type="dxa"/>
            <w:shd w:val="clear" w:color="auto" w:fill="auto"/>
            <w:vAlign w:val="center"/>
          </w:tcPr>
          <w:p w14:paraId="4BBF2C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重金属、持久性有机物污染物</w:t>
            </w:r>
          </w:p>
        </w:tc>
        <w:tc>
          <w:tcPr>
            <w:tcW w:w="2357" w:type="dxa"/>
            <w:vAlign w:val="center"/>
          </w:tcPr>
          <w:p w14:paraId="73A552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一般地面硬化</w:t>
            </w:r>
          </w:p>
        </w:tc>
      </w:tr>
      <w:tr w14:paraId="2331AF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6" w:type="dxa"/>
            <w:vMerge w:val="continue"/>
            <w:shd w:val="clear" w:color="auto" w:fill="auto"/>
            <w:vAlign w:val="center"/>
          </w:tcPr>
          <w:p w14:paraId="254937D8">
            <w:pPr>
              <w:pStyle w:val="146"/>
              <w:rPr>
                <w:rFonts w:hint="default" w:ascii="Times New Roman" w:hAnsi="Times New Roman" w:eastAsia="宋体" w:cs="Times New Roman"/>
                <w:color w:val="auto"/>
                <w:highlight w:val="none"/>
              </w:rPr>
            </w:pPr>
          </w:p>
        </w:tc>
        <w:tc>
          <w:tcPr>
            <w:tcW w:w="1445" w:type="dxa"/>
            <w:shd w:val="clear" w:color="auto" w:fill="auto"/>
            <w:vAlign w:val="center"/>
          </w:tcPr>
          <w:p w14:paraId="33766F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中—强</w:t>
            </w:r>
          </w:p>
        </w:tc>
        <w:tc>
          <w:tcPr>
            <w:tcW w:w="1222" w:type="dxa"/>
            <w:shd w:val="clear" w:color="auto" w:fill="auto"/>
            <w:vAlign w:val="center"/>
          </w:tcPr>
          <w:p w14:paraId="1C3F0E2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易</w:t>
            </w:r>
          </w:p>
        </w:tc>
        <w:tc>
          <w:tcPr>
            <w:tcW w:w="1842" w:type="dxa"/>
            <w:shd w:val="clear" w:color="auto" w:fill="auto"/>
            <w:vAlign w:val="center"/>
          </w:tcPr>
          <w:p w14:paraId="294316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其他类型</w:t>
            </w:r>
          </w:p>
        </w:tc>
        <w:tc>
          <w:tcPr>
            <w:tcW w:w="2357" w:type="dxa"/>
            <w:vAlign w:val="center"/>
          </w:tcPr>
          <w:p w14:paraId="52A0399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bookmarkEnd w:id="539"/>
    </w:tbl>
    <w:p w14:paraId="34C7DC8D">
      <w:pPr>
        <w:pStyle w:val="210"/>
        <w:rPr>
          <w:rFonts w:hint="default" w:ascii="Times New Roman" w:hAnsi="Times New Roman" w:cs="Times New Roman"/>
          <w:color w:val="auto"/>
          <w:highlight w:val="none"/>
          <w:u w:color="000000"/>
        </w:rPr>
      </w:pPr>
      <w:r>
        <w:rPr>
          <w:rFonts w:hint="default" w:ascii="Times New Roman" w:hAnsi="Times New Roman" w:cs="Times New Roman"/>
          <w:color w:val="auto"/>
          <w:highlight w:val="none"/>
          <w:u w:color="000000"/>
        </w:rPr>
        <w:t>表6-2-</w:t>
      </w:r>
      <w:r>
        <w:rPr>
          <w:rFonts w:hint="eastAsia" w:cs="Times New Roman"/>
          <w:color w:val="auto"/>
          <w:highlight w:val="none"/>
          <w:u w:color="000000"/>
          <w:lang w:val="en-US" w:eastAsia="zh-CN"/>
        </w:rPr>
        <w:t>2</w:t>
      </w:r>
      <w:r>
        <w:rPr>
          <w:rFonts w:hint="default" w:ascii="Times New Roman" w:hAnsi="Times New Roman" w:cs="Times New Roman"/>
          <w:color w:val="auto"/>
          <w:highlight w:val="none"/>
          <w:u w:color="000000"/>
        </w:rPr>
        <w:t>地下水防渗分区措施表</w:t>
      </w:r>
    </w:p>
    <w:tbl>
      <w:tblPr>
        <w:tblStyle w:val="4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985"/>
        <w:gridCol w:w="1276"/>
        <w:gridCol w:w="5051"/>
      </w:tblGrid>
      <w:tr w14:paraId="1B769C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985" w:type="dxa"/>
            <w:shd w:val="clear" w:color="auto" w:fill="auto"/>
            <w:vAlign w:val="center"/>
          </w:tcPr>
          <w:p w14:paraId="4A071AE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防渗部位</w:t>
            </w:r>
          </w:p>
        </w:tc>
        <w:tc>
          <w:tcPr>
            <w:tcW w:w="1276" w:type="dxa"/>
            <w:shd w:val="clear" w:color="auto" w:fill="auto"/>
            <w:vAlign w:val="center"/>
          </w:tcPr>
          <w:p w14:paraId="52696BC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防渗类型</w:t>
            </w:r>
          </w:p>
        </w:tc>
        <w:tc>
          <w:tcPr>
            <w:tcW w:w="5051" w:type="dxa"/>
            <w:shd w:val="clear" w:color="auto" w:fill="auto"/>
            <w:vAlign w:val="center"/>
          </w:tcPr>
          <w:p w14:paraId="07C09F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措施</w:t>
            </w:r>
          </w:p>
        </w:tc>
      </w:tr>
      <w:tr w14:paraId="4EBDA2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985" w:type="dxa"/>
            <w:shd w:val="clear" w:color="auto" w:fill="auto"/>
            <w:vAlign w:val="center"/>
          </w:tcPr>
          <w:p w14:paraId="256A79D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办公室等其他建筑物、厂内道路路面</w:t>
            </w:r>
          </w:p>
        </w:tc>
        <w:tc>
          <w:tcPr>
            <w:tcW w:w="1276" w:type="dxa"/>
            <w:shd w:val="clear" w:color="auto" w:fill="auto"/>
            <w:vAlign w:val="center"/>
          </w:tcPr>
          <w:p w14:paraId="3A2A414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简单防渗</w:t>
            </w:r>
          </w:p>
        </w:tc>
        <w:tc>
          <w:tcPr>
            <w:tcW w:w="5051" w:type="dxa"/>
            <w:shd w:val="clear" w:color="auto" w:fill="auto"/>
            <w:vAlign w:val="center"/>
          </w:tcPr>
          <w:p w14:paraId="4B08745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对其地面采用混凝土进行一般地面硬化</w:t>
            </w:r>
          </w:p>
        </w:tc>
      </w:tr>
      <w:tr w14:paraId="50EA4F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985" w:type="dxa"/>
            <w:shd w:val="clear" w:color="auto" w:fill="auto"/>
            <w:vAlign w:val="center"/>
          </w:tcPr>
          <w:p w14:paraId="40ADAEA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p>
        </w:tc>
        <w:tc>
          <w:tcPr>
            <w:tcW w:w="1276" w:type="dxa"/>
            <w:shd w:val="clear" w:color="auto" w:fill="auto"/>
            <w:vAlign w:val="center"/>
          </w:tcPr>
          <w:p w14:paraId="2A43667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一般防渗</w:t>
            </w:r>
          </w:p>
        </w:tc>
        <w:tc>
          <w:tcPr>
            <w:tcW w:w="5051" w:type="dxa"/>
            <w:shd w:val="clear" w:color="auto" w:fill="auto"/>
            <w:vAlign w:val="center"/>
          </w:tcPr>
          <w:p w14:paraId="2FC8A2A8">
            <w:pPr>
              <w:pStyle w:val="146"/>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地面（池底）基础防渗，防渗层为至少1m厚粘土层或2mm厚高密度聚乙烯，需满足等效黏土防渗层Mb≥1.5m，K≤1×10</w:t>
            </w:r>
            <w:r>
              <w:rPr>
                <w:rFonts w:hint="default" w:ascii="Times New Roman" w:hAnsi="Times New Roman" w:eastAsia="宋体" w:cs="Times New Roman"/>
                <w:color w:val="auto"/>
                <w:highlight w:val="none"/>
                <w:vertAlign w:val="superscript"/>
                <w:lang w:val="en-GB"/>
              </w:rPr>
              <w:t>-7</w:t>
            </w:r>
            <w:r>
              <w:rPr>
                <w:rFonts w:hint="default" w:ascii="Times New Roman" w:hAnsi="Times New Roman" w:eastAsia="宋体" w:cs="Times New Roman"/>
                <w:color w:val="auto"/>
                <w:highlight w:val="none"/>
                <w:lang w:val="en-GB"/>
              </w:rPr>
              <w:t>cm/s的要求；</w:t>
            </w:r>
          </w:p>
        </w:tc>
      </w:tr>
      <w:tr w14:paraId="7F4586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985" w:type="dxa"/>
            <w:shd w:val="clear" w:color="auto" w:fill="auto"/>
            <w:vAlign w:val="center"/>
          </w:tcPr>
          <w:p w14:paraId="13B5D573">
            <w:pPr>
              <w:pStyle w:val="146"/>
              <w:rPr>
                <w:rFonts w:hint="default" w:ascii="Times New Roman" w:hAnsi="Times New Roman" w:eastAsia="宋体" w:cs="Times New Roman"/>
                <w:color w:val="auto"/>
                <w:highlight w:val="none"/>
                <w:lang w:val="en-US" w:eastAsia="zh-CN"/>
              </w:rPr>
            </w:pP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p>
        </w:tc>
        <w:tc>
          <w:tcPr>
            <w:tcW w:w="1276" w:type="dxa"/>
            <w:shd w:val="clear" w:color="auto" w:fill="auto"/>
            <w:vAlign w:val="center"/>
          </w:tcPr>
          <w:p w14:paraId="5E45884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w:t>
            </w:r>
          </w:p>
        </w:tc>
        <w:tc>
          <w:tcPr>
            <w:tcW w:w="5051" w:type="dxa"/>
            <w:shd w:val="clear" w:color="auto" w:fill="auto"/>
            <w:vAlign w:val="center"/>
          </w:tcPr>
          <w:p w14:paraId="78D59D93">
            <w:pPr>
              <w:pStyle w:val="146"/>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rPr>
              <w:t>地面（池底）等效粘土层厚度要≥6.0m，满足渗透系数K≤1.0×10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cm/s；防渗粘土层（至少1m厚）上部及侧面铺设1.0mm高密度聚乙烯（HDPE）防渗膜（渗透系数K≤10</w:t>
            </w:r>
            <w:r>
              <w:rPr>
                <w:rFonts w:hint="default" w:ascii="Times New Roman" w:hAnsi="Times New Roman" w:eastAsia="宋体" w:cs="Times New Roman"/>
                <w:color w:val="auto"/>
                <w:highlight w:val="none"/>
                <w:vertAlign w:val="superscript"/>
              </w:rPr>
              <w:t>-12</w:t>
            </w:r>
            <w:r>
              <w:rPr>
                <w:rFonts w:hint="default" w:ascii="Times New Roman" w:hAnsi="Times New Roman" w:eastAsia="宋体" w:cs="Times New Roman"/>
                <w:color w:val="auto"/>
                <w:highlight w:val="none"/>
              </w:rPr>
              <w:t>cm/s），在做好基层防渗的基础上进行水泥硬化</w:t>
            </w:r>
          </w:p>
        </w:tc>
      </w:tr>
      <w:tr w14:paraId="4E1251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985" w:type="dxa"/>
            <w:shd w:val="clear" w:color="auto" w:fill="auto"/>
            <w:vAlign w:val="center"/>
          </w:tcPr>
          <w:p w14:paraId="74609B7E">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危险废物贮存点</w:t>
            </w:r>
          </w:p>
        </w:tc>
        <w:tc>
          <w:tcPr>
            <w:tcW w:w="1276" w:type="dxa"/>
            <w:shd w:val="clear" w:color="auto" w:fill="auto"/>
            <w:vAlign w:val="center"/>
          </w:tcPr>
          <w:p w14:paraId="036AC6F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w:t>
            </w:r>
          </w:p>
        </w:tc>
        <w:tc>
          <w:tcPr>
            <w:tcW w:w="5051" w:type="dxa"/>
            <w:shd w:val="clear" w:color="auto" w:fill="auto"/>
            <w:vAlign w:val="center"/>
          </w:tcPr>
          <w:p w14:paraId="23894E6C">
            <w:pPr>
              <w:pStyle w:val="146"/>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tc>
      </w:tr>
    </w:tbl>
    <w:p w14:paraId="7ADD2FF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平时注意环保设施的维护，确保系统正常运行。</w:t>
      </w:r>
    </w:p>
    <w:p w14:paraId="75CA7D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确保污水管道质量，应用质量良好的管材，增加管段长度，减少管道接口，避免废水的跑、冒、滴、漏现象的发生。</w:t>
      </w:r>
    </w:p>
    <w:p w14:paraId="4ED4799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加强管理，建立巡逻制度，定期对养殖场进行检查，及时发现问题，查找隐患，杜绝污染物的外排。</w:t>
      </w:r>
    </w:p>
    <w:p w14:paraId="3C140BD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bookmarkStart w:id="540" w:name="_Hlk43397974"/>
      <w:r>
        <w:rPr>
          <w:rFonts w:hint="default" w:ascii="Times New Roman" w:hAnsi="Times New Roman" w:eastAsia="宋体" w:cs="Times New Roman"/>
          <w:color w:val="auto"/>
          <w:highlight w:val="none"/>
        </w:rPr>
        <w:t>养殖场下游设置1口地下水跟踪监测井</w:t>
      </w:r>
      <w:r>
        <w:rPr>
          <w:rFonts w:hint="default" w:ascii="Times New Roman" w:hAnsi="Times New Roman" w:eastAsia="宋体" w:cs="Times New Roman"/>
          <w:color w:val="auto"/>
          <w:szCs w:val="24"/>
          <w:highlight w:val="none"/>
          <w:lang w:val="zh-CN"/>
        </w:rPr>
        <w:t>，</w:t>
      </w:r>
      <w:bookmarkEnd w:id="540"/>
      <w:r>
        <w:rPr>
          <w:rFonts w:hint="default" w:ascii="Times New Roman" w:hAnsi="Times New Roman" w:eastAsia="宋体" w:cs="Times New Roman"/>
          <w:color w:val="auto"/>
          <w:highlight w:val="none"/>
        </w:rPr>
        <w:t>及时监控地下水环境。</w:t>
      </w:r>
    </w:p>
    <w:p w14:paraId="1B684F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本项目对地下水的主要污染途径为废水渗透，在认真采取以上措施的基础上，一旦水泥硬化层发生断裂，由于防渗层的保护作用，不会对地下水源造成影响。</w:t>
      </w:r>
    </w:p>
    <w:p w14:paraId="7C9BB2D8">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6.2.2.3跟踪监测</w:t>
      </w:r>
    </w:p>
    <w:p w14:paraId="108576E2">
      <w:pPr>
        <w:pStyle w:val="67"/>
        <w:ind w:firstLine="480"/>
        <w:rPr>
          <w:rFonts w:hint="default" w:ascii="Times New Roman" w:hAnsi="Times New Roman" w:eastAsia="宋体" w:cs="Times New Roman"/>
          <w:color w:val="auto"/>
          <w:highlight w:val="none"/>
        </w:rPr>
      </w:pPr>
      <w:bookmarkStart w:id="541" w:name="_Hlk1314133"/>
      <w:r>
        <w:rPr>
          <w:rFonts w:hint="default" w:ascii="Times New Roman" w:hAnsi="Times New Roman" w:eastAsia="宋体" w:cs="Times New Roman"/>
          <w:color w:val="auto"/>
          <w:highlight w:val="none"/>
        </w:rPr>
        <w:t>定期对地下水环境进行监测，委托具有资质的单位进行，监测报告应包括建设项目所在地及其影响区地下水环境跟踪监测数据，各生产设施及污染防控措施等设施的运行状况、维护记录，同时对监测结果进行信息公开，每季度公开一次。</w:t>
      </w:r>
    </w:p>
    <w:p w14:paraId="45C629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 地下水环境》（HJ610-2016），三级评价的建设项目，一般不少于1个，应至少在建设项目场地下游布置1个。</w:t>
      </w:r>
      <w:bookmarkEnd w:id="541"/>
    </w:p>
    <w:p w14:paraId="2FBF8B3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项目所在地地下水流向为自</w:t>
      </w:r>
      <w:r>
        <w:rPr>
          <w:rFonts w:hint="default" w:ascii="Times New Roman" w:hAnsi="Times New Roman" w:eastAsia="宋体" w:cs="Times New Roman"/>
          <w:color w:val="auto"/>
          <w:highlight w:val="none"/>
          <w:lang w:val="en-US" w:eastAsia="zh-CN"/>
        </w:rPr>
        <w:t>东南向西北</w:t>
      </w:r>
      <w:r>
        <w:rPr>
          <w:rFonts w:hint="default" w:ascii="Times New Roman" w:hAnsi="Times New Roman" w:eastAsia="宋体" w:cs="Times New Roman"/>
          <w:color w:val="auto"/>
          <w:highlight w:val="none"/>
        </w:rPr>
        <w:t>，因此，在养殖场下游设置1口地下</w:t>
      </w:r>
      <w:r>
        <w:rPr>
          <w:rFonts w:hint="default" w:ascii="Times New Roman" w:hAnsi="Times New Roman" w:eastAsia="宋体" w:cs="Times New Roman"/>
          <w:color w:val="auto"/>
          <w:szCs w:val="24"/>
          <w:highlight w:val="none"/>
        </w:rPr>
        <w:t>水跟踪监测井</w:t>
      </w:r>
      <w:bookmarkStart w:id="542" w:name="_Hlk43397983"/>
      <w:r>
        <w:rPr>
          <w:rFonts w:hint="default" w:ascii="Times New Roman" w:hAnsi="Times New Roman" w:eastAsia="宋体" w:cs="Times New Roman"/>
          <w:color w:val="auto"/>
          <w:szCs w:val="24"/>
          <w:highlight w:val="none"/>
        </w:rPr>
        <w:t>。</w:t>
      </w:r>
      <w:bookmarkEnd w:id="542"/>
      <w:bookmarkStart w:id="543" w:name="_Hlk44603701"/>
      <w:r>
        <w:rPr>
          <w:rFonts w:hint="default" w:ascii="Times New Roman" w:hAnsi="Times New Roman" w:eastAsia="宋体" w:cs="Times New Roman"/>
          <w:color w:val="auto"/>
          <w:highlight w:val="none"/>
        </w:rPr>
        <w:t>每季度对地下水环境进行监测，监测项目为pH</w:t>
      </w:r>
      <w:r>
        <w:rPr>
          <w:rFonts w:hint="eastAsia" w:ascii="Times New Roman" w:hAnsi="Times New Roman" w:eastAsia="宋体" w:cs="Times New Roman"/>
          <w:color w:val="auto"/>
          <w:highlight w:val="none"/>
          <w:lang w:val="en-US" w:eastAsia="zh-CN"/>
        </w:rPr>
        <w:t>值</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高锰酸盐指数</w:t>
      </w:r>
      <w:r>
        <w:rPr>
          <w:rFonts w:hint="default" w:ascii="Times New Roman" w:hAnsi="Times New Roman" w:eastAsia="宋体" w:cs="Times New Roman"/>
          <w:color w:val="auto"/>
          <w:highlight w:val="none"/>
        </w:rPr>
        <w:t>、氨氮、总硬度、硝酸盐（以N计）、亚硝酸盐（以N计）、硫酸盐、氯化物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铁、锰、总大肠菌群、挥发酚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、氰化物、砷、汞、六价铬、镉、铅、氟</w:t>
      </w:r>
      <w:r>
        <w:rPr>
          <w:rFonts w:hint="default" w:ascii="Times New Roman" w:hAnsi="Times New Roman" w:eastAsia="宋体" w:cs="Times New Roman"/>
          <w:color w:val="auto"/>
          <w:highlight w:val="none"/>
          <w:lang w:eastAsia="zh-CN"/>
        </w:rPr>
        <w:t>化物</w:t>
      </w:r>
      <w:r>
        <w:rPr>
          <w:rFonts w:hint="default" w:ascii="Times New Roman" w:hAnsi="Times New Roman" w:eastAsia="宋体" w:cs="Times New Roman"/>
          <w:color w:val="auto"/>
          <w:highlight w:val="none"/>
        </w:rPr>
        <w:t>、溶解性总固体、</w:t>
      </w:r>
      <w:r>
        <w:rPr>
          <w:rFonts w:hint="default" w:ascii="Times New Roman" w:hAnsi="Times New Roman" w:eastAsia="宋体" w:cs="Times New Roman"/>
          <w:color w:val="auto"/>
          <w:highlight w:val="none"/>
          <w:lang w:val="en-US" w:eastAsia="zh-CN"/>
        </w:rPr>
        <w:t>细菌总数、石油类</w:t>
      </w:r>
      <w:r>
        <w:rPr>
          <w:rFonts w:hint="eastAsia" w:ascii="Times New Roman" w:hAnsi="Times New Roman" w:eastAsia="宋体" w:cs="Times New Roman"/>
          <w:color w:val="auto"/>
          <w:highlight w:val="none"/>
          <w:lang w:val="en-US" w:eastAsia="zh-CN"/>
        </w:rPr>
        <w:t>、总磷、总氮、</w:t>
      </w:r>
      <w:r>
        <w:rPr>
          <w:rFonts w:hint="eastAsia" w:ascii="Times New Roman" w:hAnsi="Times New Roman" w:eastAsia="宋体" w:cs="Times New Roman"/>
          <w:color w:val="auto"/>
          <w:highlight w:val="none"/>
          <w:lang w:eastAsia="zh-CN"/>
        </w:rPr>
        <w:t>化学需氧量</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生化需氧量，</w:t>
      </w:r>
      <w:r>
        <w:rPr>
          <w:rFonts w:hint="default" w:ascii="Times New Roman" w:hAnsi="Times New Roman" w:eastAsia="宋体" w:cs="Times New Roman"/>
          <w:color w:val="auto"/>
          <w:highlight w:val="none"/>
        </w:rPr>
        <w:t>发现问题及时解决。企业在运营过程中应认真落实跟踪监测的工作，专职人员应编写地下水环境跟踪监测报告，报告中的内容应包括：地下水跟踪监测的数据（污染物种类、数量、浓度），生产设备、管线、贮存和运输装置的运行情况，跑冒滴漏记录和维护记录</w:t>
      </w:r>
      <w:bookmarkEnd w:id="543"/>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地下水监测点位见下图，</w:t>
      </w:r>
      <w:r>
        <w:rPr>
          <w:rFonts w:hint="default" w:ascii="Times New Roman" w:hAnsi="Times New Roman" w:eastAsia="宋体" w:cs="Times New Roman"/>
          <w:color w:val="auto"/>
          <w:highlight w:val="none"/>
        </w:rPr>
        <w:t>跟踪监测计划见下表。</w:t>
      </w:r>
    </w:p>
    <w:p w14:paraId="31E84545">
      <w:pPr>
        <w:pStyle w:val="210"/>
        <w:rPr>
          <w:rFonts w:hint="default" w:ascii="Times New Roman" w:hAnsi="Times New Roman" w:cs="Times New Roman"/>
          <w:color w:val="auto"/>
          <w:highlight w:val="none"/>
          <w:u w:color="000000"/>
        </w:rPr>
      </w:pPr>
      <w:r>
        <w:rPr>
          <w:rFonts w:hint="default" w:ascii="Times New Roman" w:hAnsi="Times New Roman" w:cs="Times New Roman"/>
          <w:color w:val="auto"/>
          <w:highlight w:val="none"/>
          <w:u w:color="000000"/>
        </w:rPr>
        <w:t>表6-2-</w:t>
      </w:r>
      <w:r>
        <w:rPr>
          <w:rFonts w:hint="eastAsia" w:cs="Times New Roman"/>
          <w:color w:val="auto"/>
          <w:highlight w:val="none"/>
          <w:u w:color="000000"/>
          <w:lang w:val="en-US" w:eastAsia="zh-CN"/>
        </w:rPr>
        <w:t>3</w:t>
      </w:r>
      <w:r>
        <w:rPr>
          <w:rFonts w:hint="default" w:ascii="Times New Roman" w:hAnsi="Times New Roman" w:cs="Times New Roman"/>
          <w:color w:val="auto"/>
          <w:highlight w:val="none"/>
          <w:u w:color="000000"/>
        </w:rPr>
        <w:t>地下水环境监测计划表</w:t>
      </w:r>
    </w:p>
    <w:tbl>
      <w:tblPr>
        <w:tblStyle w:val="47"/>
        <w:tblW w:w="503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8"/>
        <w:gridCol w:w="710"/>
        <w:gridCol w:w="3118"/>
        <w:gridCol w:w="1561"/>
        <w:gridCol w:w="851"/>
        <w:gridCol w:w="708"/>
        <w:gridCol w:w="657"/>
        <w:gridCol w:w="62"/>
      </w:tblGrid>
      <w:tr w14:paraId="6F0B23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37" w:type="pct"/>
        </w:trPr>
        <w:tc>
          <w:tcPr>
            <w:tcW w:w="423" w:type="pct"/>
            <w:shd w:val="clear" w:color="auto" w:fill="auto"/>
            <w:vAlign w:val="center"/>
          </w:tcPr>
          <w:p w14:paraId="3DE958A3">
            <w:pPr>
              <w:pStyle w:val="146"/>
              <w:rPr>
                <w:rFonts w:hint="default" w:ascii="Times New Roman" w:hAnsi="Times New Roman" w:eastAsia="宋体" w:cs="Times New Roman"/>
                <w:snapToGrid w:val="0"/>
                <w:color w:val="auto"/>
                <w:highlight w:val="none"/>
              </w:rPr>
            </w:pPr>
            <w:bookmarkStart w:id="544" w:name="_Hlk44603676"/>
            <w:r>
              <w:rPr>
                <w:rFonts w:hint="default" w:ascii="Times New Roman" w:hAnsi="Times New Roman" w:eastAsia="宋体" w:cs="Times New Roman"/>
                <w:snapToGrid w:val="0"/>
                <w:color w:val="auto"/>
                <w:highlight w:val="none"/>
              </w:rPr>
              <w:t>点位</w:t>
            </w:r>
          </w:p>
        </w:tc>
        <w:tc>
          <w:tcPr>
            <w:tcW w:w="424" w:type="pct"/>
            <w:shd w:val="clear" w:color="auto" w:fill="auto"/>
            <w:vAlign w:val="center"/>
          </w:tcPr>
          <w:p w14:paraId="3365B59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功能</w:t>
            </w:r>
          </w:p>
        </w:tc>
        <w:tc>
          <w:tcPr>
            <w:tcW w:w="1861" w:type="pct"/>
            <w:shd w:val="clear" w:color="auto" w:fill="auto"/>
            <w:vAlign w:val="center"/>
          </w:tcPr>
          <w:p w14:paraId="4307C58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监测因子</w:t>
            </w:r>
          </w:p>
        </w:tc>
        <w:tc>
          <w:tcPr>
            <w:tcW w:w="932" w:type="pct"/>
            <w:vAlign w:val="center"/>
          </w:tcPr>
          <w:p w14:paraId="581DF4E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坐标</w:t>
            </w:r>
          </w:p>
        </w:tc>
        <w:tc>
          <w:tcPr>
            <w:tcW w:w="508" w:type="pct"/>
            <w:shd w:val="clear" w:color="auto" w:fill="auto"/>
            <w:vAlign w:val="center"/>
          </w:tcPr>
          <w:p w14:paraId="329751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井深</w:t>
            </w:r>
          </w:p>
        </w:tc>
        <w:tc>
          <w:tcPr>
            <w:tcW w:w="423" w:type="pct"/>
            <w:shd w:val="clear" w:color="auto" w:fill="auto"/>
            <w:vAlign w:val="center"/>
          </w:tcPr>
          <w:p w14:paraId="2170B8E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监测频次</w:t>
            </w:r>
          </w:p>
        </w:tc>
        <w:tc>
          <w:tcPr>
            <w:tcW w:w="392" w:type="pct"/>
            <w:vAlign w:val="center"/>
          </w:tcPr>
          <w:p w14:paraId="488C8E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监测层位</w:t>
            </w:r>
          </w:p>
        </w:tc>
      </w:tr>
      <w:tr w14:paraId="6F65E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3" w:type="pct"/>
            <w:shd w:val="clear" w:color="auto" w:fill="auto"/>
            <w:vAlign w:val="center"/>
          </w:tcPr>
          <w:p w14:paraId="3057568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养殖场下游</w:t>
            </w:r>
          </w:p>
        </w:tc>
        <w:tc>
          <w:tcPr>
            <w:tcW w:w="424" w:type="pct"/>
            <w:shd w:val="clear" w:color="auto" w:fill="auto"/>
            <w:vAlign w:val="center"/>
          </w:tcPr>
          <w:p w14:paraId="6D60E91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跟踪监测水井</w:t>
            </w:r>
          </w:p>
        </w:tc>
        <w:tc>
          <w:tcPr>
            <w:tcW w:w="1861" w:type="pct"/>
            <w:shd w:val="clear" w:color="auto" w:fill="auto"/>
            <w:vAlign w:val="center"/>
          </w:tcPr>
          <w:p w14:paraId="76E885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1"/>
                <w:szCs w:val="21"/>
                <w:highlight w:val="none"/>
              </w:rPr>
              <w:t>pH</w:t>
            </w:r>
            <w:r>
              <w:rPr>
                <w:rFonts w:hint="eastAsia" w:ascii="Times New Roman" w:hAnsi="Times New Roman" w:eastAsia="宋体" w:cs="Times New Roman"/>
                <w:color w:val="auto"/>
                <w:sz w:val="21"/>
                <w:szCs w:val="21"/>
                <w:highlight w:val="none"/>
                <w:lang w:val="en-US" w:eastAsia="zh-CN"/>
              </w:rPr>
              <w:t>值</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6"/>
                <w:sz w:val="21"/>
                <w:szCs w:val="21"/>
                <w:highlight w:val="none"/>
                <w:lang w:val="en-US" w:eastAsia="zh-CN"/>
              </w:rPr>
              <w:t>高锰酸盐指数</w:t>
            </w:r>
            <w:r>
              <w:rPr>
                <w:rFonts w:hint="default" w:ascii="Times New Roman" w:hAnsi="Times New Roman" w:eastAsia="宋体" w:cs="Times New Roman"/>
                <w:color w:val="auto"/>
                <w:sz w:val="21"/>
                <w:szCs w:val="21"/>
                <w:highlight w:val="none"/>
              </w:rPr>
              <w:t>、氨氮、总硬度、硝酸盐（以N计）、亚硝酸盐（以N计）、硫酸盐、氯化物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铁、锰、总大肠菌群、挥发酚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、氰化物、砷、汞、六价铬、镉、铅、氟</w:t>
            </w:r>
            <w:r>
              <w:rPr>
                <w:rFonts w:hint="default" w:ascii="Times New Roman" w:hAnsi="Times New Roman" w:eastAsia="宋体" w:cs="Times New Roman"/>
                <w:color w:val="auto"/>
                <w:sz w:val="21"/>
                <w:szCs w:val="21"/>
                <w:highlight w:val="none"/>
                <w:lang w:eastAsia="zh-CN"/>
              </w:rPr>
              <w:t>化物</w:t>
            </w:r>
            <w:r>
              <w:rPr>
                <w:rFonts w:hint="default" w:ascii="Times New Roman" w:hAnsi="Times New Roman" w:eastAsia="宋体" w:cs="Times New Roman"/>
                <w:color w:val="auto"/>
                <w:sz w:val="21"/>
                <w:szCs w:val="21"/>
                <w:highlight w:val="none"/>
              </w:rPr>
              <w:t>、溶解性总固体、</w:t>
            </w:r>
            <w:r>
              <w:rPr>
                <w:rFonts w:hint="default" w:ascii="Times New Roman" w:hAnsi="Times New Roman" w:eastAsia="宋体" w:cs="Times New Roman"/>
                <w:color w:val="auto"/>
                <w:sz w:val="21"/>
                <w:szCs w:val="21"/>
                <w:highlight w:val="none"/>
                <w:lang w:val="en-US" w:eastAsia="zh-CN"/>
              </w:rPr>
              <w:t>细菌总数、</w:t>
            </w:r>
            <w:r>
              <w:rPr>
                <w:rFonts w:hint="default" w:ascii="Times New Roman" w:hAnsi="Times New Roman" w:eastAsia="宋体" w:cs="Times New Roman"/>
                <w:bCs/>
                <w:color w:val="auto"/>
                <w:sz w:val="21"/>
                <w:szCs w:val="21"/>
                <w:highlight w:val="none"/>
                <w:lang w:val="en-US" w:eastAsia="zh-CN"/>
              </w:rPr>
              <w:t>石油类</w:t>
            </w:r>
            <w:r>
              <w:rPr>
                <w:rFonts w:hint="eastAsia" w:ascii="Times New Roman" w:hAnsi="Times New Roman" w:eastAsia="宋体" w:cs="Times New Roman"/>
                <w:bCs/>
                <w:color w:val="auto"/>
                <w:sz w:val="21"/>
                <w:szCs w:val="21"/>
                <w:highlight w:val="none"/>
                <w:lang w:val="en-US" w:eastAsia="zh-CN"/>
              </w:rPr>
              <w:t>、总磷、总氮、</w:t>
            </w:r>
            <w:r>
              <w:rPr>
                <w:rFonts w:hint="eastAsia" w:ascii="Times New Roman" w:hAnsi="Times New Roman" w:eastAsia="宋体" w:cs="Times New Roman"/>
                <w:color w:val="auto"/>
                <w:szCs w:val="21"/>
                <w:highlight w:val="none"/>
                <w:lang w:eastAsia="zh-CN"/>
              </w:rPr>
              <w:t>化学需氧量</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color w:val="auto"/>
                <w:szCs w:val="21"/>
                <w:highlight w:val="none"/>
                <w:lang w:eastAsia="zh-CN"/>
              </w:rPr>
              <w:t>生化需氧量</w:t>
            </w:r>
          </w:p>
        </w:tc>
        <w:tc>
          <w:tcPr>
            <w:tcW w:w="932" w:type="pct"/>
            <w:vAlign w:val="center"/>
          </w:tcPr>
          <w:p w14:paraId="2055A73C">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E</w:t>
            </w:r>
            <w:r>
              <w:rPr>
                <w:rFonts w:hint="default" w:ascii="Times New Roman" w:hAnsi="Times New Roman" w:eastAsia="宋体" w:cs="Times New Roman"/>
                <w:color w:val="auto"/>
                <w:highlight w:val="none"/>
              </w:rPr>
              <w:t>127.351515</w:t>
            </w:r>
            <w:r>
              <w:rPr>
                <w:rFonts w:hint="default" w:ascii="Times New Roman" w:hAnsi="Times New Roman" w:eastAsia="宋体" w:cs="Times New Roman"/>
                <w:color w:val="auto"/>
                <w:highlight w:val="none"/>
                <w:lang w:val="en-US" w:eastAsia="zh-CN"/>
              </w:rPr>
              <w:t>，</w:t>
            </w:r>
          </w:p>
          <w:p w14:paraId="450B8E5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N49.530883</w:t>
            </w:r>
          </w:p>
        </w:tc>
        <w:tc>
          <w:tcPr>
            <w:tcW w:w="508" w:type="pct"/>
            <w:shd w:val="clear" w:color="auto" w:fill="auto"/>
            <w:vAlign w:val="center"/>
          </w:tcPr>
          <w:p w14:paraId="5F7347B5">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100</w:t>
            </w:r>
            <w:r>
              <w:rPr>
                <w:rFonts w:hint="default" w:ascii="Times New Roman" w:hAnsi="Times New Roman" w:eastAsia="宋体" w:cs="Times New Roman"/>
                <w:snapToGrid w:val="0"/>
                <w:color w:val="auto"/>
                <w:highlight w:val="none"/>
              </w:rPr>
              <w:t>m</w:t>
            </w:r>
          </w:p>
        </w:tc>
        <w:tc>
          <w:tcPr>
            <w:tcW w:w="423" w:type="pct"/>
            <w:shd w:val="clear" w:color="auto" w:fill="auto"/>
            <w:vAlign w:val="center"/>
          </w:tcPr>
          <w:p w14:paraId="444CAEE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1次/季度</w:t>
            </w:r>
          </w:p>
        </w:tc>
        <w:tc>
          <w:tcPr>
            <w:tcW w:w="429" w:type="pct"/>
            <w:gridSpan w:val="2"/>
            <w:vAlign w:val="center"/>
          </w:tcPr>
          <w:p w14:paraId="11E1380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裂隙承压水</w:t>
            </w:r>
          </w:p>
        </w:tc>
      </w:tr>
      <w:bookmarkEnd w:id="544"/>
    </w:tbl>
    <w:p w14:paraId="23706ADC">
      <w:pPr>
        <w:bidi w:val="0"/>
        <w:rPr>
          <w:rFonts w:hint="default"/>
          <w:color w:val="auto"/>
          <w:highlight w:val="none"/>
        </w:rPr>
      </w:pPr>
    </w:p>
    <w:p w14:paraId="3DA300A7">
      <w:pPr>
        <w:bidi w:val="0"/>
        <w:rPr>
          <w:rFonts w:hint="default"/>
          <w:color w:val="auto"/>
          <w:highlight w:val="none"/>
        </w:rPr>
      </w:pPr>
    </w:p>
    <w:p w14:paraId="4DBD07DD">
      <w:pPr>
        <w:bidi w:val="0"/>
        <w:rPr>
          <w:rFonts w:hint="default"/>
          <w:color w:val="auto"/>
          <w:highlight w:val="none"/>
        </w:rPr>
      </w:pPr>
      <w:r>
        <w:rPr>
          <w:color w:val="auto"/>
          <w:highlight w:val="none"/>
        </w:rPr>
        <w:drawing>
          <wp:anchor distT="0" distB="0" distL="114300" distR="114300" simplePos="0" relativeHeight="251740160" behindDoc="0" locked="0" layoutInCell="1" allowOverlap="1">
            <wp:simplePos x="0" y="0"/>
            <wp:positionH relativeFrom="column">
              <wp:posOffset>4643755</wp:posOffset>
            </wp:positionH>
            <wp:positionV relativeFrom="paragraph">
              <wp:posOffset>14605</wp:posOffset>
            </wp:positionV>
            <wp:extent cx="676275" cy="685800"/>
            <wp:effectExtent l="0" t="0" r="9525" b="0"/>
            <wp:wrapNone/>
            <wp:docPr id="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
                    <pic:cNvPicPr>
                      <a:picLocks noChangeAspect="1"/>
                    </pic:cNvPicPr>
                  </pic:nvPicPr>
                  <pic:blipFill>
                    <a:blip r:embed="rId50"/>
                    <a:stretch>
                      <a:fillRect/>
                    </a:stretch>
                  </pic:blipFill>
                  <pic:spPr>
                    <a:xfrm>
                      <a:off x="0" y="0"/>
                      <a:ext cx="676275" cy="685800"/>
                    </a:xfrm>
                    <a:prstGeom prst="rect">
                      <a:avLst/>
                    </a:prstGeom>
                    <a:noFill/>
                    <a:ln>
                      <a:noFill/>
                    </a:ln>
                  </pic:spPr>
                </pic:pic>
              </a:graphicData>
            </a:graphic>
          </wp:anchor>
        </w:drawing>
      </w:r>
      <w:r>
        <w:rPr>
          <w:color w:val="auto"/>
          <w:highlight w:val="none"/>
        </w:rPr>
        <w:drawing>
          <wp:anchor distT="0" distB="0" distL="114300" distR="114300" simplePos="0" relativeHeight="251723776" behindDoc="0" locked="0" layoutInCell="1" allowOverlap="1">
            <wp:simplePos x="0" y="0"/>
            <wp:positionH relativeFrom="column">
              <wp:posOffset>51435</wp:posOffset>
            </wp:positionH>
            <wp:positionV relativeFrom="paragraph">
              <wp:posOffset>45085</wp:posOffset>
            </wp:positionV>
            <wp:extent cx="5270500" cy="3618865"/>
            <wp:effectExtent l="0" t="0" r="6350" b="635"/>
            <wp:wrapNone/>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84"/>
                    <a:stretch>
                      <a:fillRect/>
                    </a:stretch>
                  </pic:blipFill>
                  <pic:spPr>
                    <a:xfrm>
                      <a:off x="0" y="0"/>
                      <a:ext cx="5270500" cy="3618865"/>
                    </a:xfrm>
                    <a:prstGeom prst="rect">
                      <a:avLst/>
                    </a:prstGeom>
                    <a:noFill/>
                    <a:ln>
                      <a:noFill/>
                    </a:ln>
                  </pic:spPr>
                </pic:pic>
              </a:graphicData>
            </a:graphic>
          </wp:anchor>
        </w:drawing>
      </w:r>
    </w:p>
    <w:p w14:paraId="149BBA9C">
      <w:pPr>
        <w:bidi w:val="0"/>
        <w:rPr>
          <w:rFonts w:hint="default"/>
          <w:color w:val="auto"/>
          <w:highlight w:val="none"/>
        </w:rPr>
      </w:pPr>
    </w:p>
    <w:p w14:paraId="78E078DF">
      <w:pPr>
        <w:bidi w:val="0"/>
        <w:rPr>
          <w:rFonts w:hint="default"/>
          <w:color w:val="auto"/>
          <w:highlight w:val="none"/>
        </w:rPr>
      </w:pPr>
    </w:p>
    <w:p w14:paraId="581C8A4D">
      <w:pPr>
        <w:bidi w:val="0"/>
        <w:rPr>
          <w:rFonts w:hint="default"/>
          <w:color w:val="auto"/>
          <w:highlight w:val="none"/>
        </w:rPr>
      </w:pPr>
    </w:p>
    <w:p w14:paraId="66108957">
      <w:pPr>
        <w:bidi w:val="0"/>
        <w:rPr>
          <w:rFonts w:hint="default"/>
          <w:color w:val="auto"/>
          <w:highlight w:val="none"/>
        </w:rPr>
      </w:pPr>
    </w:p>
    <w:p w14:paraId="3C148BE1">
      <w:pPr>
        <w:bidi w:val="0"/>
        <w:rPr>
          <w:rFonts w:hint="default"/>
          <w:color w:val="auto"/>
          <w:highlight w:val="none"/>
        </w:rPr>
      </w:pPr>
    </w:p>
    <w:p w14:paraId="79FBF5D5">
      <w:pPr>
        <w:bidi w:val="0"/>
        <w:rPr>
          <w:rFonts w:hint="default"/>
          <w:color w:val="auto"/>
          <w:highlight w:val="none"/>
        </w:rPr>
      </w:pPr>
    </w:p>
    <w:p w14:paraId="4BBC583D">
      <w:pPr>
        <w:bidi w:val="0"/>
        <w:rPr>
          <w:rFonts w:hint="default"/>
          <w:color w:val="auto"/>
          <w:highlight w:val="none"/>
        </w:rPr>
      </w:pPr>
    </w:p>
    <w:p w14:paraId="0EF917EE">
      <w:pPr>
        <w:bidi w:val="0"/>
        <w:rPr>
          <w:rFonts w:hint="default"/>
          <w:color w:val="auto"/>
          <w:highlight w:val="none"/>
        </w:rPr>
      </w:pPr>
      <w:r>
        <w:rPr>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3300730</wp:posOffset>
                </wp:positionH>
                <wp:positionV relativeFrom="paragraph">
                  <wp:posOffset>90805</wp:posOffset>
                </wp:positionV>
                <wp:extent cx="190500" cy="164465"/>
                <wp:effectExtent l="20955" t="19050" r="36195" b="26035"/>
                <wp:wrapNone/>
                <wp:docPr id="109" name="五角星 109"/>
                <wp:cNvGraphicFramePr/>
                <a:graphic xmlns:a="http://schemas.openxmlformats.org/drawingml/2006/main">
                  <a:graphicData uri="http://schemas.microsoft.com/office/word/2010/wordprocessingShape">
                    <wps:wsp>
                      <wps:cNvSpPr/>
                      <wps:spPr>
                        <a:xfrm>
                          <a:off x="4413250" y="3321050"/>
                          <a:ext cx="190500" cy="1644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9.9pt;margin-top:7.15pt;height:12.95pt;width:15pt;z-index:251724800;v-text-anchor:middle;mso-width-relative:page;mso-height-relative:page;" fillcolor="#FF0000" filled="t" stroked="t" coordsize="190500,164465" o:gfxdata="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Ez5jWdYAAAAIAQAADwAAAAAAAAABACAAAAAi&#10;AAAAZHJzL2Rvd25yZXYueG1sUEsBAhQAFAAAAAgAh07iQDHIwt9+AgAABwUAAA4AAAAAAAAAAQAg&#10;AAAAJQEAAGRycy9lMm9Eb2MueG1sUEsFBgAAAAAGAAYAWQEAABUGAAAAAA==&#10;" path="m0,62819l72764,62820,95250,0,117735,62820,190499,62819,131631,101644,154117,164464,95250,125639,36382,164464,58868,101644xe">
                <v:path o:connectlocs="95250,0;0,62819;36382,164464;154117,164464;190499,62819" o:connectangles="247,164,82,82,0"/>
                <v:fill on="t" focussize="0,0"/>
                <v:stroke weight="1pt" color="#FF0000 [2404]" miterlimit="8" joinstyle="miter"/>
                <v:imagedata o:title=""/>
                <o:lock v:ext="edit" aspectratio="f"/>
              </v:shape>
            </w:pict>
          </mc:Fallback>
        </mc:AlternateContent>
      </w:r>
    </w:p>
    <w:p w14:paraId="674C9E54">
      <w:pPr>
        <w:bidi w:val="0"/>
        <w:rPr>
          <w:rFonts w:hint="default"/>
          <w:color w:val="auto"/>
          <w:highlight w:val="none"/>
        </w:rPr>
      </w:pPr>
    </w:p>
    <w:p w14:paraId="4D7571A1">
      <w:pPr>
        <w:bidi w:val="0"/>
        <w:rPr>
          <w:rFonts w:hint="default"/>
          <w:color w:val="auto"/>
          <w:highlight w:val="none"/>
        </w:rPr>
      </w:pPr>
    </w:p>
    <w:p w14:paraId="42CA011B">
      <w:pPr>
        <w:bidi w:val="0"/>
        <w:rPr>
          <w:rFonts w:hint="default"/>
          <w:color w:val="auto"/>
          <w:highlight w:val="none"/>
        </w:rPr>
      </w:pPr>
      <w:r>
        <w:rPr>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3947160</wp:posOffset>
                </wp:positionH>
                <wp:positionV relativeFrom="paragraph">
                  <wp:posOffset>201930</wp:posOffset>
                </wp:positionV>
                <wp:extent cx="1377315" cy="554990"/>
                <wp:effectExtent l="4445" t="4445" r="8890" b="12065"/>
                <wp:wrapNone/>
                <wp:docPr id="118" name="文本框 118"/>
                <wp:cNvGraphicFramePr/>
                <a:graphic xmlns:a="http://schemas.openxmlformats.org/drawingml/2006/main">
                  <a:graphicData uri="http://schemas.microsoft.com/office/word/2010/wordprocessingShape">
                    <wps:wsp>
                      <wps:cNvSpPr txBox="1"/>
                      <wps:spPr>
                        <a:xfrm>
                          <a:off x="5304790" y="3987800"/>
                          <a:ext cx="1377315" cy="5549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764E76">
                            <w:pPr>
                              <w:ind w:left="0" w:leftChars="0" w:firstLine="0" w:firstLineChars="0"/>
                              <w:jc w:val="center"/>
                              <w:rPr>
                                <w:rFonts w:hint="eastAsia"/>
                                <w:sz w:val="20"/>
                                <w:szCs w:val="18"/>
                                <w:lang w:val="en-US" w:eastAsia="zh-CN"/>
                              </w:rPr>
                            </w:pPr>
                            <w:r>
                              <w:rPr>
                                <w:rFonts w:hint="eastAsia"/>
                                <w:sz w:val="20"/>
                                <w:szCs w:val="18"/>
                                <w:lang w:val="en-US" w:eastAsia="zh-CN"/>
                              </w:rPr>
                              <w:t>图例</w:t>
                            </w:r>
                          </w:p>
                          <w:p w14:paraId="3D4AE958">
                            <w:pPr>
                              <w:rPr>
                                <w:rFonts w:hint="default"/>
                                <w:sz w:val="20"/>
                                <w:szCs w:val="18"/>
                                <w:lang w:val="en-US" w:eastAsia="zh-CN"/>
                              </w:rPr>
                            </w:pPr>
                            <w:r>
                              <w:rPr>
                                <w:rFonts w:hint="eastAsia"/>
                                <w:sz w:val="20"/>
                                <w:szCs w:val="18"/>
                                <w:lang w:val="en-US" w:eastAsia="zh-CN"/>
                              </w:rPr>
                              <w:t>：地下水监测井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8pt;margin-top:15.9pt;height:43.7pt;width:108.45pt;z-index:251725824;mso-width-relative:page;mso-height-relative:page;" fillcolor="#FFFFFF [3201]" filled="t" stroked="t" coordsize="21600,21600" o:gfxdata="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uElpjVAAAACgEAAA8AAAAAAAAAAQAgAAAAIgAAAGRycy9kb3ducmV2LnhtbFBLAQIUABQA&#10;AAAIAIdO4kCJZ9ZZZQIAAMcEAAAOAAAAAAAAAAEAIAAAACQBAABkcnMvZTJvRG9jLnhtbFBLBQYA&#10;AAAABgAGAFkBAAD7BQAAAAA=&#10;">
                <v:fill on="t" focussize="0,0"/>
                <v:stroke weight="0.5pt" color="#000000 [3204]" joinstyle="round"/>
                <v:imagedata o:title=""/>
                <o:lock v:ext="edit" aspectratio="f"/>
                <v:textbox>
                  <w:txbxContent>
                    <w:p w14:paraId="28764E76">
                      <w:pPr>
                        <w:ind w:left="0" w:leftChars="0" w:firstLine="0" w:firstLineChars="0"/>
                        <w:jc w:val="center"/>
                        <w:rPr>
                          <w:rFonts w:hint="eastAsia"/>
                          <w:sz w:val="20"/>
                          <w:szCs w:val="18"/>
                          <w:lang w:val="en-US" w:eastAsia="zh-CN"/>
                        </w:rPr>
                      </w:pPr>
                      <w:r>
                        <w:rPr>
                          <w:rFonts w:hint="eastAsia"/>
                          <w:sz w:val="20"/>
                          <w:szCs w:val="18"/>
                          <w:lang w:val="en-US" w:eastAsia="zh-CN"/>
                        </w:rPr>
                        <w:t>图例</w:t>
                      </w:r>
                    </w:p>
                    <w:p w14:paraId="3D4AE958">
                      <w:pPr>
                        <w:rPr>
                          <w:rFonts w:hint="default"/>
                          <w:sz w:val="20"/>
                          <w:szCs w:val="18"/>
                          <w:lang w:val="en-US" w:eastAsia="zh-CN"/>
                        </w:rPr>
                      </w:pPr>
                      <w:r>
                        <w:rPr>
                          <w:rFonts w:hint="eastAsia"/>
                          <w:sz w:val="20"/>
                          <w:szCs w:val="18"/>
                          <w:lang w:val="en-US" w:eastAsia="zh-CN"/>
                        </w:rPr>
                        <w:t>：地下水监测井</w:t>
                      </w:r>
                    </w:p>
                  </w:txbxContent>
                </v:textbox>
              </v:shape>
            </w:pict>
          </mc:Fallback>
        </mc:AlternateContent>
      </w:r>
    </w:p>
    <w:p w14:paraId="48FBD735">
      <w:pPr>
        <w:bidi w:val="0"/>
        <w:rPr>
          <w:rFonts w:hint="default"/>
          <w:color w:val="auto"/>
          <w:highlight w:val="none"/>
        </w:rPr>
      </w:pPr>
      <w:r>
        <w:rPr>
          <w:rFonts w:hint="default" w:ascii="Times New Roman" w:hAnsi="Times New Roman" w:cs="Times New Roman"/>
          <w:color w:val="auto"/>
          <w:highlight w:val="none"/>
          <w:u w:color="000000"/>
        </w:rPr>
        <mc:AlternateContent>
          <mc:Choice Requires="wps">
            <w:drawing>
              <wp:anchor distT="0" distB="0" distL="114300" distR="114300" simplePos="0" relativeHeight="251726848" behindDoc="0" locked="0" layoutInCell="1" allowOverlap="1">
                <wp:simplePos x="0" y="0"/>
                <wp:positionH relativeFrom="column">
                  <wp:posOffset>4097655</wp:posOffset>
                </wp:positionH>
                <wp:positionV relativeFrom="paragraph">
                  <wp:posOffset>237490</wp:posOffset>
                </wp:positionV>
                <wp:extent cx="190500" cy="164465"/>
                <wp:effectExtent l="20955" t="19050" r="36195" b="26035"/>
                <wp:wrapNone/>
                <wp:docPr id="119" name="五角星 119"/>
                <wp:cNvGraphicFramePr/>
                <a:graphic xmlns:a="http://schemas.openxmlformats.org/drawingml/2006/main">
                  <a:graphicData uri="http://schemas.microsoft.com/office/word/2010/wordprocessingShape">
                    <wps:wsp>
                      <wps:cNvSpPr/>
                      <wps:spPr>
                        <a:xfrm>
                          <a:off x="0" y="0"/>
                          <a:ext cx="190500" cy="1644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2.65pt;margin-top:18.7pt;height:12.95pt;width:15pt;z-index:251726848;v-text-anchor:middle;mso-width-relative:page;mso-height-relative:page;" fillcolor="#FF0000" filled="t" stroked="t" coordsize="190500,164465" o:gfxdata="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8jfif2QAAAAkBAAAPAAAAAAAAAAEAIAAAACIAAABkcnMv&#10;ZG93bnJldi54bWxQSwECFAAUAAAACACHTuJATJMCBHQCAAD7BAAADgAAAAAAAAABACAAAAAoAQAA&#10;ZHJzL2Uyb0RvYy54bWxQSwUGAAAAAAYABgBZAQAADgYAAAAA&#10;" path="m0,62819l72764,62820,95250,0,117735,62820,190499,62819,131631,101644,154117,164464,95250,125639,36382,164464,58868,101644xe">
                <v:path o:connectlocs="95250,0;0,62819;36382,164464;154117,164464;190499,62819" o:connectangles="247,164,82,82,0"/>
                <v:fill on="t" focussize="0,0"/>
                <v:stroke weight="1pt" color="#FF0000 [2404]" miterlimit="8" joinstyle="miter"/>
                <v:imagedata o:title=""/>
                <o:lock v:ext="edit" aspectratio="f"/>
              </v:shape>
            </w:pict>
          </mc:Fallback>
        </mc:AlternateContent>
      </w:r>
    </w:p>
    <w:p w14:paraId="3AE7281A">
      <w:pPr>
        <w:bidi w:val="0"/>
        <w:rPr>
          <w:rFonts w:hint="default"/>
          <w:color w:val="auto"/>
          <w:highlight w:val="none"/>
        </w:rPr>
      </w:pPr>
    </w:p>
    <w:p w14:paraId="548EB781">
      <w:pPr>
        <w:pStyle w:val="210"/>
        <w:rPr>
          <w:rFonts w:hint="default" w:ascii="Times New Roman" w:hAnsi="Times New Roman" w:cs="Times New Roman"/>
          <w:color w:val="auto"/>
          <w:highlight w:val="none"/>
          <w:u w:color="000000"/>
          <w:lang w:val="en-US" w:eastAsia="zh-CN"/>
        </w:rPr>
      </w:pPr>
      <w:r>
        <w:rPr>
          <w:rFonts w:hint="eastAsia" w:ascii="Times New Roman" w:hAnsi="Times New Roman" w:cs="Times New Roman"/>
          <w:color w:val="auto"/>
          <w:highlight w:val="none"/>
          <w:u w:color="000000"/>
          <w:lang w:val="en-US" w:eastAsia="zh-CN"/>
        </w:rPr>
        <w:t>图6.2-1地下水跟踪监测井点位图</w:t>
      </w:r>
    </w:p>
    <w:p w14:paraId="2481413F">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6.2.2.4信息公开</w:t>
      </w:r>
    </w:p>
    <w:p w14:paraId="33B159F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公众参与的主体是本项目的建设单位，需要对公示的监测数据负责。</w:t>
      </w:r>
    </w:p>
    <w:p w14:paraId="6A47B8F7">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6.2.2.5应急响应措施</w:t>
      </w:r>
    </w:p>
    <w:p w14:paraId="7E7EE5E4">
      <w:pPr>
        <w:pStyle w:val="67"/>
        <w:ind w:firstLine="480"/>
        <w:rPr>
          <w:rFonts w:hint="default" w:ascii="Times New Roman" w:hAnsi="Times New Roman" w:eastAsia="宋体" w:cs="Times New Roman"/>
          <w:color w:val="auto"/>
          <w:highlight w:val="none"/>
        </w:rPr>
      </w:pPr>
      <w:bookmarkStart w:id="545" w:name="_Hlk44603732"/>
      <w:r>
        <w:rPr>
          <w:rFonts w:hint="default" w:ascii="Times New Roman" w:hAnsi="Times New Roman" w:eastAsia="宋体" w:cs="Times New Roman"/>
          <w:color w:val="auto"/>
          <w:highlight w:val="none"/>
        </w:rPr>
        <w:t>由于污水渗漏事故发生具有隐蔽性，建设单位应认真落实每季度1次的地下水跟踪监测职责，</w:t>
      </w:r>
      <w:r>
        <w:rPr>
          <w:rFonts w:hint="default" w:ascii="Times New Roman" w:hAnsi="Times New Roman" w:eastAsia="宋体" w:cs="Times New Roman"/>
          <w:color w:val="auto"/>
          <w:szCs w:val="24"/>
          <w:highlight w:val="none"/>
        </w:rPr>
        <w:t>氨氮评价标准参照《地下水质量标准》（GB/T14848-2017）Ш类标准，</w:t>
      </w:r>
      <w:r>
        <w:rPr>
          <w:rFonts w:hint="default" w:ascii="Times New Roman" w:hAnsi="Times New Roman" w:eastAsia="宋体" w:cs="Times New Roman"/>
          <w:color w:val="auto"/>
          <w:highlight w:val="none"/>
        </w:rPr>
        <w:t>运营期的地下水保护目标应定为</w:t>
      </w:r>
      <w:bookmarkStart w:id="546" w:name="_Hlk523227214"/>
      <w:r>
        <w:rPr>
          <w:rFonts w:hint="default" w:ascii="Times New Roman" w:hAnsi="Times New Roman" w:eastAsia="宋体" w:cs="Times New Roman"/>
          <w:color w:val="auto"/>
          <w:highlight w:val="none"/>
        </w:rPr>
        <w:t>氨氮监测浓度≤0.5mg/L</w:t>
      </w:r>
      <w:bookmarkStart w:id="547" w:name="_Hlk523227160"/>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COD不属于《地下水质量标准》（GB/T14848-2017）水质指标的评价因子，因此COD评价标准参照《地表水环境质量标准》（GB3838-2002）Ш类标准</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.0mg/L。如果在跟踪监测的过程氨氮检出浓度大于0.5mg/L，COD监测浓度</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.0mg/L。</w:t>
      </w:r>
      <w:bookmarkEnd w:id="546"/>
      <w:bookmarkEnd w:id="547"/>
      <w:r>
        <w:rPr>
          <w:rFonts w:hint="default" w:ascii="Times New Roman" w:hAnsi="Times New Roman" w:eastAsia="宋体" w:cs="Times New Roman"/>
          <w:color w:val="auto"/>
          <w:highlight w:val="none"/>
        </w:rPr>
        <w:t>则有可能说明污水发生渗漏。建设单位应组织开展检查工作确定是否发生污水渗漏事故。当明确发生污水渗漏事故时，应立即将废水收集池内污水用罐车将污水抽空，同时应委托具有专业资质的环境监测单位进行更全面的地下水污染跟踪监测，以便明确渗漏事故的范围和程度。建设单位应将渗漏事故上报给环境主管部门。同时应并委托有专业技术能力的机构进行地下水影响的修复工作。</w:t>
      </w:r>
    </w:p>
    <w:bookmarkEnd w:id="545"/>
    <w:p w14:paraId="719D8520">
      <w:pPr>
        <w:pStyle w:val="5"/>
        <w:spacing w:line="500" w:lineRule="exact"/>
        <w:rPr>
          <w:rFonts w:hint="default" w:ascii="Times New Roman" w:hAnsi="Times New Roman" w:cs="Times New Roman"/>
          <w:color w:val="auto"/>
          <w:highlight w:val="none"/>
        </w:rPr>
      </w:pPr>
      <w:bookmarkStart w:id="548" w:name="_Toc26196"/>
      <w:bookmarkStart w:id="549" w:name="_Toc57713699"/>
      <w:r>
        <w:rPr>
          <w:rFonts w:hint="default" w:ascii="Times New Roman" w:hAnsi="Times New Roman" w:cs="Times New Roman"/>
          <w:color w:val="auto"/>
          <w:highlight w:val="none"/>
        </w:rPr>
        <w:t>6.2.3运行期大气污染防治措施及可行性论证</w:t>
      </w:r>
      <w:bookmarkEnd w:id="548"/>
      <w:bookmarkEnd w:id="549"/>
    </w:p>
    <w:p w14:paraId="4E5D58EB">
      <w:pPr>
        <w:pStyle w:val="6"/>
        <w:pageBreakBefore w:val="0"/>
        <w:widowControl w:val="0"/>
        <w:kinsoku/>
        <w:wordWrap/>
        <w:overflowPunct/>
        <w:topLinePunct w:val="0"/>
        <w:bidi w:val="0"/>
        <w:adjustRightInd w:val="0"/>
        <w:spacing w:line="500" w:lineRule="atLeas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6.2.3.1恶臭污染防治措施</w:t>
      </w:r>
    </w:p>
    <w:p w14:paraId="52E7B87E">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1.牛舍恶臭</w:t>
      </w:r>
    </w:p>
    <w:p w14:paraId="5C99E4FD">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舍恶臭</w:t>
      </w:r>
      <w:r>
        <w:rPr>
          <w:rFonts w:hint="default" w:ascii="Times New Roman" w:hAnsi="Times New Roman" w:eastAsia="宋体" w:cs="Times New Roman"/>
          <w:color w:val="auto"/>
          <w:sz w:val="24"/>
          <w:highlight w:val="none"/>
          <w:lang w:val="en-US" w:eastAsia="zh-CN"/>
        </w:rPr>
        <w:t>及发酵区恶臭</w:t>
      </w:r>
      <w:r>
        <w:rPr>
          <w:rFonts w:hint="default" w:ascii="Times New Roman" w:hAnsi="Times New Roman" w:eastAsia="宋体" w:cs="Times New Roman"/>
          <w:color w:val="auto"/>
          <w:sz w:val="24"/>
          <w:highlight w:val="none"/>
        </w:rPr>
        <w:t>属于无组织面源排放，对恶臭的控制主要是通过管理措施和技术措施两方面来进行，管理措施包括：</w:t>
      </w:r>
      <w:r>
        <w:rPr>
          <w:rFonts w:hint="default" w:ascii="Times New Roman" w:hAnsi="Times New Roman" w:eastAsia="宋体" w:cs="Times New Roman"/>
          <w:color w:val="auto"/>
          <w:sz w:val="24"/>
          <w:highlight w:val="none"/>
          <w:lang w:val="en-US" w:eastAsia="zh-CN"/>
        </w:rPr>
        <w:t>牛舍</w:t>
      </w:r>
      <w:r>
        <w:rPr>
          <w:rFonts w:hint="default" w:ascii="Times New Roman" w:hAnsi="Times New Roman" w:eastAsia="宋体" w:cs="Times New Roman"/>
          <w:color w:val="auto"/>
          <w:sz w:val="24"/>
          <w:highlight w:val="none"/>
        </w:rPr>
        <w:t>采用</w:t>
      </w:r>
      <w:r>
        <w:rPr>
          <w:rFonts w:hint="default" w:ascii="Times New Roman" w:hAnsi="Times New Roman" w:eastAsia="宋体" w:cs="Times New Roman"/>
          <w:color w:val="auto"/>
          <w:sz w:val="24"/>
          <w:highlight w:val="none"/>
          <w:lang w:val="en-US" w:eastAsia="zh-CN"/>
        </w:rPr>
        <w:t>垫草垫料</w:t>
      </w:r>
      <w:r>
        <w:rPr>
          <w:rFonts w:hint="default" w:ascii="Times New Roman" w:hAnsi="Times New Roman" w:eastAsia="宋体" w:cs="Times New Roman"/>
          <w:color w:val="auto"/>
          <w:sz w:val="24"/>
          <w:highlight w:val="none"/>
        </w:rPr>
        <w:t>工艺、强化</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舍通风、科学的设计日粮提高饲料利用率、生产设施周边加强绿化、设置合适的防护距离；技术措施主要为对</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舍产生的恶臭喷洒除臭剂进行除臭</w:t>
      </w:r>
      <w:r>
        <w:rPr>
          <w:rFonts w:hint="default" w:ascii="Times New Roman" w:hAnsi="Times New Roman" w:eastAsia="宋体" w:cs="Times New Roman"/>
          <w:color w:val="auto"/>
          <w:sz w:val="24"/>
          <w:highlight w:val="none"/>
          <w:lang w:eastAsia="zh-CN"/>
        </w:rPr>
        <w:t>。</w:t>
      </w:r>
    </w:p>
    <w:p w14:paraId="07C77B2A">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（1）优化饲料</w:t>
      </w:r>
    </w:p>
    <w:p w14:paraId="6E0250EC">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选用饲料，利用生物方法，可将</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体内的NH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、硫化氢（H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等转化为可供畜体吸收的化合态氮和其他物质，可使排泄物中的营养成分和有害成分都明显降低，从而提高饲料消化利用率，并减少臭气的产生。但值得注意的是：使用添加剂时，应选择微生物、低聚糖等无公害饲料添加剂，以保证畜产品安全和无公害。</w:t>
      </w:r>
    </w:p>
    <w:p w14:paraId="0237B18F">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选用添加剂为EM制剂，EM制剂（Effective Microorganisms）是由大约80种微生物组成，EM菌由日本琉球大学的比嘉照夫教授1982年研究成功，于80年代投入市场。EM制剂是以光合细菌、乳酸菌、酵母菌和放线菌为主的10个属80余个微生物复合而成的一种微生活菌制剂。作用机理是形成EM菌和病原微生物争夺营养的竞争，由于EM菌在土壤中极易生存繁殖，所以能较快而稳定地占据土壤中的生态地位，形成有益的微生物菌的优势群落，从而控制病原微生物的繁殖和对作物的侵袭。是生态农业的发展方向，更有利于农业的可持续发展。80年代末90年代初，EM制剂已被日本、泰国、巴西、美国、印度尼西亚、斯里兰卡等国广泛应用于农业、养殖、种植、环保等领域，取得了明显的经济效益和生态效益。</w:t>
      </w:r>
    </w:p>
    <w:p w14:paraId="163A1B4C">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另外，分阶段饲喂，即用不同养分组成的饲料来饲喂不同生长发育阶段的</w:t>
      </w:r>
      <w:r>
        <w:rPr>
          <w:rFonts w:hint="eastAsia" w:ascii="Times New Roman" w:hAnsi="Times New Roman" w:eastAsia="宋体" w:cs="Times New Roman"/>
          <w:color w:val="auto"/>
          <w:sz w:val="24"/>
          <w:highlight w:val="none"/>
          <w:lang w:eastAsia="zh-CN"/>
        </w:rPr>
        <w:t>牛</w:t>
      </w:r>
      <w:r>
        <w:rPr>
          <w:rFonts w:hint="default" w:ascii="Times New Roman" w:hAnsi="Times New Roman" w:eastAsia="宋体" w:cs="Times New Roman"/>
          <w:color w:val="auto"/>
          <w:sz w:val="24"/>
          <w:highlight w:val="none"/>
        </w:rPr>
        <w:t>只，使饲料养分更接近</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只的生长需要，可避免养分的浪费和对环境的污染。</w:t>
      </w:r>
    </w:p>
    <w:p w14:paraId="4ED16247">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2</w:t>
      </w:r>
      <w:r>
        <w:rPr>
          <w:rFonts w:hint="default" w:ascii="Times New Roman" w:hAnsi="Times New Roman" w:eastAsia="宋体" w:cs="Times New Roman"/>
          <w:b w:val="0"/>
          <w:bCs/>
          <w:color w:val="auto"/>
          <w:sz w:val="24"/>
          <w:highlight w:val="none"/>
        </w:rPr>
        <w:t>）生物除臭剂</w:t>
      </w:r>
    </w:p>
    <w:p w14:paraId="6CC01FF7">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项目对产生臭气量较大的区域（</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舍等）采用定期喷洒生物除臭剂的方式来抑制臭气的产生。</w:t>
      </w:r>
    </w:p>
    <w:p w14:paraId="34336C0F">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物除臭的原理：微生物的细胞壁和细胞膜吸收恶臭物质，为微生物所分解、利用，使臭气得以消除。同时微生物产生的有机酸类、抗菌肽素等物质进一步遏制腐败微生物，从根本上降解可能产生恶臭气体的物质。</w:t>
      </w:r>
    </w:p>
    <w:p w14:paraId="39473B76">
      <w:pPr>
        <w:pageBreakBefore w:val="0"/>
        <w:widowControl w:val="0"/>
        <w:kinsoku/>
        <w:wordWrap/>
        <w:overflowPunct/>
        <w:topLinePunct w:val="0"/>
        <w:bidi w:val="0"/>
        <w:adjustRightInd w:val="0"/>
        <w:spacing w:line="500" w:lineRule="atLeast"/>
        <w:ind w:firstLine="480" w:firstLineChars="200"/>
        <w:textAlignment w:val="auto"/>
        <w:rPr>
          <w:rFonts w:hint="default"/>
          <w:color w:val="auto"/>
          <w:highlight w:val="none"/>
        </w:rPr>
      </w:pPr>
      <w:r>
        <w:rPr>
          <w:rFonts w:hint="default" w:ascii="Times New Roman" w:hAnsi="Times New Roman" w:eastAsia="宋体" w:cs="Times New Roman"/>
          <w:color w:val="auto"/>
          <w:sz w:val="24"/>
          <w:highlight w:val="none"/>
        </w:rPr>
        <w:t>使用方法：将除臭剂稀释100倍，用喷雾器均匀喷洒在各部位(包括地面、角落、笼具、粪尿槽等)。初期7天喷一次，连续喷洒2~3次后，待臭味减轻可10~15天喷一次。</w:t>
      </w:r>
    </w:p>
    <w:p w14:paraId="42B848C1">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3</w:t>
      </w:r>
      <w:r>
        <w:rPr>
          <w:rFonts w:hint="default" w:ascii="Times New Roman" w:hAnsi="Times New Roman" w:eastAsia="宋体" w:cs="Times New Roman"/>
          <w:b w:val="0"/>
          <w:bCs/>
          <w:color w:val="auto"/>
          <w:sz w:val="24"/>
          <w:highlight w:val="none"/>
        </w:rPr>
        <w:t>）强化</w:t>
      </w:r>
      <w:r>
        <w:rPr>
          <w:rFonts w:hint="default" w:ascii="Times New Roman" w:hAnsi="Times New Roman" w:eastAsia="宋体" w:cs="Times New Roman"/>
          <w:b w:val="0"/>
          <w:bCs/>
          <w:color w:val="auto"/>
          <w:sz w:val="24"/>
          <w:highlight w:val="none"/>
          <w:lang w:val="en-US" w:eastAsia="zh-CN"/>
        </w:rPr>
        <w:t>牛</w:t>
      </w:r>
      <w:r>
        <w:rPr>
          <w:rFonts w:hint="default" w:ascii="Times New Roman" w:hAnsi="Times New Roman" w:eastAsia="宋体" w:cs="Times New Roman"/>
          <w:b w:val="0"/>
          <w:bCs/>
          <w:color w:val="auto"/>
          <w:sz w:val="24"/>
          <w:highlight w:val="none"/>
        </w:rPr>
        <w:t>舍消毒措施</w:t>
      </w:r>
    </w:p>
    <w:p w14:paraId="018478F3">
      <w:pPr>
        <w:pageBreakBefore w:val="0"/>
        <w:widowControl w:val="0"/>
        <w:kinsoku/>
        <w:wordWrap/>
        <w:overflowPunct/>
        <w:topLinePunct w:val="0"/>
        <w:bidi w:val="0"/>
        <w:adjustRightInd w:val="0"/>
        <w:spacing w:line="500" w:lineRule="atLeast"/>
        <w:ind w:firstLine="482"/>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进出场车辆、员工进入</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舍均需进行消毒且定期需对</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舍进行消毒，进出场车辆采用消毒池进行消毒；员工及</w:t>
      </w: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舍采用喷雾状消毒器进行喷雾消毒，采用喷雾消毒方式可节省消毒水使用量。</w:t>
      </w:r>
    </w:p>
    <w:p w14:paraId="3AD251FF">
      <w:pPr>
        <w:pageBreakBefore w:val="0"/>
        <w:widowControl w:val="0"/>
        <w:kinsoku/>
        <w:wordWrap/>
        <w:overflowPunct/>
        <w:topLinePunct w:val="0"/>
        <w:bidi w:val="0"/>
        <w:adjustRightIn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4</w:t>
      </w:r>
      <w:r>
        <w:rPr>
          <w:rFonts w:hint="default" w:ascii="Times New Roman" w:hAnsi="Times New Roman" w:eastAsia="宋体" w:cs="Times New Roman"/>
          <w:b w:val="0"/>
          <w:bCs/>
          <w:color w:val="auto"/>
          <w:sz w:val="24"/>
          <w:highlight w:val="none"/>
        </w:rPr>
        <w:t>）科学</w:t>
      </w:r>
      <w:r>
        <w:rPr>
          <w:rFonts w:hint="eastAsia" w:cs="Times New Roman"/>
          <w:b w:val="0"/>
          <w:bCs/>
          <w:color w:val="auto"/>
          <w:sz w:val="24"/>
          <w:highlight w:val="none"/>
          <w:lang w:eastAsia="zh-CN"/>
        </w:rPr>
        <w:t>地</w:t>
      </w:r>
      <w:r>
        <w:rPr>
          <w:rFonts w:hint="default" w:ascii="Times New Roman" w:hAnsi="Times New Roman" w:eastAsia="宋体" w:cs="Times New Roman"/>
          <w:b w:val="0"/>
          <w:bCs/>
          <w:color w:val="auto"/>
          <w:sz w:val="24"/>
          <w:highlight w:val="none"/>
        </w:rPr>
        <w:t>设计日粮，提高饲料利用率</w:t>
      </w:r>
    </w:p>
    <w:p w14:paraId="4383F7C8">
      <w:pPr>
        <w:pageBreakBefore w:val="0"/>
        <w:widowControl w:val="0"/>
        <w:kinsoku/>
        <w:wordWrap/>
        <w:overflowPunct/>
        <w:topLinePunct w:val="0"/>
        <w:bidi w:val="0"/>
        <w:adjustRightInd w:val="0"/>
        <w:spacing w:line="500" w:lineRule="atLeast"/>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牛</w:t>
      </w:r>
      <w:r>
        <w:rPr>
          <w:rFonts w:hint="default" w:ascii="Times New Roman" w:hAnsi="Times New Roman" w:eastAsia="宋体" w:cs="Times New Roman"/>
          <w:color w:val="auto"/>
          <w:sz w:val="24"/>
          <w:highlight w:val="none"/>
        </w:rPr>
        <w:t>采食饲料后，饲料在消化道内消化过程中（尤其是后段肠道），因微生物腐败分解而产生臭气；同时没有消化吸收部分在体外被微生物降解，因此提高日粮的消化率、减少干物质（特别是蛋白质）排出量，既减少肠道臭气的产生，又可减少粪便排出后的臭气的产生，这是减少恶臭来源的有效措施。</w:t>
      </w:r>
    </w:p>
    <w:p w14:paraId="66CC405F">
      <w:pPr>
        <w:keepNext w:val="0"/>
        <w:keepLines w:val="0"/>
        <w:pageBreakBefore w:val="0"/>
        <w:widowControl w:val="0"/>
        <w:kinsoku/>
        <w:wordWrap/>
        <w:overflowPunct/>
        <w:topLinePunct w:val="0"/>
        <w:autoSpaceDE/>
        <w:autoSpaceDN/>
        <w:bidi w:val="0"/>
        <w:adjustRightInd w:val="0"/>
        <w:snapToGrid w:val="0"/>
        <w:spacing w:line="500" w:lineRule="atLeast"/>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经氨基酸平衡的低蛋白日粮：用合成氨基酸取代日粮中完整蛋白质可有效减少排泄中的氮。在低蛋白日粮中补充氨基酸可使氮的排出量减少3.2%～62%，当日粮粗蛋白降低至10g/kg体重时，氨态氮在排泄物中的含量降低9%。</w:t>
      </w:r>
    </w:p>
    <w:p w14:paraId="4E91327B">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w:t>
      </w:r>
      <w:r>
        <w:rPr>
          <w:rFonts w:hint="eastAsia" w:ascii="Times New Roman" w:hAnsi="Times New Roman" w:eastAsia="宋体" w:cs="Times New Roman"/>
          <w:b w:val="0"/>
          <w:bCs/>
          <w:color w:val="auto"/>
          <w:sz w:val="24"/>
          <w:highlight w:val="none"/>
          <w:lang w:val="en-US" w:eastAsia="zh-CN"/>
        </w:rPr>
        <w:t>5</w:t>
      </w:r>
      <w:r>
        <w:rPr>
          <w:rFonts w:hint="default" w:ascii="Times New Roman" w:hAnsi="Times New Roman" w:eastAsia="宋体" w:cs="Times New Roman"/>
          <w:b w:val="0"/>
          <w:bCs/>
          <w:color w:val="auto"/>
          <w:sz w:val="24"/>
          <w:highlight w:val="none"/>
        </w:rPr>
        <w:t>）合理布局</w:t>
      </w:r>
    </w:p>
    <w:p w14:paraId="2EB86067">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该地区全年主导风向为西南风，为减轻恶臭的影响程度，场区平面布置应将易产生恶臭的</w:t>
      </w:r>
      <w:r>
        <w:rPr>
          <w:rFonts w:hint="eastAsia" w:ascii="Times New Roman" w:hAnsi="Times New Roman" w:eastAsia="宋体" w:cs="Times New Roman"/>
          <w:color w:val="auto"/>
          <w:sz w:val="24"/>
          <w:highlight w:val="none"/>
          <w:lang w:eastAsia="zh-CN"/>
        </w:rPr>
        <w:t>牛舍</w:t>
      </w:r>
      <w:r>
        <w:rPr>
          <w:rFonts w:hint="default" w:ascii="Times New Roman" w:hAnsi="Times New Roman" w:eastAsia="宋体" w:cs="Times New Roman"/>
          <w:color w:val="auto"/>
          <w:sz w:val="24"/>
          <w:highlight w:val="none"/>
        </w:rPr>
        <w:t>设置在</w:t>
      </w:r>
      <w:r>
        <w:rPr>
          <w:rFonts w:hint="eastAsia" w:ascii="Times New Roman" w:hAnsi="Times New Roman" w:eastAsia="宋体" w:cs="Times New Roman"/>
          <w:color w:val="auto"/>
          <w:sz w:val="24"/>
          <w:highlight w:val="none"/>
          <w:lang w:eastAsia="zh-CN"/>
        </w:rPr>
        <w:t>厂区</w:t>
      </w:r>
      <w:r>
        <w:rPr>
          <w:rFonts w:hint="eastAsia" w:ascii="Times New Roman" w:hAnsi="Times New Roman" w:eastAsia="宋体" w:cs="Times New Roman"/>
          <w:color w:val="auto"/>
          <w:sz w:val="24"/>
          <w:highlight w:val="none"/>
          <w:lang w:val="en-US" w:eastAsia="zh-CN"/>
        </w:rPr>
        <w:t>西</w:t>
      </w:r>
      <w:r>
        <w:rPr>
          <w:rFonts w:hint="default" w:ascii="Times New Roman" w:hAnsi="Times New Roman" w:eastAsia="宋体" w:cs="Times New Roman"/>
          <w:color w:val="auto"/>
          <w:sz w:val="24"/>
          <w:highlight w:val="none"/>
        </w:rPr>
        <w:t>侧，办公区位于场区</w:t>
      </w:r>
      <w:r>
        <w:rPr>
          <w:rFonts w:hint="eastAsia" w:ascii="Times New Roman" w:hAnsi="Times New Roman" w:eastAsia="宋体" w:cs="Times New Roman"/>
          <w:color w:val="auto"/>
          <w:sz w:val="24"/>
          <w:highlight w:val="none"/>
          <w:lang w:eastAsia="zh-CN"/>
        </w:rPr>
        <w:t>东</w:t>
      </w:r>
      <w:r>
        <w:rPr>
          <w:rFonts w:hint="default" w:ascii="Times New Roman" w:hAnsi="Times New Roman" w:eastAsia="宋体" w:cs="Times New Roman"/>
          <w:color w:val="auto"/>
          <w:sz w:val="24"/>
          <w:highlight w:val="none"/>
        </w:rPr>
        <w:t>侧，因此</w:t>
      </w:r>
      <w:r>
        <w:rPr>
          <w:rFonts w:hint="eastAsia"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的平面布置较为合理，并在场区内设置防护林带，以减少恶臭的影响。</w:t>
      </w:r>
    </w:p>
    <w:p w14:paraId="3340BEF5">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w:t>
      </w:r>
      <w:r>
        <w:rPr>
          <w:rFonts w:hint="eastAsia" w:ascii="Times New Roman" w:hAnsi="Times New Roman" w:eastAsia="宋体" w:cs="Times New Roman"/>
          <w:b w:val="0"/>
          <w:bCs/>
          <w:color w:val="auto"/>
          <w:sz w:val="24"/>
          <w:highlight w:val="none"/>
          <w:lang w:val="en-US" w:eastAsia="zh-CN"/>
        </w:rPr>
        <w:t>6</w:t>
      </w:r>
      <w:r>
        <w:rPr>
          <w:rFonts w:hint="default" w:ascii="Times New Roman" w:hAnsi="Times New Roman" w:eastAsia="宋体" w:cs="Times New Roman"/>
          <w:b w:val="0"/>
          <w:bCs/>
          <w:color w:val="auto"/>
          <w:sz w:val="24"/>
          <w:highlight w:val="none"/>
        </w:rPr>
        <w:t>）加强绿化</w:t>
      </w:r>
    </w:p>
    <w:p w14:paraId="7238E1E1">
      <w:pPr>
        <w:pStyle w:val="67"/>
        <w:keepNext w:val="0"/>
        <w:keepLines w:val="0"/>
        <w:pageBreakBefore w:val="0"/>
        <w:widowControl w:val="0"/>
        <w:kinsoku/>
        <w:wordWrap/>
        <w:overflowPunct/>
        <w:topLinePunct w:val="0"/>
        <w:autoSpaceDE/>
        <w:autoSpaceDN/>
        <w:bidi w:val="0"/>
        <w:snapToGrid w:val="0"/>
        <w:spacing w:line="500" w:lineRule="atLeast"/>
        <w:ind w:firstLine="48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绿化工程对改善养殖场的环境质量是十分重要的。场区多种花草树木，道路两边种植乔灌木、松柏等，场界边缘地带形成多层防护林带，以降低恶臭污染的影响程度。绿化带的布置采用多行、高低结合进行，树种选择根据当地习惯多选用吸尘、降噪、防毒树种，一方面可改善厂内环境，另一方面植被具有隔音、净化空气、杀菌、滞尘等功能。同时，由于可阻低风速，减少场区内的扬尘产生量，从而在一定程度上减少污染物对周围环境的影响。企业可适当种植一些具有吸附恶臭气味的植物如夹竹桃等，以净化空气。</w:t>
      </w:r>
    </w:p>
    <w:p w14:paraId="2CA98654">
      <w:pPr>
        <w:keepNext w:val="0"/>
        <w:keepLines w:val="0"/>
        <w:pageBreakBefore w:val="0"/>
        <w:widowControl w:val="0"/>
        <w:kinsoku/>
        <w:wordWrap/>
        <w:overflowPunct/>
        <w:topLinePunct w:val="0"/>
        <w:autoSpaceDE/>
        <w:autoSpaceDN/>
        <w:bidi w:val="0"/>
        <w:snapToGrid w:val="0"/>
        <w:spacing w:line="500" w:lineRule="atLeast"/>
        <w:ind w:firstLine="480" w:firstLineChars="20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参照《排污许可证申请与核发技术规范 畜禽养殖行业》（</w:t>
      </w:r>
      <w:r>
        <w:rPr>
          <w:rFonts w:hint="default" w:ascii="Times New Roman" w:hAnsi="Times New Roman" w:eastAsia="宋体" w:cs="Times New Roman"/>
          <w:color w:val="auto"/>
          <w:kern w:val="0"/>
          <w:sz w:val="24"/>
          <w:highlight w:val="none"/>
          <w:lang w:val="en-US" w:eastAsia="zh-CN"/>
        </w:rPr>
        <w:t>HJ1029-2019</w:t>
      </w:r>
      <w:r>
        <w:rPr>
          <w:rFonts w:hint="eastAsia" w:ascii="Times New Roman" w:hAnsi="Times New Roman" w:eastAsia="宋体" w:cs="Times New Roman"/>
          <w:color w:val="auto"/>
          <w:kern w:val="0"/>
          <w:sz w:val="24"/>
          <w:highlight w:val="none"/>
          <w:lang w:val="en-US" w:eastAsia="zh-CN"/>
        </w:rPr>
        <w:t>）中表</w:t>
      </w:r>
      <w:r>
        <w:rPr>
          <w:rFonts w:hint="eastAsia" w:cs="Times New Roman"/>
          <w:color w:val="auto"/>
          <w:kern w:val="0"/>
          <w:sz w:val="24"/>
          <w:highlight w:val="none"/>
          <w:lang w:val="en-US" w:eastAsia="zh-CN"/>
        </w:rPr>
        <w:t>7</w:t>
      </w:r>
      <w:r>
        <w:rPr>
          <w:rFonts w:hint="eastAsia" w:ascii="Times New Roman" w:hAnsi="Times New Roman" w:eastAsia="宋体" w:cs="Times New Roman"/>
          <w:color w:val="auto"/>
          <w:kern w:val="0"/>
          <w:sz w:val="24"/>
          <w:highlight w:val="none"/>
          <w:lang w:val="en-US" w:eastAsia="zh-CN"/>
        </w:rPr>
        <w:t>畜禽养殖行业排污单位恶臭无组织排放控制要求，见下表。</w:t>
      </w:r>
    </w:p>
    <w:p w14:paraId="3709637B">
      <w:pPr>
        <w:pStyle w:val="210"/>
        <w:rPr>
          <w:rFonts w:hint="eastAsia" w:ascii="Times New Roman" w:hAnsi="Times New Roman" w:eastAsia="宋体"/>
          <w:b/>
          <w:bCs/>
          <w:color w:val="auto"/>
          <w:sz w:val="22"/>
          <w:szCs w:val="22"/>
          <w:highlight w:val="none"/>
          <w:lang w:eastAsia="zh-CN"/>
        </w:rPr>
      </w:pPr>
      <w:r>
        <w:rPr>
          <w:rFonts w:hint="eastAsia" w:cs="Times New Roman"/>
          <w:color w:val="auto"/>
          <w:highlight w:val="none"/>
          <w:u w:color="000000"/>
          <w:lang w:val="en-US" w:eastAsia="zh-CN"/>
        </w:rPr>
        <w:t xml:space="preserve">表6-2-4   </w:t>
      </w:r>
      <w:r>
        <w:rPr>
          <w:rFonts w:hint="default" w:cs="Times New Roman"/>
          <w:color w:val="auto"/>
          <w:highlight w:val="none"/>
          <w:u w:color="000000"/>
          <w:lang w:val="en-US" w:eastAsia="zh-CN"/>
        </w:rPr>
        <w:t>恶臭无组织控制与《排污许可证申请与核发技术规范-畜禽养殖行业》符合性</w:t>
      </w:r>
    </w:p>
    <w:tbl>
      <w:tblPr>
        <w:tblStyle w:val="48"/>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3"/>
        <w:gridCol w:w="3415"/>
        <w:gridCol w:w="2733"/>
        <w:gridCol w:w="906"/>
      </w:tblGrid>
      <w:tr w14:paraId="53115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8" w:type="pct"/>
            <w:tcBorders>
              <w:tl2br w:val="nil"/>
              <w:tr2bl w:val="nil"/>
            </w:tcBorders>
            <w:noWrap w:val="0"/>
            <w:vAlign w:val="center"/>
          </w:tcPr>
          <w:p w14:paraId="37E185D5">
            <w:pPr>
              <w:pStyle w:val="488"/>
              <w:adjustRightInd w:val="0"/>
              <w:snapToGrid w:val="0"/>
              <w:spacing w:line="240" w:lineRule="auto"/>
              <w:jc w:val="center"/>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lang w:eastAsia="zh-CN"/>
              </w:rPr>
              <w:t>主要生产设施</w:t>
            </w:r>
          </w:p>
        </w:tc>
        <w:tc>
          <w:tcPr>
            <w:tcW w:w="2086" w:type="pct"/>
            <w:tcBorders>
              <w:tl2br w:val="nil"/>
              <w:tr2bl w:val="nil"/>
            </w:tcBorders>
            <w:noWrap w:val="0"/>
            <w:vAlign w:val="center"/>
          </w:tcPr>
          <w:p w14:paraId="7DE0FBD8">
            <w:pPr>
              <w:pStyle w:val="488"/>
              <w:adjustRightInd w:val="0"/>
              <w:snapToGrid w:val="0"/>
              <w:spacing w:line="240" w:lineRule="auto"/>
              <w:jc w:val="center"/>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lang w:eastAsia="zh-CN"/>
              </w:rPr>
              <w:t>无组织排放控制要求</w:t>
            </w:r>
          </w:p>
        </w:tc>
        <w:tc>
          <w:tcPr>
            <w:tcW w:w="1675" w:type="pct"/>
            <w:tcBorders>
              <w:tl2br w:val="nil"/>
              <w:tr2bl w:val="nil"/>
            </w:tcBorders>
            <w:noWrap w:val="0"/>
            <w:vAlign w:val="center"/>
          </w:tcPr>
          <w:p w14:paraId="1B58F5EB">
            <w:pPr>
              <w:pStyle w:val="488"/>
              <w:adjustRightInd w:val="0"/>
              <w:snapToGrid w:val="0"/>
              <w:spacing w:line="240" w:lineRule="auto"/>
              <w:jc w:val="center"/>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lang w:eastAsia="zh-CN"/>
              </w:rPr>
              <w:t>本项目情况</w:t>
            </w:r>
          </w:p>
        </w:tc>
        <w:tc>
          <w:tcPr>
            <w:tcW w:w="460" w:type="pct"/>
            <w:tcBorders>
              <w:tl2br w:val="nil"/>
              <w:tr2bl w:val="nil"/>
            </w:tcBorders>
            <w:noWrap w:val="0"/>
            <w:vAlign w:val="center"/>
          </w:tcPr>
          <w:p w14:paraId="4410BF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bidi="ar"/>
              </w:rPr>
              <w:t>符合性</w:t>
            </w:r>
          </w:p>
        </w:tc>
      </w:tr>
      <w:tr w14:paraId="15E7F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8" w:type="pct"/>
            <w:tcBorders>
              <w:tl2br w:val="nil"/>
              <w:tr2bl w:val="nil"/>
            </w:tcBorders>
            <w:noWrap w:val="0"/>
            <w:vAlign w:val="center"/>
          </w:tcPr>
          <w:p w14:paraId="17491305">
            <w:pPr>
              <w:pStyle w:val="488"/>
              <w:adjustRightInd w:val="0"/>
              <w:snapToGrid w:val="0"/>
              <w:spacing w:line="240" w:lineRule="auto"/>
              <w:jc w:val="center"/>
              <w:rPr>
                <w:rFonts w:hint="eastAsia" w:ascii="Times New Roman" w:hAnsi="Times New Roman" w:eastAsia="宋体"/>
                <w:b w:val="0"/>
                <w:bCs w:val="0"/>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养殖栏舍</w:t>
            </w:r>
          </w:p>
        </w:tc>
        <w:tc>
          <w:tcPr>
            <w:tcW w:w="2086" w:type="pct"/>
            <w:tcBorders>
              <w:tl2br w:val="nil"/>
              <w:tr2bl w:val="nil"/>
            </w:tcBorders>
            <w:noWrap w:val="0"/>
            <w:vAlign w:val="center"/>
          </w:tcPr>
          <w:p w14:paraId="09221FEB">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1</w:t>
            </w:r>
            <w:r>
              <w:rPr>
                <w:rFonts w:hint="eastAsia" w:ascii="Times New Roman" w:hAnsi="Times New Roman" w:eastAsia="宋体" w:cs="Times New Roman"/>
                <w:b w:val="0"/>
                <w:bCs w:val="0"/>
                <w:color w:val="auto"/>
                <w:kern w:val="2"/>
                <w:sz w:val="21"/>
                <w:szCs w:val="21"/>
                <w:highlight w:val="none"/>
                <w:lang w:val="en-US" w:eastAsia="zh-CN" w:bidi="ar-SA"/>
              </w:rPr>
              <w:t xml:space="preserve">）选用益生菌配方饲料； </w:t>
            </w:r>
          </w:p>
          <w:p w14:paraId="0B7EEB3F">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2</w:t>
            </w:r>
            <w:r>
              <w:rPr>
                <w:rFonts w:hint="eastAsia" w:ascii="Times New Roman" w:hAnsi="Times New Roman" w:eastAsia="宋体" w:cs="Times New Roman"/>
                <w:b w:val="0"/>
                <w:bCs w:val="0"/>
                <w:color w:val="auto"/>
                <w:kern w:val="2"/>
                <w:sz w:val="21"/>
                <w:szCs w:val="21"/>
                <w:highlight w:val="none"/>
                <w:lang w:val="en-US" w:eastAsia="zh-CN" w:bidi="ar-SA"/>
              </w:rPr>
              <w:t xml:space="preserve">）及时清运粪污； </w:t>
            </w:r>
          </w:p>
          <w:p w14:paraId="119B36FF">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3</w:t>
            </w:r>
            <w:r>
              <w:rPr>
                <w:rFonts w:hint="eastAsia" w:ascii="Times New Roman" w:hAnsi="Times New Roman" w:eastAsia="宋体" w:cs="Times New Roman"/>
                <w:b w:val="0"/>
                <w:bCs w:val="0"/>
                <w:color w:val="auto"/>
                <w:kern w:val="2"/>
                <w:sz w:val="21"/>
                <w:szCs w:val="21"/>
                <w:highlight w:val="none"/>
                <w:lang w:val="en-US" w:eastAsia="zh-CN" w:bidi="ar-SA"/>
              </w:rPr>
              <w:t xml:space="preserve">）向粪便或舍内投（铺）放吸附剂减少臭气的散发； </w:t>
            </w:r>
          </w:p>
          <w:p w14:paraId="7D96176F">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4</w:t>
            </w:r>
            <w:r>
              <w:rPr>
                <w:rFonts w:hint="eastAsia" w:ascii="Times New Roman" w:hAnsi="Times New Roman" w:eastAsia="宋体" w:cs="Times New Roman"/>
                <w:b w:val="0"/>
                <w:bCs w:val="0"/>
                <w:color w:val="auto"/>
                <w:kern w:val="2"/>
                <w:sz w:val="21"/>
                <w:szCs w:val="21"/>
                <w:highlight w:val="none"/>
                <w:lang w:val="en-US" w:eastAsia="zh-CN" w:bidi="ar-SA"/>
              </w:rPr>
              <w:t xml:space="preserve">）投加或喷洒除臭剂； </w:t>
            </w:r>
          </w:p>
          <w:p w14:paraId="4198DF20">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5</w:t>
            </w:r>
            <w:r>
              <w:rPr>
                <w:rFonts w:hint="eastAsia" w:ascii="Times New Roman" w:hAnsi="Times New Roman" w:eastAsia="宋体" w:cs="Times New Roman"/>
                <w:b w:val="0"/>
                <w:bCs w:val="0"/>
                <w:color w:val="auto"/>
                <w:kern w:val="2"/>
                <w:sz w:val="21"/>
                <w:szCs w:val="21"/>
                <w:highlight w:val="none"/>
                <w:lang w:val="en-US" w:eastAsia="zh-CN" w:bidi="ar-SA"/>
              </w:rPr>
              <w:t xml:space="preserve">）集中通风排气经处理（喷淋法、生物洗涤法、吸收法）后排放； </w:t>
            </w:r>
          </w:p>
          <w:p w14:paraId="5656D931">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6</w:t>
            </w:r>
            <w:r>
              <w:rPr>
                <w:rFonts w:hint="eastAsia" w:ascii="Times New Roman" w:hAnsi="Times New Roman" w:eastAsia="宋体" w:cs="Times New Roman"/>
                <w:b w:val="0"/>
                <w:bCs w:val="0"/>
                <w:color w:val="auto"/>
                <w:kern w:val="2"/>
                <w:sz w:val="21"/>
                <w:szCs w:val="21"/>
                <w:highlight w:val="none"/>
                <w:lang w:val="en-US" w:eastAsia="zh-CN" w:bidi="ar-SA"/>
              </w:rPr>
              <w:t>）集中收集气体经处理（生物过滤法、生物洗涤法、吸收法等）后由排气筒排放。</w:t>
            </w:r>
          </w:p>
        </w:tc>
        <w:tc>
          <w:tcPr>
            <w:tcW w:w="1675" w:type="pct"/>
            <w:tcBorders>
              <w:tl2br w:val="nil"/>
              <w:tr2bl w:val="nil"/>
            </w:tcBorders>
            <w:noWrap w:val="0"/>
            <w:vAlign w:val="center"/>
          </w:tcPr>
          <w:p w14:paraId="3B882EB7">
            <w:pPr>
              <w:keepNext w:val="0"/>
              <w:keepLines w:val="0"/>
              <w:widowControl/>
              <w:suppressLineNumbers w:val="0"/>
              <w:spacing w:line="240" w:lineRule="auto"/>
              <w:jc w:val="center"/>
              <w:rPr>
                <w:rFonts w:ascii="Times New Roman" w:hAnsi="Times New Roman" w:eastAsia="宋体"/>
                <w:b w:val="0"/>
                <w:bCs w:val="0"/>
                <w:color w:val="auto"/>
                <w:sz w:val="21"/>
                <w:szCs w:val="21"/>
                <w:highlight w:val="none"/>
              </w:rPr>
            </w:pPr>
            <w:r>
              <w:rPr>
                <w:rFonts w:hint="eastAsia" w:ascii="Times New Roman" w:hAnsi="Times New Roman" w:eastAsia="宋体" w:cs="Times New Roman"/>
                <w:b w:val="0"/>
                <w:bCs w:val="0"/>
                <w:color w:val="auto"/>
                <w:kern w:val="2"/>
                <w:sz w:val="21"/>
                <w:szCs w:val="21"/>
                <w:highlight w:val="none"/>
                <w:lang w:val="en-US" w:eastAsia="zh-CN" w:bidi="ar-SA"/>
              </w:rPr>
              <w:t>本项目圈舍通风散热良好，控制饲养密度；科学喂养，优化饲料，选用添加消化酶、益生素的饲料；对牛舍喷洒环保型植物除臭剂。</w:t>
            </w:r>
          </w:p>
        </w:tc>
        <w:tc>
          <w:tcPr>
            <w:tcW w:w="460" w:type="pct"/>
            <w:tcBorders>
              <w:tl2br w:val="nil"/>
              <w:tr2bl w:val="nil"/>
            </w:tcBorders>
            <w:noWrap w:val="0"/>
            <w:vAlign w:val="center"/>
          </w:tcPr>
          <w:p w14:paraId="0FA309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符合</w:t>
            </w:r>
          </w:p>
        </w:tc>
      </w:tr>
      <w:tr w14:paraId="34CD2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8" w:type="pct"/>
            <w:tcBorders>
              <w:tl2br w:val="nil"/>
              <w:tr2bl w:val="nil"/>
            </w:tcBorders>
            <w:noWrap w:val="0"/>
            <w:vAlign w:val="center"/>
          </w:tcPr>
          <w:p w14:paraId="6B84389B">
            <w:pPr>
              <w:pStyle w:val="488"/>
              <w:adjustRightInd w:val="0"/>
              <w:snapToGrid w:val="0"/>
              <w:spacing w:line="240" w:lineRule="auto"/>
              <w:jc w:val="center"/>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eastAsia="zh-CN"/>
              </w:rPr>
              <w:t>固体粪污处理工程</w:t>
            </w:r>
          </w:p>
        </w:tc>
        <w:tc>
          <w:tcPr>
            <w:tcW w:w="2086" w:type="pct"/>
            <w:tcBorders>
              <w:tl2br w:val="nil"/>
              <w:tr2bl w:val="nil"/>
            </w:tcBorders>
            <w:noWrap w:val="0"/>
            <w:vAlign w:val="center"/>
          </w:tcPr>
          <w:p w14:paraId="4D6520B6">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1</w:t>
            </w:r>
            <w:r>
              <w:rPr>
                <w:rFonts w:hint="eastAsia" w:ascii="Times New Roman" w:hAnsi="Times New Roman" w:eastAsia="宋体" w:cs="Times New Roman"/>
                <w:b w:val="0"/>
                <w:bCs w:val="0"/>
                <w:color w:val="auto"/>
                <w:kern w:val="2"/>
                <w:sz w:val="21"/>
                <w:szCs w:val="21"/>
                <w:highlight w:val="none"/>
                <w:lang w:val="en-US" w:eastAsia="zh-CN" w:bidi="ar-SA"/>
              </w:rPr>
              <w:t xml:space="preserve">）定期喷洒除臭剂； </w:t>
            </w:r>
          </w:p>
          <w:p w14:paraId="181AC641">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2</w:t>
            </w:r>
            <w:r>
              <w:rPr>
                <w:rFonts w:hint="eastAsia" w:ascii="Times New Roman" w:hAnsi="Times New Roman" w:eastAsia="宋体" w:cs="Times New Roman"/>
                <w:b w:val="0"/>
                <w:bCs w:val="0"/>
                <w:color w:val="auto"/>
                <w:kern w:val="2"/>
                <w:sz w:val="21"/>
                <w:szCs w:val="21"/>
                <w:highlight w:val="none"/>
                <w:lang w:val="en-US" w:eastAsia="zh-CN" w:bidi="ar-SA"/>
              </w:rPr>
              <w:t xml:space="preserve">）及时清运固体粪污； </w:t>
            </w:r>
          </w:p>
          <w:p w14:paraId="176D06F6">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3</w:t>
            </w:r>
            <w:r>
              <w:rPr>
                <w:rFonts w:hint="eastAsia" w:ascii="Times New Roman" w:hAnsi="Times New Roman" w:eastAsia="宋体" w:cs="Times New Roman"/>
                <w:b w:val="0"/>
                <w:bCs w:val="0"/>
                <w:color w:val="auto"/>
                <w:kern w:val="2"/>
                <w:sz w:val="21"/>
                <w:szCs w:val="21"/>
                <w:highlight w:val="none"/>
                <w:lang w:val="en-US" w:eastAsia="zh-CN" w:bidi="ar-SA"/>
              </w:rPr>
              <w:t xml:space="preserve">）采用厌氧或好氧堆肥方式； </w:t>
            </w:r>
          </w:p>
          <w:p w14:paraId="7D8F8877">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4</w:t>
            </w:r>
            <w:r>
              <w:rPr>
                <w:rFonts w:hint="eastAsia" w:ascii="Times New Roman" w:hAnsi="Times New Roman" w:eastAsia="宋体" w:cs="Times New Roman"/>
                <w:b w:val="0"/>
                <w:bCs w:val="0"/>
                <w:color w:val="auto"/>
                <w:kern w:val="2"/>
                <w:sz w:val="21"/>
                <w:szCs w:val="21"/>
                <w:highlight w:val="none"/>
                <w:lang w:val="en-US" w:eastAsia="zh-CN" w:bidi="ar-SA"/>
              </w:rPr>
              <w:t>）集中收集气体经处理（生物过滤法、生物洗涤法、吸收法等）后由排气筒排放。</w:t>
            </w:r>
          </w:p>
        </w:tc>
        <w:tc>
          <w:tcPr>
            <w:tcW w:w="1675" w:type="pct"/>
            <w:tcBorders>
              <w:tl2br w:val="nil"/>
              <w:tr2bl w:val="nil"/>
            </w:tcBorders>
            <w:noWrap w:val="0"/>
            <w:vAlign w:val="center"/>
          </w:tcPr>
          <w:p w14:paraId="2894F03A">
            <w:pPr>
              <w:keepNext w:val="0"/>
              <w:keepLines w:val="0"/>
              <w:widowControl/>
              <w:suppressLineNumbers w:val="0"/>
              <w:spacing w:line="240" w:lineRule="auto"/>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废垫草垫料（含粪尿）每个月清理更换一次，每次清理运至堆粪场临时堆存，当日运走，做到日产日清。废垫草垫料外售给阜新北方伟业生物科技有限公司处置。</w:t>
            </w:r>
          </w:p>
        </w:tc>
        <w:tc>
          <w:tcPr>
            <w:tcW w:w="460" w:type="pct"/>
            <w:tcBorders>
              <w:tl2br w:val="nil"/>
              <w:tr2bl w:val="nil"/>
            </w:tcBorders>
            <w:noWrap w:val="0"/>
            <w:vAlign w:val="center"/>
          </w:tcPr>
          <w:p w14:paraId="587B1207">
            <w:pPr>
              <w:keepNext w:val="0"/>
              <w:keepLines w:val="0"/>
              <w:widowControl/>
              <w:suppressLineNumbers w:val="0"/>
              <w:spacing w:line="240" w:lineRule="auto"/>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符合</w:t>
            </w:r>
          </w:p>
        </w:tc>
      </w:tr>
      <w:tr w14:paraId="5726D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8" w:type="pct"/>
            <w:tcBorders>
              <w:tl2br w:val="nil"/>
              <w:tr2bl w:val="nil"/>
            </w:tcBorders>
            <w:noWrap w:val="0"/>
            <w:vAlign w:val="center"/>
          </w:tcPr>
          <w:p w14:paraId="3E7C7321">
            <w:pPr>
              <w:pStyle w:val="488"/>
              <w:adjustRightInd w:val="0"/>
              <w:snapToGrid w:val="0"/>
              <w:spacing w:line="240" w:lineRule="auto"/>
              <w:jc w:val="center"/>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eastAsia="zh-CN"/>
              </w:rPr>
              <w:t>全场</w:t>
            </w:r>
          </w:p>
        </w:tc>
        <w:tc>
          <w:tcPr>
            <w:tcW w:w="2086" w:type="pct"/>
            <w:tcBorders>
              <w:tl2br w:val="nil"/>
              <w:tr2bl w:val="nil"/>
            </w:tcBorders>
            <w:noWrap w:val="0"/>
            <w:vAlign w:val="center"/>
          </w:tcPr>
          <w:p w14:paraId="3C825827">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1</w:t>
            </w:r>
            <w:r>
              <w:rPr>
                <w:rFonts w:hint="eastAsia" w:ascii="Times New Roman" w:hAnsi="Times New Roman" w:eastAsia="宋体" w:cs="Times New Roman"/>
                <w:b w:val="0"/>
                <w:bCs w:val="0"/>
                <w:color w:val="auto"/>
                <w:kern w:val="2"/>
                <w:sz w:val="21"/>
                <w:szCs w:val="21"/>
                <w:highlight w:val="none"/>
                <w:lang w:val="en-US" w:eastAsia="zh-CN" w:bidi="ar-SA"/>
              </w:rPr>
              <w:t xml:space="preserve">）固体粪污规范还田利用； </w:t>
            </w:r>
          </w:p>
          <w:p w14:paraId="3092D076">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2</w:t>
            </w:r>
            <w:r>
              <w:rPr>
                <w:rFonts w:hint="eastAsia" w:ascii="Times New Roman" w:hAnsi="Times New Roman" w:eastAsia="宋体" w:cs="Times New Roman"/>
                <w:b w:val="0"/>
                <w:bCs w:val="0"/>
                <w:color w:val="auto"/>
                <w:kern w:val="2"/>
                <w:sz w:val="21"/>
                <w:szCs w:val="21"/>
                <w:highlight w:val="none"/>
                <w:lang w:val="en-US" w:eastAsia="zh-CN" w:bidi="ar-SA"/>
              </w:rPr>
              <w:t xml:space="preserve">）场区运输道路全硬化、及时清扫、无积灰扬尘、定期洒水抑尘； </w:t>
            </w:r>
          </w:p>
          <w:p w14:paraId="7FFD391C">
            <w:pPr>
              <w:keepNext w:val="0"/>
              <w:keepLines w:val="0"/>
              <w:widowControl/>
              <w:suppressLineNumbers w:val="0"/>
              <w:spacing w:line="240" w:lineRule="auto"/>
              <w:jc w:val="left"/>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3</w:t>
            </w:r>
            <w:r>
              <w:rPr>
                <w:rFonts w:hint="eastAsia" w:ascii="Times New Roman" w:hAnsi="Times New Roman" w:eastAsia="宋体" w:cs="Times New Roman"/>
                <w:b w:val="0"/>
                <w:bCs w:val="0"/>
                <w:color w:val="auto"/>
                <w:kern w:val="2"/>
                <w:sz w:val="21"/>
                <w:szCs w:val="21"/>
                <w:highlight w:val="none"/>
                <w:lang w:val="en-US" w:eastAsia="zh-CN" w:bidi="ar-SA"/>
              </w:rPr>
              <w:t>）加强场区绿化。</w:t>
            </w:r>
          </w:p>
        </w:tc>
        <w:tc>
          <w:tcPr>
            <w:tcW w:w="1675" w:type="pct"/>
            <w:tcBorders>
              <w:tl2br w:val="nil"/>
              <w:tr2bl w:val="nil"/>
            </w:tcBorders>
            <w:noWrap w:val="0"/>
            <w:vAlign w:val="center"/>
          </w:tcPr>
          <w:p w14:paraId="0BC7F44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废垫草垫料外售给阜新北方伟业生物科技有限公司处置。</w:t>
            </w:r>
            <w:r>
              <w:rPr>
                <w:rFonts w:hint="default" w:ascii="Times New Roman" w:hAnsi="Times New Roman" w:eastAsia="宋体" w:cs="Times New Roman"/>
                <w:color w:val="auto"/>
                <w:kern w:val="0"/>
                <w:sz w:val="21"/>
                <w:szCs w:val="21"/>
                <w:highlight w:val="none"/>
                <w:lang w:val="en-US" w:eastAsia="zh-CN" w:bidi="ar"/>
              </w:rPr>
              <w:t>场区运输道路全硬化、及时清扫；加强场区绿化。</w:t>
            </w:r>
          </w:p>
        </w:tc>
        <w:tc>
          <w:tcPr>
            <w:tcW w:w="460" w:type="pct"/>
            <w:tcBorders>
              <w:tl2br w:val="nil"/>
              <w:tr2bl w:val="nil"/>
            </w:tcBorders>
            <w:noWrap w:val="0"/>
            <w:vAlign w:val="center"/>
          </w:tcPr>
          <w:p w14:paraId="362073AD">
            <w:pPr>
              <w:keepNext w:val="0"/>
              <w:keepLines w:val="0"/>
              <w:widowControl/>
              <w:suppressLineNumbers w:val="0"/>
              <w:spacing w:line="240" w:lineRule="auto"/>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符合</w:t>
            </w:r>
          </w:p>
        </w:tc>
      </w:tr>
    </w:tbl>
    <w:p w14:paraId="01E0A9D8">
      <w:pPr>
        <w:keepNext w:val="0"/>
        <w:keepLines w:val="0"/>
        <w:pageBreakBefore w:val="0"/>
        <w:widowControl w:val="0"/>
        <w:kinsoku/>
        <w:wordWrap/>
        <w:overflowPunct/>
        <w:topLinePunct w:val="0"/>
        <w:autoSpaceDE/>
        <w:autoSpaceDN/>
        <w:bidi w:val="0"/>
        <w:adjustRightInd w:val="0"/>
        <w:snapToGrid w:val="0"/>
        <w:spacing w:line="500" w:lineRule="atLeast"/>
        <w:ind w:firstLine="480" w:firstLineChars="200"/>
        <w:textAlignment w:val="auto"/>
        <w:rPr>
          <w:rFonts w:hint="default"/>
          <w:color w:val="auto"/>
          <w:sz w:val="28"/>
          <w:highlight w:val="none"/>
        </w:rPr>
      </w:pPr>
      <w:r>
        <w:rPr>
          <w:rFonts w:hint="eastAsia" w:ascii="Times New Roman" w:hAnsi="Times New Roman" w:eastAsia="宋体" w:cs="Times New Roman"/>
          <w:color w:val="auto"/>
          <w:sz w:val="24"/>
          <w:highlight w:val="none"/>
          <w:lang w:val="en-US" w:eastAsia="zh-CN"/>
        </w:rPr>
        <w:t>根据上表，本项目恶臭气体污染防治措施符合《排污许可证申请与核发技术规范 畜禽养殖行业》（</w:t>
      </w:r>
      <w:r>
        <w:rPr>
          <w:rFonts w:hint="default" w:ascii="Times New Roman" w:hAnsi="Times New Roman" w:eastAsia="宋体" w:cs="Times New Roman"/>
          <w:color w:val="auto"/>
          <w:sz w:val="24"/>
          <w:highlight w:val="none"/>
          <w:lang w:val="en-US" w:eastAsia="zh-CN"/>
        </w:rPr>
        <w:t>HJ1029-2019</w:t>
      </w:r>
      <w:r>
        <w:rPr>
          <w:rFonts w:hint="eastAsia" w:ascii="Times New Roman" w:hAnsi="Times New Roman" w:eastAsia="宋体" w:cs="Times New Roman"/>
          <w:color w:val="auto"/>
          <w:sz w:val="24"/>
          <w:highlight w:val="none"/>
          <w:lang w:val="en-US" w:eastAsia="zh-CN"/>
        </w:rPr>
        <w:t>）关于恶臭无组织排放控制要求。</w:t>
      </w:r>
    </w:p>
    <w:p w14:paraId="72FBBD05">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 w:val="24"/>
          <w:highlight w:val="none"/>
          <w:lang w:val="en-US" w:eastAsia="zh-CN"/>
        </w:rPr>
        <w:t>根据工程分析，采取以上措施后，项目牛舍无组织排放的</w:t>
      </w:r>
      <w:r>
        <w:rPr>
          <w:rFonts w:hint="default" w:ascii="Times New Roman" w:hAnsi="Times New Roman" w:eastAsia="宋体" w:cs="Times New Roman"/>
          <w:color w:val="auto"/>
          <w:sz w:val="24"/>
          <w:highlight w:val="none"/>
          <w:lang w:val="en-US" w:eastAsia="zh-CN"/>
        </w:rPr>
        <w:t>H</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S</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NH</w:t>
      </w:r>
      <w:r>
        <w:rPr>
          <w:rFonts w:hint="eastAsia" w:ascii="Times New Roman" w:hAnsi="Times New Roman" w:eastAsia="宋体" w:cs="Times New Roman"/>
          <w:color w:val="auto"/>
          <w:sz w:val="24"/>
          <w:highlight w:val="none"/>
          <w:vertAlign w:val="subscript"/>
          <w:lang w:val="en-US" w:eastAsia="zh-CN"/>
        </w:rPr>
        <w:t>3</w:t>
      </w:r>
      <w:r>
        <w:rPr>
          <w:rFonts w:hint="eastAsia" w:ascii="Times New Roman" w:hAnsi="Times New Roman" w:eastAsia="宋体" w:cs="Times New Roman"/>
          <w:color w:val="auto"/>
          <w:sz w:val="24"/>
          <w:highlight w:val="none"/>
          <w:lang w:val="en-US" w:eastAsia="zh-CN"/>
        </w:rPr>
        <w:t>满足《恶臭污染物排放标准》（</w:t>
      </w:r>
      <w:r>
        <w:rPr>
          <w:rFonts w:hint="default" w:ascii="Times New Roman" w:hAnsi="Times New Roman" w:eastAsia="宋体" w:cs="Times New Roman"/>
          <w:color w:val="auto"/>
          <w:sz w:val="24"/>
          <w:highlight w:val="none"/>
          <w:lang w:val="en-US" w:eastAsia="zh-CN"/>
        </w:rPr>
        <w:t>GB14554-93</w:t>
      </w:r>
      <w:r>
        <w:rPr>
          <w:rFonts w:hint="eastAsia" w:ascii="Times New Roman" w:hAnsi="Times New Roman" w:eastAsia="宋体" w:cs="Times New Roman"/>
          <w:color w:val="auto"/>
          <w:sz w:val="24"/>
          <w:highlight w:val="none"/>
          <w:lang w:val="en-US" w:eastAsia="zh-CN"/>
        </w:rPr>
        <w:t>）表1二级标准新改扩建厂界标准限值；无组织排放的臭气浓度满足《畜禽养殖业污染物排放标准》（</w:t>
      </w:r>
      <w:r>
        <w:rPr>
          <w:rFonts w:hint="default" w:ascii="Times New Roman" w:hAnsi="Times New Roman" w:eastAsia="宋体" w:cs="Times New Roman"/>
          <w:color w:val="auto"/>
          <w:sz w:val="24"/>
          <w:highlight w:val="none"/>
          <w:lang w:val="en-US" w:eastAsia="zh-CN"/>
        </w:rPr>
        <w:t>GB18596-2001</w:t>
      </w:r>
      <w:r>
        <w:rPr>
          <w:rFonts w:hint="eastAsia" w:ascii="Times New Roman" w:hAnsi="Times New Roman" w:eastAsia="宋体" w:cs="Times New Roman"/>
          <w:color w:val="auto"/>
          <w:sz w:val="24"/>
          <w:highlight w:val="none"/>
          <w:lang w:val="en-US" w:eastAsia="zh-CN"/>
        </w:rPr>
        <w:t>）表7中“集约化畜禽养殖业恶臭污染物排放标准”；本项目采取的恶臭气体防治措施可行。</w:t>
      </w:r>
    </w:p>
    <w:p w14:paraId="19F5965E">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lang w:val="zh-CN"/>
        </w:rPr>
      </w:pPr>
      <w:r>
        <w:rPr>
          <w:rFonts w:hint="eastAsia" w:eastAsia="宋体" w:cs="Times New Roman"/>
          <w:color w:val="auto"/>
          <w:highlight w:val="none"/>
          <w:lang w:val="en-US" w:eastAsia="zh-CN"/>
        </w:rPr>
        <w:t>2.</w:t>
      </w:r>
      <w:r>
        <w:rPr>
          <w:rFonts w:hint="default" w:ascii="Times New Roman" w:hAnsi="Times New Roman" w:eastAsia="宋体" w:cs="Times New Roman"/>
          <w:color w:val="auto"/>
          <w:highlight w:val="none"/>
        </w:rPr>
        <w:t>堆肥间</w:t>
      </w:r>
      <w:r>
        <w:rPr>
          <w:rFonts w:hint="default" w:ascii="Times New Roman" w:hAnsi="Times New Roman" w:eastAsia="宋体" w:cs="Times New Roman"/>
          <w:color w:val="auto"/>
          <w:highlight w:val="none"/>
          <w:lang w:val="zh-CN"/>
        </w:rPr>
        <w:t>恶臭</w:t>
      </w:r>
    </w:p>
    <w:p w14:paraId="7BEF0671">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ascii="宋体" w:hAnsi="宋体" w:eastAsia="宋体" w:cs="宋体"/>
          <w:color w:val="auto"/>
          <w:spacing w:val="-3"/>
          <w:sz w:val="24"/>
          <w:szCs w:val="24"/>
          <w:highlight w:val="none"/>
        </w:rPr>
        <w:t>本项目的堆肥车间设置</w:t>
      </w:r>
      <w:r>
        <w:rPr>
          <w:rFonts w:ascii="Times New Roman" w:hAnsi="Times New Roman" w:eastAsia="Times New Roman" w:cs="Times New Roman"/>
          <w:color w:val="auto"/>
          <w:spacing w:val="-3"/>
          <w:sz w:val="24"/>
          <w:szCs w:val="24"/>
          <w:highlight w:val="none"/>
        </w:rPr>
        <w:t>1</w:t>
      </w:r>
      <w:r>
        <w:rPr>
          <w:rFonts w:ascii="宋体" w:hAnsi="宋体" w:eastAsia="宋体" w:cs="宋体"/>
          <w:color w:val="auto"/>
          <w:spacing w:val="-3"/>
          <w:sz w:val="24"/>
          <w:szCs w:val="24"/>
          <w:highlight w:val="none"/>
        </w:rPr>
        <w:t>台风量</w:t>
      </w:r>
      <w:r>
        <w:rPr>
          <w:rFonts w:ascii="Times New Roman" w:hAnsi="Times New Roman" w:eastAsia="Times New Roman" w:cs="Times New Roman"/>
          <w:color w:val="auto"/>
          <w:spacing w:val="-3"/>
          <w:sz w:val="24"/>
          <w:szCs w:val="24"/>
          <w:highlight w:val="none"/>
        </w:rPr>
        <w:t>5000m</w:t>
      </w:r>
      <w:r>
        <w:rPr>
          <w:rFonts w:ascii="Times New Roman" w:hAnsi="Times New Roman" w:eastAsia="Times New Roman" w:cs="Times New Roman"/>
          <w:color w:val="auto"/>
          <w:spacing w:val="-3"/>
          <w:position w:val="7"/>
          <w:sz w:val="15"/>
          <w:szCs w:val="15"/>
          <w:highlight w:val="none"/>
        </w:rPr>
        <w:t>3</w:t>
      </w:r>
      <w:r>
        <w:rPr>
          <w:rFonts w:ascii="Times New Roman" w:hAnsi="Times New Roman" w:eastAsia="Times New Roman" w:cs="Times New Roman"/>
          <w:color w:val="auto"/>
          <w:spacing w:val="-3"/>
          <w:sz w:val="24"/>
          <w:szCs w:val="24"/>
          <w:highlight w:val="none"/>
        </w:rPr>
        <w:t>/h</w:t>
      </w:r>
      <w:r>
        <w:rPr>
          <w:rFonts w:ascii="宋体" w:hAnsi="宋体" w:eastAsia="宋体" w:cs="宋体"/>
          <w:color w:val="auto"/>
          <w:spacing w:val="-3"/>
          <w:sz w:val="24"/>
          <w:szCs w:val="24"/>
          <w:highlight w:val="none"/>
        </w:rPr>
        <w:t>的风机收集恶臭污染物（收集率为</w:t>
      </w:r>
      <w:r>
        <w:rPr>
          <w:rFonts w:ascii="Times New Roman" w:hAnsi="Times New Roman" w:eastAsia="Times New Roman" w:cs="Times New Roman"/>
          <w:color w:val="auto"/>
          <w:spacing w:val="-1"/>
          <w:sz w:val="24"/>
          <w:szCs w:val="24"/>
          <w:highlight w:val="none"/>
        </w:rPr>
        <w:t>95%</w:t>
      </w:r>
      <w:r>
        <w:rPr>
          <w:rFonts w:ascii="宋体" w:hAnsi="宋体" w:eastAsia="宋体" w:cs="宋体"/>
          <w:color w:val="auto"/>
          <w:spacing w:val="5"/>
          <w:sz w:val="24"/>
          <w:szCs w:val="24"/>
          <w:highlight w:val="none"/>
        </w:rPr>
        <w:t>），</w:t>
      </w:r>
      <w:r>
        <w:rPr>
          <w:rFonts w:ascii="宋体" w:hAnsi="宋体" w:eastAsia="宋体" w:cs="宋体"/>
          <w:color w:val="auto"/>
          <w:spacing w:val="-1"/>
          <w:sz w:val="24"/>
          <w:szCs w:val="24"/>
          <w:highlight w:val="none"/>
        </w:rPr>
        <w:t>恶臭废气收集后进入处理效率</w:t>
      </w:r>
      <w:r>
        <w:rPr>
          <w:rFonts w:ascii="Times New Roman" w:hAnsi="Times New Roman" w:eastAsia="Times New Roman" w:cs="Times New Roman"/>
          <w:color w:val="auto"/>
          <w:spacing w:val="-1"/>
          <w:sz w:val="24"/>
          <w:szCs w:val="24"/>
          <w:highlight w:val="none"/>
        </w:rPr>
        <w:t>90%</w:t>
      </w:r>
      <w:r>
        <w:rPr>
          <w:rFonts w:ascii="宋体" w:hAnsi="宋体" w:eastAsia="宋体" w:cs="宋体"/>
          <w:color w:val="auto"/>
          <w:spacing w:val="-2"/>
          <w:sz w:val="24"/>
          <w:szCs w:val="24"/>
          <w:highlight w:val="none"/>
        </w:rPr>
        <w:t>活性炭吸附装置净化处理后经</w:t>
      </w:r>
      <w:r>
        <w:rPr>
          <w:rFonts w:ascii="Times New Roman" w:hAnsi="Times New Roman" w:eastAsia="Times New Roman" w:cs="Times New Roman"/>
          <w:color w:val="auto"/>
          <w:spacing w:val="-2"/>
          <w:sz w:val="24"/>
          <w:szCs w:val="24"/>
          <w:highlight w:val="none"/>
        </w:rPr>
        <w:t>15</w:t>
      </w:r>
      <w:r>
        <w:rPr>
          <w:rFonts w:ascii="宋体" w:hAnsi="宋体" w:eastAsia="宋体" w:cs="宋体"/>
          <w:color w:val="auto"/>
          <w:spacing w:val="-2"/>
          <w:sz w:val="24"/>
          <w:szCs w:val="24"/>
          <w:highlight w:val="none"/>
        </w:rPr>
        <w:t>米高</w:t>
      </w:r>
      <w:r>
        <w:rPr>
          <w:rFonts w:ascii="宋体" w:hAnsi="宋体" w:eastAsia="宋体" w:cs="宋体"/>
          <w:color w:val="auto"/>
          <w:spacing w:val="5"/>
          <w:sz w:val="24"/>
          <w:szCs w:val="24"/>
          <w:highlight w:val="none"/>
        </w:rPr>
        <w:t>排气筒排放。本项目堆肥车间定期喷洒除臭剂，</w:t>
      </w:r>
      <w:r>
        <w:rPr>
          <w:rFonts w:hint="eastAsia" w:ascii="宋体" w:hAnsi="宋体" w:eastAsia="宋体" w:cs="宋体"/>
          <w:color w:val="auto"/>
          <w:spacing w:val="5"/>
          <w:sz w:val="24"/>
          <w:szCs w:val="24"/>
          <w:highlight w:val="none"/>
          <w:lang w:val="en-US" w:eastAsia="zh-CN"/>
        </w:rPr>
        <w:t>外生物加垫料吸附可使</w:t>
      </w:r>
      <w:r>
        <w:rPr>
          <w:rFonts w:hint="default" w:ascii="Times New Roman" w:hAnsi="Times New Roman" w:eastAsia="宋体" w:cs="Times New Roman"/>
          <w:color w:val="auto"/>
          <w:highlight w:val="none"/>
        </w:rPr>
        <w:t>硫化氢、氨排放速率满足《恶臭污染物排放标准》（GB14554-93）表2中15m高排气筒DA00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标准要求、臭气浓度满足《恶臭污染物排放标准》（GB14554-93）表2中15m高排气筒标准要求。</w:t>
      </w:r>
    </w:p>
    <w:p w14:paraId="5A478D45">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除臭方案比选</w:t>
      </w:r>
    </w:p>
    <w:p w14:paraId="00E25BA2">
      <w:pPr>
        <w:pStyle w:val="67"/>
        <w:keepNext w:val="0"/>
        <w:keepLines w:val="0"/>
        <w:pageBreakBefore w:val="0"/>
        <w:widowControl w:val="0"/>
        <w:kinsoku/>
        <w:wordWrap/>
        <w:overflowPunct/>
        <w:topLinePunct w:val="0"/>
        <w:autoSpaceDE/>
        <w:autoSpaceDN/>
        <w:bidi w:val="0"/>
        <w:adjustRightInd w:val="0"/>
        <w:snapToGrid w:val="0"/>
        <w:spacing w:line="500" w:lineRule="atLeast"/>
        <w:ind w:firstLine="480"/>
        <w:textAlignment w:val="auto"/>
        <w:rPr>
          <w:rFonts w:hint="default" w:ascii="Times New Roman" w:hAnsi="Times New Roman" w:cs="Times New Roman"/>
          <w:color w:val="auto"/>
          <w:szCs w:val="20"/>
          <w:highlight w:val="none"/>
          <w:lang w:val="zh-CN"/>
        </w:rPr>
      </w:pPr>
      <w:r>
        <w:rPr>
          <w:rFonts w:hint="default" w:ascii="Times New Roman" w:hAnsi="Times New Roman" w:eastAsia="宋体" w:cs="Times New Roman"/>
          <w:color w:val="auto"/>
          <w:highlight w:val="none"/>
        </w:rPr>
        <w:t>各除臭方式原理、优缺点及适用范围比较见下表。</w:t>
      </w:r>
    </w:p>
    <w:p w14:paraId="6CDD599B">
      <w:pPr>
        <w:pStyle w:val="67"/>
        <w:ind w:firstLine="199" w:firstLineChars="83"/>
        <w:rPr>
          <w:rFonts w:hint="default" w:ascii="Times New Roman" w:hAnsi="Times New Roman" w:cs="Times New Roman"/>
          <w:color w:val="auto"/>
          <w:szCs w:val="20"/>
          <w:highlight w:val="none"/>
          <w:lang w:val="zh-CN"/>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6264D23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表6-2-</w:t>
      </w:r>
      <w:r>
        <w:rPr>
          <w:rFonts w:hint="default" w:ascii="Times New Roman" w:hAnsi="Times New Roman" w:cs="Times New Roman"/>
          <w:color w:val="auto"/>
          <w:highlight w:val="none"/>
          <w:lang w:val="en-US"/>
        </w:rPr>
        <w:t>5</w:t>
      </w:r>
      <w:r>
        <w:rPr>
          <w:rFonts w:hint="default" w:ascii="Times New Roman" w:hAnsi="Times New Roman" w:cs="Times New Roman"/>
          <w:color w:val="auto"/>
          <w:highlight w:val="none"/>
        </w:rPr>
        <w:t>除臭方法比选</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3969"/>
        <w:gridCol w:w="2812"/>
        <w:gridCol w:w="3426"/>
        <w:gridCol w:w="1755"/>
      </w:tblGrid>
      <w:tr w14:paraId="0BDB0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1B34621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除臭方式</w:t>
            </w:r>
          </w:p>
        </w:tc>
        <w:tc>
          <w:tcPr>
            <w:tcW w:w="1499" w:type="pct"/>
            <w:shd w:val="clear" w:color="auto" w:fill="auto"/>
            <w:vAlign w:val="center"/>
          </w:tcPr>
          <w:p w14:paraId="206E9E1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除臭原理</w:t>
            </w:r>
          </w:p>
        </w:tc>
        <w:tc>
          <w:tcPr>
            <w:tcW w:w="1062" w:type="pct"/>
            <w:shd w:val="clear" w:color="auto" w:fill="auto"/>
            <w:vAlign w:val="center"/>
          </w:tcPr>
          <w:p w14:paraId="7F1DE99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优点</w:t>
            </w:r>
          </w:p>
        </w:tc>
        <w:tc>
          <w:tcPr>
            <w:tcW w:w="1294" w:type="pct"/>
            <w:shd w:val="clear" w:color="auto" w:fill="auto"/>
            <w:vAlign w:val="center"/>
          </w:tcPr>
          <w:p w14:paraId="46E822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缺点</w:t>
            </w:r>
          </w:p>
        </w:tc>
        <w:tc>
          <w:tcPr>
            <w:tcW w:w="663" w:type="pct"/>
            <w:shd w:val="clear" w:color="auto" w:fill="auto"/>
            <w:vAlign w:val="center"/>
          </w:tcPr>
          <w:p w14:paraId="373DAA5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适用臭气源</w:t>
            </w:r>
          </w:p>
        </w:tc>
      </w:tr>
      <w:tr w14:paraId="2D9E8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072CF51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燃烧法</w:t>
            </w:r>
          </w:p>
        </w:tc>
        <w:tc>
          <w:tcPr>
            <w:tcW w:w="1499" w:type="pct"/>
            <w:shd w:val="clear" w:color="auto" w:fill="auto"/>
            <w:vAlign w:val="center"/>
          </w:tcPr>
          <w:p w14:paraId="687A28A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将臭气与氧气(12%以上)混合，在臭气成分的燃点以上(约800℃)使之燃烧，臭气成分氧化分解达到除臭目的</w:t>
            </w:r>
          </w:p>
        </w:tc>
        <w:tc>
          <w:tcPr>
            <w:tcW w:w="1062" w:type="pct"/>
            <w:shd w:val="clear" w:color="auto" w:fill="auto"/>
            <w:vAlign w:val="center"/>
          </w:tcPr>
          <w:p w14:paraId="227B51A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①不受臭气成分的限制；</w:t>
            </w:r>
          </w:p>
          <w:p w14:paraId="41ADA8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②分解彻底，高效；</w:t>
            </w:r>
          </w:p>
          <w:p w14:paraId="22FAACE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③抗冲击负荷</w:t>
            </w:r>
          </w:p>
        </w:tc>
        <w:tc>
          <w:tcPr>
            <w:tcW w:w="1294" w:type="pct"/>
            <w:shd w:val="clear" w:color="auto" w:fill="auto"/>
            <w:vAlign w:val="center"/>
          </w:tcPr>
          <w:p w14:paraId="4285963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①投资高；</w:t>
            </w:r>
          </w:p>
          <w:p w14:paraId="2D36EB0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②运行费用（燃料费）高；</w:t>
            </w:r>
          </w:p>
          <w:p w14:paraId="74588D7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③氮氧化物排放量较高，存在二次污染问题</w:t>
            </w:r>
          </w:p>
        </w:tc>
        <w:tc>
          <w:tcPr>
            <w:tcW w:w="663" w:type="pct"/>
            <w:shd w:val="clear" w:color="auto" w:fill="auto"/>
            <w:vAlign w:val="center"/>
          </w:tcPr>
          <w:p w14:paraId="5008BC7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适应于高浓度臭气，有燃烧炉的地方优先</w:t>
            </w:r>
          </w:p>
        </w:tc>
      </w:tr>
      <w:tr w14:paraId="1A3F5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453CEA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生物滴滤塔除臭</w:t>
            </w:r>
          </w:p>
        </w:tc>
        <w:tc>
          <w:tcPr>
            <w:tcW w:w="1499" w:type="pct"/>
            <w:shd w:val="clear" w:color="auto" w:fill="auto"/>
            <w:vAlign w:val="center"/>
          </w:tcPr>
          <w:p w14:paraId="2714B17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物滴滤塔主体为填充塔，内有一层或多层填料，填料表面是由微生物区系形成的几毫米厚的生物膜。含可溶性无机营养液的液体从塔上方均匀地喷洒在填料上，液体自上向下流动,然后由塔底排出并循环利用。有机废气由塔底进入生物滴滤塔，在上升的过程中与润湿的生物膜接触而被净化，净化后的气体由塔顶排出。</w:t>
            </w:r>
          </w:p>
        </w:tc>
        <w:tc>
          <w:tcPr>
            <w:tcW w:w="1062" w:type="pct"/>
            <w:shd w:val="clear" w:color="auto" w:fill="auto"/>
            <w:vAlign w:val="center"/>
          </w:tcPr>
          <w:p w14:paraId="297A93F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具有气、液相接触面积大，运行费用低、不需要外加营养物、出路效率高</w:t>
            </w:r>
          </w:p>
        </w:tc>
        <w:tc>
          <w:tcPr>
            <w:tcW w:w="1294" w:type="pct"/>
            <w:shd w:val="clear" w:color="auto" w:fill="auto"/>
            <w:vAlign w:val="center"/>
          </w:tcPr>
          <w:p w14:paraId="3D00274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适用于大气量低浓度恶臭气体的处理，东北地区冬季天气寒冷，不适宜微生物的生存</w:t>
            </w:r>
          </w:p>
        </w:tc>
        <w:tc>
          <w:tcPr>
            <w:tcW w:w="663" w:type="pct"/>
            <w:shd w:val="clear" w:color="auto" w:fill="auto"/>
            <w:vAlign w:val="center"/>
          </w:tcPr>
          <w:p w14:paraId="7C633A0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适应高中低浓度的臭气</w:t>
            </w:r>
          </w:p>
        </w:tc>
      </w:tr>
      <w:tr w14:paraId="0FF1F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7E45EC5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化学药液洗涤法</w:t>
            </w:r>
          </w:p>
        </w:tc>
        <w:tc>
          <w:tcPr>
            <w:tcW w:w="1499" w:type="pct"/>
            <w:shd w:val="clear" w:color="auto" w:fill="auto"/>
            <w:vAlign w:val="center"/>
          </w:tcPr>
          <w:p w14:paraId="34EE541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采用酸/碱/氧化剂以不可逆转的化学反应来对恶臭物质进行去除；通常使用复数的药液分阶段地进行反应；易溶于水的臭气成分可直接溶于水，也有水洗</w:t>
            </w:r>
          </w:p>
          <w:p w14:paraId="3F7451F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涤法的称谓。</w:t>
            </w:r>
          </w:p>
        </w:tc>
        <w:tc>
          <w:tcPr>
            <w:tcW w:w="1062" w:type="pct"/>
            <w:shd w:val="clear" w:color="auto" w:fill="auto"/>
            <w:vAlign w:val="center"/>
          </w:tcPr>
          <w:p w14:paraId="41AE017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①去除效率高、效果稳定；</w:t>
            </w:r>
          </w:p>
          <w:p w14:paraId="642DC3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②设备占地面积较小；</w:t>
            </w:r>
          </w:p>
          <w:p w14:paraId="1E36683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③抗冲击负荷</w:t>
            </w:r>
          </w:p>
        </w:tc>
        <w:tc>
          <w:tcPr>
            <w:tcW w:w="1294" w:type="pct"/>
            <w:shd w:val="clear" w:color="auto" w:fill="auto"/>
            <w:vAlign w:val="center"/>
          </w:tcPr>
          <w:p w14:paraId="76BF84E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①建设投资较高；</w:t>
            </w:r>
          </w:p>
          <w:p w14:paraId="27AD4C4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②运行费用（药剂费）较高；</w:t>
            </w:r>
          </w:p>
          <w:p w14:paraId="085646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③存在二次污染隐患（废液）；</w:t>
            </w:r>
          </w:p>
          <w:p w14:paraId="6F9F33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④机械电气设备繁杂，故障率高；</w:t>
            </w:r>
          </w:p>
          <w:p w14:paraId="0452F4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⑤存在药品（酸碱溶液）安全隐患</w:t>
            </w:r>
          </w:p>
        </w:tc>
        <w:tc>
          <w:tcPr>
            <w:tcW w:w="663" w:type="pct"/>
            <w:shd w:val="clear" w:color="auto" w:fill="auto"/>
            <w:vAlign w:val="center"/>
          </w:tcPr>
          <w:p w14:paraId="6C454AD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适应于任何浓度臭气</w:t>
            </w:r>
          </w:p>
        </w:tc>
      </w:tr>
      <w:tr w14:paraId="0D9D2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703F3C9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等离子除臭法</w:t>
            </w:r>
          </w:p>
        </w:tc>
        <w:tc>
          <w:tcPr>
            <w:tcW w:w="1499" w:type="pct"/>
            <w:shd w:val="clear" w:color="auto" w:fill="auto"/>
            <w:vAlign w:val="center"/>
          </w:tcPr>
          <w:p w14:paraId="6ECF62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通过离子发生装置发射出高能正、负离子，它与空气中的有机挥发气体分子接触，分解臭气中的恶臭物质</w:t>
            </w:r>
          </w:p>
        </w:tc>
        <w:tc>
          <w:tcPr>
            <w:tcW w:w="1062" w:type="pct"/>
            <w:shd w:val="clear" w:color="auto" w:fill="auto"/>
            <w:vAlign w:val="center"/>
          </w:tcPr>
          <w:p w14:paraId="6154B02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操作简单、维护方便；可根据实际情况频繁启停设备，且适用于温差及湿度变化大的场合，无须保温保湿，操作管理及维护简便，只需每半年清洁过滤器和离子管即可</w:t>
            </w:r>
          </w:p>
        </w:tc>
        <w:tc>
          <w:tcPr>
            <w:tcW w:w="1294" w:type="pct"/>
            <w:shd w:val="clear" w:color="auto" w:fill="auto"/>
            <w:vAlign w:val="center"/>
          </w:tcPr>
          <w:p w14:paraId="5D9DF22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系统使用寿命不长，更换导致成本较高</w:t>
            </w:r>
          </w:p>
        </w:tc>
        <w:tc>
          <w:tcPr>
            <w:tcW w:w="663" w:type="pct"/>
            <w:shd w:val="clear" w:color="auto" w:fill="auto"/>
            <w:vAlign w:val="center"/>
          </w:tcPr>
          <w:p w14:paraId="582D0DC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适应不宜收集，低浓度的地方</w:t>
            </w:r>
          </w:p>
        </w:tc>
      </w:tr>
      <w:tr w14:paraId="0A6D5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shd w:val="clear" w:color="auto" w:fill="auto"/>
            <w:vAlign w:val="center"/>
          </w:tcPr>
          <w:p w14:paraId="5899C1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活性炭吸附</w:t>
            </w:r>
          </w:p>
        </w:tc>
        <w:tc>
          <w:tcPr>
            <w:tcW w:w="1499" w:type="pct"/>
            <w:shd w:val="clear" w:color="auto" w:fill="auto"/>
            <w:vAlign w:val="center"/>
          </w:tcPr>
          <w:p w14:paraId="09940FC0">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通过活性炭的吸附能力，将臭气分子吸附，从而达到去除臭味的目的</w:t>
            </w:r>
          </w:p>
        </w:tc>
        <w:tc>
          <w:tcPr>
            <w:tcW w:w="1062" w:type="pct"/>
            <w:shd w:val="clear" w:color="auto" w:fill="auto"/>
            <w:vAlign w:val="center"/>
          </w:tcPr>
          <w:p w14:paraId="478A3090">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①设备简单、投资省；</w:t>
            </w:r>
          </w:p>
          <w:p w14:paraId="2459952E">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②适合去除低浓度臭气；</w:t>
            </w:r>
          </w:p>
          <w:p w14:paraId="1F1D397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③抗冲击负荷。</w:t>
            </w:r>
          </w:p>
        </w:tc>
        <w:tc>
          <w:tcPr>
            <w:tcW w:w="1294" w:type="pct"/>
            <w:shd w:val="clear" w:color="auto" w:fill="auto"/>
            <w:vAlign w:val="center"/>
          </w:tcPr>
          <w:p w14:paraId="3007D02E">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1 \* GB3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不适合高浓度臭气；</w:t>
            </w:r>
          </w:p>
          <w:p w14:paraId="6721F8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②需要定期更换或再生活性炭。</w:t>
            </w:r>
          </w:p>
        </w:tc>
        <w:tc>
          <w:tcPr>
            <w:tcW w:w="663" w:type="pct"/>
            <w:shd w:val="clear" w:color="auto" w:fill="auto"/>
            <w:vAlign w:val="center"/>
          </w:tcPr>
          <w:p w14:paraId="15E2388D">
            <w:pPr>
              <w:pStyle w:val="63"/>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适应于任何浓度臭气，但建议作为保障系统</w:t>
            </w:r>
          </w:p>
        </w:tc>
      </w:tr>
    </w:tbl>
    <w:p w14:paraId="1D89148B">
      <w:pPr>
        <w:pStyle w:val="67"/>
        <w:ind w:firstLine="0" w:firstLineChars="0"/>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AndChars" w:linePitch="326" w:charSpace="0"/>
        </w:sectPr>
      </w:pPr>
    </w:p>
    <w:p w14:paraId="442BA14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冬季东北地区寒冷，不适宜微生物生存，化学除臭法投资较高且对只针对某一种臭气进行，还会产生二次污染，燃烧法投资较高且产生氮氧化物污染环境，活性炭吸附运行成本较低，本项目产生恶臭浓度较低，因此，本项目采用活性炭吸附法作为</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rPr>
        <w:t>的恶臭净化方法。</w:t>
      </w:r>
    </w:p>
    <w:p w14:paraId="66B35FB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除臭原理</w:t>
      </w:r>
    </w:p>
    <w:p w14:paraId="16AAD91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本项目固液分离间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恶臭采用活性炭吸附处理工艺，由于活性炭固体表面上存在着未平衡和未饱和的分子引力或化学健力，因此当此固体表面与气体接触时，就能吸引气体分子，使其浓聚并保持在固体表面，污染物质及气味从而被吸附。</w:t>
      </w:r>
    </w:p>
    <w:p w14:paraId="0AF1CBE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因此，采取以上措施后，硫化氢、氨排放速率满足《恶臭污染物排放标准》（GB14554-93）表2中15m高排气筒标准要求、臭气浓度满足《恶臭污染物排放标准》（GB14554-93）表2中15m高排气筒标准要求。</w:t>
      </w:r>
    </w:p>
    <w:p w14:paraId="3A1B1EE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4、臭气浓度分析</w:t>
      </w:r>
    </w:p>
    <w:p w14:paraId="69E57D0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恶臭产生的浓度、散发量与</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数量、清粪工艺频率、牛舍通风型式、粪便处理工艺、污水停留时间长短、气象条件及其稳定程度等均密切相关，且恶臭的排放方式是面源无组织形式的，其源强相对来说具有不确定性。恶臭扩散一般有两种形式的衰减：一种是空间扩散物理；另一种为恶臭物质在日照、紫外线等因素作用下经一定时间的化学衰减。由于其机理复杂，源强和衰减量均难以准确量化，因此本次评价采用类比调查的方式说明养殖场恶臭污染源排放强度。在畜禽养殖过程中，圈舍和粪便处理设施附近臭气浓度一般较大，其值约在80～180之间，根据一些已建成的畜禽养殖场运行情况看，在场界处，以及下风向200m处，臭气浓度一般均小于2.0，建设单位通过采取加强管理、及时清理牛舍粪便、物理化学生物除臭、加速空气交换、加强绿化等措施，臭气经吸收及衰减，可大大减少恶臭对环境的影响，场界臭气浓度能满足《畜禽养殖业污染物排放标准》（GB18596-2001）中表7的限值要求。</w:t>
      </w:r>
    </w:p>
    <w:p w14:paraId="0D96213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5、除臭措施可行性分析</w:t>
      </w:r>
    </w:p>
    <w:p w14:paraId="00A7CE7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根据《排污许可证申请与核发技术规范畜禽养殖业》（HJ1029-2019）中表7提供的污染防治可行技术与本项目采取的恶臭处理措施进行对照，对照表见下表。</w:t>
      </w:r>
    </w:p>
    <w:p w14:paraId="0D61BF97">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表6-2</w:t>
      </w:r>
      <w:r>
        <w:rPr>
          <w:rFonts w:hint="default" w:ascii="Times New Roman" w:hAnsi="Times New Roman" w:cs="Times New Roman"/>
          <w:color w:val="auto"/>
          <w:highlight w:val="none"/>
          <w:lang w:val="en-US"/>
        </w:rPr>
        <w:t>-6</w:t>
      </w:r>
      <w:r>
        <w:rPr>
          <w:rFonts w:hint="default" w:ascii="Times New Roman" w:hAnsi="Times New Roman" w:cs="Times New Roman"/>
          <w:color w:val="auto"/>
          <w:highlight w:val="none"/>
        </w:rPr>
        <w:t>污染防治可行技术对照分析表</w:t>
      </w:r>
    </w:p>
    <w:tbl>
      <w:tblPr>
        <w:tblStyle w:val="4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3448"/>
        <w:gridCol w:w="3074"/>
        <w:gridCol w:w="1082"/>
      </w:tblGrid>
      <w:tr w14:paraId="50470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3513C65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生产</w:t>
            </w:r>
            <w:r>
              <w:rPr>
                <w:rFonts w:hint="default" w:ascii="Times New Roman" w:hAnsi="Times New Roman" w:eastAsia="宋体" w:cs="Times New Roman"/>
                <w:color w:val="auto"/>
                <w:highlight w:val="none"/>
              </w:rPr>
              <w:t>设施</w:t>
            </w:r>
          </w:p>
        </w:tc>
        <w:tc>
          <w:tcPr>
            <w:tcW w:w="2074" w:type="pct"/>
            <w:vAlign w:val="center"/>
          </w:tcPr>
          <w:p w14:paraId="5B868B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无组织排放控制要求</w:t>
            </w:r>
          </w:p>
        </w:tc>
        <w:tc>
          <w:tcPr>
            <w:tcW w:w="1849" w:type="pct"/>
            <w:vAlign w:val="center"/>
          </w:tcPr>
          <w:p w14:paraId="383A978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p>
        </w:tc>
        <w:tc>
          <w:tcPr>
            <w:tcW w:w="651" w:type="pct"/>
            <w:vAlign w:val="center"/>
          </w:tcPr>
          <w:p w14:paraId="4B92893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是否为可行性技术</w:t>
            </w:r>
          </w:p>
        </w:tc>
      </w:tr>
      <w:tr w14:paraId="04E2A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6933FB5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养殖栏舍</w:t>
            </w:r>
          </w:p>
        </w:tc>
        <w:tc>
          <w:tcPr>
            <w:tcW w:w="2074" w:type="pct"/>
            <w:vAlign w:val="center"/>
          </w:tcPr>
          <w:p w14:paraId="5F9326B3">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（1）选用益生菌配方饲料；</w:t>
            </w:r>
          </w:p>
          <w:p w14:paraId="707F3E4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（2）及时清运粪污；</w:t>
            </w:r>
          </w:p>
          <w:p w14:paraId="2C927D58">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（3）向粪便或舍内投(铺)放吸附剂减少臭气的散发；</w:t>
            </w:r>
          </w:p>
          <w:p w14:paraId="5462EF0B">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（4）投加或喷酒除臭剂；</w:t>
            </w:r>
          </w:p>
          <w:p w14:paraId="3A4863B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（5）集中通风排气经处理(喷淋法、生物洗涤法、吸收法等)后排放；</w:t>
            </w:r>
          </w:p>
          <w:p w14:paraId="217C246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（6）集中收集气体经处理(生物过滤法、生物洗涤法、吸收法等)后由排气简排放。</w:t>
            </w:r>
          </w:p>
        </w:tc>
        <w:tc>
          <w:tcPr>
            <w:tcW w:w="1849" w:type="pct"/>
            <w:vAlign w:val="center"/>
          </w:tcPr>
          <w:p w14:paraId="17021F2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（1）在饲料中添加EM制剂，EM制剂是一种新型的复合微生物制剂，其可增加牛消化道内有益微生物的数量，调节体内的微生物生态平衡；</w:t>
            </w:r>
          </w:p>
          <w:p w14:paraId="08A37E3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（2）及时清运粪污；</w:t>
            </w:r>
          </w:p>
          <w:p w14:paraId="3E7980F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（3）喷酒除臭剂。</w:t>
            </w:r>
          </w:p>
        </w:tc>
        <w:tc>
          <w:tcPr>
            <w:tcW w:w="651" w:type="pct"/>
            <w:vAlign w:val="center"/>
          </w:tcPr>
          <w:p w14:paraId="75C1B62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14:paraId="78D64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075CD4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固体粪污处理工程</w:t>
            </w:r>
          </w:p>
        </w:tc>
        <w:tc>
          <w:tcPr>
            <w:tcW w:w="2074" w:type="pct"/>
            <w:vAlign w:val="center"/>
          </w:tcPr>
          <w:p w14:paraId="25C501F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（1）定期喷酒除臭剂；</w:t>
            </w:r>
          </w:p>
          <w:p w14:paraId="0A60047E">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（2）及时清运固体粪污；</w:t>
            </w:r>
          </w:p>
          <w:p w14:paraId="3E060D3F">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（3）采用厌氧或好氧堆肥方式；</w:t>
            </w:r>
          </w:p>
          <w:p w14:paraId="1F05C78C">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（4）集中收集气体经处理(生物过滤法、生物洗涤法、吸收法等)后由排气简排放。</w:t>
            </w:r>
          </w:p>
        </w:tc>
        <w:tc>
          <w:tcPr>
            <w:tcW w:w="1849" w:type="pct"/>
            <w:vAlign w:val="center"/>
          </w:tcPr>
          <w:p w14:paraId="45C1AE5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（1）及时清运固体粪污；</w:t>
            </w:r>
          </w:p>
          <w:p w14:paraId="754312D9">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（2）采用好氧堆肥方式；</w:t>
            </w:r>
          </w:p>
          <w:p w14:paraId="1B78DD1A">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（3）集中收集气体经处理吸收法处理后由排气简排放。</w:t>
            </w:r>
          </w:p>
        </w:tc>
        <w:tc>
          <w:tcPr>
            <w:tcW w:w="651" w:type="pct"/>
            <w:vAlign w:val="center"/>
          </w:tcPr>
          <w:p w14:paraId="20B6618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14:paraId="501E14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39F9FA1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废水处理</w:t>
            </w:r>
          </w:p>
          <w:p w14:paraId="227A2AC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w:t>
            </w:r>
          </w:p>
        </w:tc>
        <w:tc>
          <w:tcPr>
            <w:tcW w:w="2074" w:type="pct"/>
            <w:vAlign w:val="center"/>
          </w:tcPr>
          <w:p w14:paraId="58A3334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（1）定期喷酒除臭剂；</w:t>
            </w:r>
          </w:p>
          <w:p w14:paraId="1AFF29E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（2）废水处理设施加盖或加罩；</w:t>
            </w:r>
          </w:p>
          <w:p w14:paraId="5DA4520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（3）集中收集气体经处理(生物过滤法、生物洗涤法、吸收法等)后由排气简排放。</w:t>
            </w:r>
          </w:p>
        </w:tc>
        <w:tc>
          <w:tcPr>
            <w:tcW w:w="1849" w:type="pct"/>
            <w:vAlign w:val="center"/>
          </w:tcPr>
          <w:p w14:paraId="18CCB914">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废水处理设施加盖或加罩（黑膜覆盖）。</w:t>
            </w:r>
          </w:p>
        </w:tc>
        <w:tc>
          <w:tcPr>
            <w:tcW w:w="651" w:type="pct"/>
            <w:vAlign w:val="center"/>
          </w:tcPr>
          <w:p w14:paraId="6261CD5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14:paraId="2916E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26B353D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全厂</w:t>
            </w:r>
          </w:p>
        </w:tc>
        <w:tc>
          <w:tcPr>
            <w:tcW w:w="2074" w:type="pct"/>
            <w:vAlign w:val="center"/>
          </w:tcPr>
          <w:p w14:paraId="7C225CB5">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（1）固体粪污规范还田利用；</w:t>
            </w:r>
          </w:p>
          <w:p w14:paraId="0DB9D662">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（2）场区运输道路全硬化、及时清扫、无积灰扬尘、定期酒水抑尘；</w:t>
            </w:r>
          </w:p>
          <w:p w14:paraId="4A88FA4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（3）加强场区绿化。</w:t>
            </w:r>
          </w:p>
        </w:tc>
        <w:tc>
          <w:tcPr>
            <w:tcW w:w="1849" w:type="pct"/>
            <w:vAlign w:val="center"/>
          </w:tcPr>
          <w:p w14:paraId="3E70F8E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（1）固体粪污</w:t>
            </w:r>
            <w:r>
              <w:rPr>
                <w:rFonts w:hint="default" w:ascii="Times New Roman" w:hAnsi="Times New Roman" w:eastAsia="宋体" w:cs="Times New Roman"/>
                <w:color w:val="auto"/>
                <w:highlight w:val="none"/>
                <w:lang w:val="en-US" w:eastAsia="zh-CN"/>
              </w:rPr>
              <w:t>发酵堆肥，合理利用</w:t>
            </w:r>
            <w:r>
              <w:rPr>
                <w:rFonts w:hint="default" w:ascii="Times New Roman" w:hAnsi="Times New Roman" w:eastAsia="宋体" w:cs="Times New Roman"/>
                <w:color w:val="auto"/>
                <w:highlight w:val="none"/>
              </w:rPr>
              <w:t>；</w:t>
            </w:r>
          </w:p>
          <w:p w14:paraId="7C50A83D">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（2）场区运输道路全硬化、及</w:t>
            </w:r>
          </w:p>
          <w:p w14:paraId="0E50E020">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时清扫、无积灰扬尘、定期</w:t>
            </w:r>
          </w:p>
          <w:p w14:paraId="09945451">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酒水抑尘；</w:t>
            </w:r>
          </w:p>
          <w:p w14:paraId="76C97476">
            <w:pPr>
              <w:pStyle w:val="146"/>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（3）加强场区绿化。</w:t>
            </w:r>
          </w:p>
        </w:tc>
        <w:tc>
          <w:tcPr>
            <w:tcW w:w="651" w:type="pct"/>
            <w:vAlign w:val="center"/>
          </w:tcPr>
          <w:p w14:paraId="2D2E9D3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bl>
    <w:p w14:paraId="32AC4A97">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根据上表可知本项目针对恶臭气体采取的污染防止措施均属于可行技术。畜禽养殖行业排污单位在运行过程中应保持恶臭收集系统、除臭系统的工作状态良好。采用物理化学除臭系统时，吸收塔内的吸附剂应定期再生</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在使用化学除臭剂过程中不得对设备造成腐蚀</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采用生物除臭系统时应定期投加营养物质，保证微生物活性达到设计要求。</w:t>
      </w:r>
    </w:p>
    <w:p w14:paraId="527E8C20">
      <w:pPr>
        <w:pStyle w:val="5"/>
        <w:spacing w:line="500" w:lineRule="exact"/>
        <w:rPr>
          <w:rFonts w:hint="default" w:ascii="Times New Roman" w:hAnsi="Times New Roman" w:cs="Times New Roman"/>
          <w:color w:val="auto"/>
          <w:highlight w:val="none"/>
        </w:rPr>
      </w:pPr>
      <w:bookmarkStart w:id="550" w:name="_Toc57713700"/>
      <w:bookmarkStart w:id="551" w:name="_Toc31892"/>
      <w:r>
        <w:rPr>
          <w:rFonts w:hint="default" w:ascii="Times New Roman" w:hAnsi="Times New Roman" w:cs="Times New Roman"/>
          <w:color w:val="auto"/>
          <w:highlight w:val="none"/>
        </w:rPr>
        <w:t>6.2.4运行期噪声污染防治措施及可行性论证</w:t>
      </w:r>
      <w:bookmarkEnd w:id="550"/>
      <w:bookmarkEnd w:id="551"/>
    </w:p>
    <w:p w14:paraId="4FDAC03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项目运行期间产生的噪声主要是风机、水泵等设备产生的机械噪声，为降低噪声对外环境的影响，应采取以下措施：</w:t>
      </w:r>
    </w:p>
    <w:p w14:paraId="353AAE8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1、建议在设计和设备采购阶段，充分选用先进的低噪设备，如选用低噪的风机和水泵等，以从声源上降低设备本身噪声；</w:t>
      </w:r>
    </w:p>
    <w:p w14:paraId="29EEE70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2、在噪声设备放置的生产车间的建设上，应安装隔声窗、加装吸声材料，避免露天布置；</w:t>
      </w:r>
    </w:p>
    <w:p w14:paraId="755E164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3、风机、水泵等发声设备应安装高效消声器，机座应设减振垫；消声器需加强维修或更换；加强设备的维护，确保设备处于良好的运转状态，杜绝因设备不正常运转时产生的高噪声现象。</w:t>
      </w:r>
    </w:p>
    <w:p w14:paraId="3E56477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4、着重厂区绿化，既美化环境又减轻噪声对场界环境的影响。</w:t>
      </w:r>
    </w:p>
    <w:p w14:paraId="5F587E5B">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综上所述，本项目采取上述防噪措施后，噪声对周围环境影响较小，场界噪声满足《工业企业厂界环境噪声排放标准》（GB12348-2008）</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类标要求。</w:t>
      </w:r>
    </w:p>
    <w:p w14:paraId="23837EE6">
      <w:pPr>
        <w:pStyle w:val="5"/>
        <w:spacing w:line="500" w:lineRule="exact"/>
        <w:rPr>
          <w:rFonts w:hint="default" w:ascii="Times New Roman" w:hAnsi="Times New Roman" w:cs="Times New Roman"/>
          <w:color w:val="auto"/>
          <w:highlight w:val="none"/>
        </w:rPr>
      </w:pPr>
      <w:bookmarkStart w:id="552" w:name="_Toc57713701"/>
      <w:bookmarkStart w:id="553" w:name="_Toc15752"/>
      <w:r>
        <w:rPr>
          <w:rFonts w:hint="default" w:ascii="Times New Roman" w:hAnsi="Times New Roman" w:cs="Times New Roman"/>
          <w:color w:val="auto"/>
          <w:highlight w:val="none"/>
        </w:rPr>
        <w:t>6.2.5运行期固体废物污染防治措施及可行性论证</w:t>
      </w:r>
      <w:bookmarkEnd w:id="552"/>
      <w:bookmarkEnd w:id="553"/>
    </w:p>
    <w:p w14:paraId="4EFD664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运行期固体废弃物主要为</w:t>
      </w:r>
      <w:r>
        <w:rPr>
          <w:rFonts w:hint="eastAsia" w:eastAsia="宋体" w:cs="Times New Roman"/>
          <w:color w:val="auto"/>
          <w:highlight w:val="none"/>
          <w:lang w:val="en-US" w:eastAsia="zh-CN"/>
        </w:rPr>
        <w:t>含粪污废垫料</w:t>
      </w:r>
      <w:r>
        <w:rPr>
          <w:rFonts w:hint="default" w:ascii="Times New Roman" w:hAnsi="Times New Roman" w:eastAsia="宋体" w:cs="Times New Roman"/>
          <w:color w:val="auto"/>
          <w:highlight w:val="none"/>
        </w:rPr>
        <w:t>、病死牛尸体</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废活性炭、医疗废物和生活垃圾等。</w:t>
      </w:r>
    </w:p>
    <w:p w14:paraId="3E2A6883">
      <w:pPr>
        <w:pStyle w:val="6"/>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6.2.5.1</w:t>
      </w:r>
      <w:r>
        <w:rPr>
          <w:rFonts w:hint="default" w:ascii="Times New Roman" w:hAnsi="Times New Roman" w:cs="Times New Roman"/>
          <w:snapToGrid w:val="0"/>
          <w:color w:val="auto"/>
          <w:highlight w:val="none"/>
        </w:rPr>
        <w:t>牛粪</w:t>
      </w:r>
    </w:p>
    <w:p w14:paraId="24310E3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（1）处理措施</w:t>
      </w:r>
    </w:p>
    <w:p w14:paraId="40146BC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含粪污垫料</w:t>
      </w:r>
      <w:r>
        <w:rPr>
          <w:rFonts w:hint="default" w:ascii="Times New Roman" w:hAnsi="Times New Roman" w:eastAsia="宋体" w:cs="Times New Roman"/>
          <w:color w:val="auto"/>
          <w:highlight w:val="none"/>
        </w:rPr>
        <w:t>送到堆肥间发酵。</w:t>
      </w:r>
    </w:p>
    <w:p w14:paraId="21D9A7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eastAsia" w:eastAsia="宋体" w:cs="Times New Roman"/>
          <w:color w:val="auto"/>
          <w:highlight w:val="none"/>
          <w:lang w:val="en-US" w:eastAsia="zh-CN"/>
        </w:rPr>
        <w:t>采用</w:t>
      </w:r>
      <w:r>
        <w:rPr>
          <w:rFonts w:hint="default" w:ascii="Times New Roman" w:hAnsi="Times New Roman" w:eastAsia="宋体" w:cs="Times New Roman"/>
          <w:color w:val="auto"/>
          <w:highlight w:val="none"/>
        </w:rPr>
        <w:t>畜禽养殖生物发酵床技术，</w:t>
      </w:r>
      <w:r>
        <w:rPr>
          <w:rFonts w:hint="eastAsia" w:ascii="Times New Roman" w:hAnsi="Times New Roman" w:eastAsia="宋体" w:cs="Times New Roman"/>
          <w:color w:val="auto"/>
          <w:highlight w:val="none"/>
        </w:rPr>
        <w:t>生物发酵床技术是按一定比例将发酵菌种与秸秆、锯末、稻壳以及辅助材料等混合，通过发酵形成有机垫料，将有机垫料置于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有机废垫料定期更换</w:t>
      </w:r>
      <w:r>
        <w:rPr>
          <w:rFonts w:hint="default" w:ascii="Times New Roman" w:hAnsi="Times New Roman" w:eastAsia="宋体" w:cs="Times New Roman"/>
          <w:color w:val="auto"/>
          <w:highlight w:val="none"/>
        </w:rPr>
        <w:t>运至堆肥间后采用好氧发酵工艺进行堆肥产生固体粪肥，固体粪肥使用喷粪车作为肥料施用于配套消纳地进行施肥，非施肥季节储存于堆肥间内</w:t>
      </w:r>
      <w:r>
        <w:rPr>
          <w:rFonts w:hint="eastAsia" w:eastAsia="宋体" w:cs="Times New Roman"/>
          <w:color w:val="auto"/>
          <w:highlight w:val="none"/>
          <w:lang w:eastAsia="zh-CN"/>
        </w:rPr>
        <w:t>。</w:t>
      </w:r>
    </w:p>
    <w:p w14:paraId="60C96AD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（2）堆肥处理工程可行性分析</w:t>
      </w:r>
    </w:p>
    <w:p w14:paraId="68D56C52">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吸收粪污后的垫料</w:t>
      </w:r>
      <w:r>
        <w:rPr>
          <w:rFonts w:hint="default" w:ascii="Times New Roman" w:hAnsi="Times New Roman" w:eastAsia="宋体" w:cs="Times New Roman"/>
          <w:color w:val="auto"/>
          <w:highlight w:val="none"/>
        </w:rPr>
        <w:t>是良好的</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原料，发酵过程中微生物菌群以辅料为载体与粪便组成复杂而稳定的微生态系统，能够快速使粪污及沼渣制成</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满足《畜禽养殖业污染物排放标准》（GB18596-2001）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《畜禽粪便无害化处理技术规范》（GB/T36195-2018）后作为肥料</w:t>
      </w:r>
      <w:r>
        <w:rPr>
          <w:rFonts w:hint="default" w:ascii="Times New Roman" w:hAnsi="Times New Roman" w:eastAsia="宋体" w:cs="Times New Roman"/>
          <w:color w:val="auto"/>
          <w:highlight w:val="none"/>
          <w:lang w:val="en-US" w:eastAsia="zh-CN"/>
        </w:rPr>
        <w:t>进行外售</w:t>
      </w:r>
      <w:r>
        <w:rPr>
          <w:rFonts w:hint="default" w:ascii="Times New Roman" w:hAnsi="Times New Roman" w:eastAsia="宋体" w:cs="Times New Roman"/>
          <w:color w:val="auto"/>
          <w:highlight w:val="none"/>
        </w:rPr>
        <w:t>。根据《规模畜禽养殖厂污染防治最佳可行技术指南（试行）》（HJ-BAT-10），堆肥处理最佳可行技术指标见下表。</w:t>
      </w:r>
    </w:p>
    <w:p w14:paraId="3E548985">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表6-2-</w:t>
      </w:r>
      <w:r>
        <w:rPr>
          <w:rFonts w:hint="default" w:ascii="Times New Roman" w:hAnsi="Times New Roman" w:cs="Times New Roman"/>
          <w:snapToGrid w:val="0"/>
          <w:color w:val="auto"/>
          <w:highlight w:val="none"/>
          <w:lang w:val="en-US"/>
        </w:rPr>
        <w:t>7</w:t>
      </w:r>
      <w:r>
        <w:rPr>
          <w:rFonts w:hint="default" w:ascii="Times New Roman" w:hAnsi="Times New Roman" w:cs="Times New Roman"/>
          <w:snapToGrid w:val="0"/>
          <w:color w:val="auto"/>
          <w:highlight w:val="none"/>
        </w:rPr>
        <w:t>粪污堆肥处理最佳可行技术指标</w:t>
      </w:r>
    </w:p>
    <w:tbl>
      <w:tblPr>
        <w:tblStyle w:val="47"/>
        <w:tblW w:w="83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9"/>
        <w:gridCol w:w="2738"/>
        <w:gridCol w:w="3865"/>
      </w:tblGrid>
      <w:tr w14:paraId="6F890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709" w:type="dxa"/>
            <w:shd w:val="clear" w:color="auto" w:fill="auto"/>
            <w:vAlign w:val="center"/>
          </w:tcPr>
          <w:p w14:paraId="41216E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处理工艺</w:t>
            </w:r>
          </w:p>
        </w:tc>
        <w:tc>
          <w:tcPr>
            <w:tcW w:w="2738" w:type="dxa"/>
            <w:shd w:val="clear" w:color="auto" w:fill="auto"/>
            <w:vAlign w:val="center"/>
          </w:tcPr>
          <w:p w14:paraId="493B22E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技术环节</w:t>
            </w:r>
          </w:p>
        </w:tc>
        <w:tc>
          <w:tcPr>
            <w:tcW w:w="3865" w:type="dxa"/>
            <w:shd w:val="clear" w:color="auto" w:fill="auto"/>
            <w:vAlign w:val="center"/>
          </w:tcPr>
          <w:p w14:paraId="0A956D9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最佳可行技术指标</w:t>
            </w:r>
          </w:p>
        </w:tc>
      </w:tr>
      <w:tr w14:paraId="7E538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1709" w:type="dxa"/>
            <w:vMerge w:val="restart"/>
            <w:shd w:val="clear" w:color="auto" w:fill="auto"/>
            <w:vAlign w:val="center"/>
          </w:tcPr>
          <w:p w14:paraId="4B88BE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粪污堆肥处理</w:t>
            </w:r>
          </w:p>
        </w:tc>
        <w:tc>
          <w:tcPr>
            <w:tcW w:w="2738" w:type="dxa"/>
            <w:shd w:val="clear" w:color="auto" w:fill="auto"/>
            <w:vAlign w:val="center"/>
          </w:tcPr>
          <w:p w14:paraId="248664D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初始有机物含量</w:t>
            </w:r>
          </w:p>
        </w:tc>
        <w:tc>
          <w:tcPr>
            <w:tcW w:w="3865" w:type="dxa"/>
            <w:shd w:val="clear" w:color="auto" w:fill="auto"/>
            <w:vAlign w:val="center"/>
          </w:tcPr>
          <w:p w14:paraId="20EAD4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20%～60%</w:t>
            </w:r>
          </w:p>
        </w:tc>
      </w:tr>
      <w:tr w14:paraId="36C6C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660493AA">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633A671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初始含水率</w:t>
            </w:r>
          </w:p>
        </w:tc>
        <w:tc>
          <w:tcPr>
            <w:tcW w:w="3865" w:type="dxa"/>
            <w:shd w:val="clear" w:color="auto" w:fill="auto"/>
            <w:vAlign w:val="center"/>
          </w:tcPr>
          <w:p w14:paraId="7085FF8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40%～65%</w:t>
            </w:r>
          </w:p>
        </w:tc>
      </w:tr>
      <w:tr w14:paraId="1106C9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5DD04DAA">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645D8F6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发酵温度</w:t>
            </w:r>
          </w:p>
        </w:tc>
        <w:tc>
          <w:tcPr>
            <w:tcW w:w="3865" w:type="dxa"/>
            <w:shd w:val="clear" w:color="auto" w:fill="auto"/>
            <w:vAlign w:val="center"/>
          </w:tcPr>
          <w:p w14:paraId="62CA20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50～70℃（高温持续时间7天以上）</w:t>
            </w:r>
          </w:p>
        </w:tc>
      </w:tr>
      <w:tr w14:paraId="7BE48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5E8DBB03">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5AB6C70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初始碳氮比</w:t>
            </w:r>
          </w:p>
        </w:tc>
        <w:tc>
          <w:tcPr>
            <w:tcW w:w="3865" w:type="dxa"/>
            <w:shd w:val="clear" w:color="auto" w:fill="auto"/>
            <w:vAlign w:val="center"/>
          </w:tcPr>
          <w:p w14:paraId="644F434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20～40：1</w:t>
            </w:r>
          </w:p>
        </w:tc>
      </w:tr>
      <w:tr w14:paraId="204ED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1CC6DB95">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70797D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初始pH</w:t>
            </w:r>
          </w:p>
        </w:tc>
        <w:tc>
          <w:tcPr>
            <w:tcW w:w="3865" w:type="dxa"/>
            <w:shd w:val="clear" w:color="auto" w:fill="auto"/>
            <w:vAlign w:val="center"/>
          </w:tcPr>
          <w:p w14:paraId="4D4A86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中性或弱碱性</w:t>
            </w:r>
          </w:p>
        </w:tc>
      </w:tr>
      <w:tr w14:paraId="64F70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411BF211">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789AD3E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一次发酵</w:t>
            </w:r>
          </w:p>
        </w:tc>
        <w:tc>
          <w:tcPr>
            <w:tcW w:w="3865" w:type="dxa"/>
            <w:shd w:val="clear" w:color="auto" w:fill="auto"/>
            <w:vAlign w:val="center"/>
          </w:tcPr>
          <w:p w14:paraId="0876BF2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10～30d</w:t>
            </w:r>
          </w:p>
        </w:tc>
      </w:tr>
      <w:tr w14:paraId="28C40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709" w:type="dxa"/>
            <w:vMerge w:val="continue"/>
            <w:shd w:val="clear" w:color="auto" w:fill="auto"/>
            <w:vAlign w:val="center"/>
          </w:tcPr>
          <w:p w14:paraId="5F63BE67">
            <w:pPr>
              <w:pStyle w:val="146"/>
              <w:rPr>
                <w:rFonts w:hint="default" w:ascii="Times New Roman" w:hAnsi="Times New Roman" w:eastAsia="宋体" w:cs="Times New Roman"/>
                <w:snapToGrid w:val="0"/>
                <w:color w:val="auto"/>
                <w:highlight w:val="none"/>
              </w:rPr>
            </w:pPr>
          </w:p>
        </w:tc>
        <w:tc>
          <w:tcPr>
            <w:tcW w:w="2738" w:type="dxa"/>
            <w:shd w:val="clear" w:color="auto" w:fill="auto"/>
            <w:vAlign w:val="center"/>
          </w:tcPr>
          <w:p w14:paraId="5ADF45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翻堆频率</w:t>
            </w:r>
          </w:p>
        </w:tc>
        <w:tc>
          <w:tcPr>
            <w:tcW w:w="3865" w:type="dxa"/>
            <w:shd w:val="clear" w:color="auto" w:fill="auto"/>
            <w:vAlign w:val="center"/>
          </w:tcPr>
          <w:p w14:paraId="060E4CE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2～10d/次，发酵过程不少于7次</w:t>
            </w:r>
          </w:p>
        </w:tc>
      </w:tr>
    </w:tbl>
    <w:p w14:paraId="4A6D1E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2"/>
          <w:highlight w:val="none"/>
          <w:lang w:val="en-US" w:eastAsia="zh-CN"/>
        </w:rPr>
        <w:t>项目牛舍建设过程中将加入EM发酵菌垫床铺设至牛舍底部，通过牛群踩踏的方式使牛粪、牛尿、EM发酵菌与秸秆充分混合发酵，形成粪床（</w:t>
      </w:r>
      <w:r>
        <w:rPr>
          <w:rFonts w:hint="eastAsia" w:ascii="Times New Roman" w:hAnsi="Times New Roman" w:eastAsia="宋体" w:cs="Times New Roman"/>
          <w:color w:val="auto"/>
          <w:sz w:val="24"/>
          <w:szCs w:val="22"/>
          <w:highlight w:val="none"/>
          <w:lang w:val="en-US" w:eastAsia="zh-CN"/>
        </w:rPr>
        <w:t>水分</w:t>
      </w:r>
      <w:r>
        <w:rPr>
          <w:rFonts w:hint="default" w:ascii="Times New Roman" w:hAnsi="Times New Roman" w:eastAsia="宋体" w:cs="Times New Roman"/>
          <w:color w:val="auto"/>
          <w:sz w:val="24"/>
          <w:szCs w:val="22"/>
          <w:highlight w:val="none"/>
          <w:lang w:val="en-US" w:eastAsia="zh-CN"/>
        </w:rPr>
        <w:t>为50%）。发酵过程中粪床内部温度可达到60℃，可以保证杀死各种病原菌，达到《畜禽养殖</w:t>
      </w:r>
      <w:r>
        <w:rPr>
          <w:rFonts w:hint="default" w:ascii="Times New Roman" w:hAnsi="Times New Roman" w:eastAsia="宋体" w:cs="Times New Roman"/>
          <w:color w:val="auto"/>
          <w:sz w:val="24"/>
          <w:szCs w:val="24"/>
          <w:highlight w:val="none"/>
          <w:lang w:val="en-US" w:eastAsia="zh-CN"/>
        </w:rPr>
        <w:t>粪便贮存设施设计要求》（GB/T27622-2011）无害化处理要求后，</w:t>
      </w:r>
      <w:r>
        <w:rPr>
          <w:rFonts w:hint="eastAsia" w:ascii="Times New Roman" w:hAnsi="Times New Roman" w:eastAsia="宋体" w:cs="Times New Roman"/>
          <w:color w:val="auto"/>
          <w:sz w:val="24"/>
          <w:szCs w:val="24"/>
          <w:highlight w:val="none"/>
          <w:lang w:val="en-US" w:eastAsia="zh-CN"/>
        </w:rPr>
        <w:t>采用槽式发酵法，</w:t>
      </w:r>
      <w:r>
        <w:rPr>
          <w:rFonts w:hint="default" w:ascii="Times New Roman" w:hAnsi="Times New Roman" w:eastAsia="宋体" w:cs="Times New Roman"/>
          <w:color w:val="auto"/>
          <w:highlight w:val="none"/>
        </w:rPr>
        <w:t>将</w:t>
      </w:r>
      <w:r>
        <w:rPr>
          <w:rFonts w:hint="eastAsia" w:ascii="Times New Roman" w:hAnsi="Times New Roman" w:eastAsia="宋体" w:cs="Times New Roman"/>
          <w:color w:val="auto"/>
          <w:highlight w:val="none"/>
          <w:lang w:val="en-US" w:eastAsia="zh-CN"/>
        </w:rPr>
        <w:t>混合粪污的垫料</w:t>
      </w:r>
      <w:r>
        <w:rPr>
          <w:rFonts w:hint="default" w:ascii="Times New Roman" w:hAnsi="Times New Roman" w:eastAsia="宋体" w:cs="Times New Roman"/>
          <w:color w:val="auto"/>
          <w:highlight w:val="none"/>
        </w:rPr>
        <w:t>和微生物菌剂等均匀混合铺入堆肥间，定期翻转，发酵过程中对温度、湿度进行监控，并根据要求进行适当调节。好氧发酵时间一般为</w:t>
      </w:r>
      <w:r>
        <w:rPr>
          <w:rFonts w:hint="eastAsia" w:ascii="Times New Roman" w:hAnsi="Times New Roman" w:eastAsia="宋体" w:cs="Times New Roman"/>
          <w:color w:val="auto"/>
          <w:highlight w:val="none"/>
          <w:lang w:val="en-US" w:eastAsia="zh-CN"/>
        </w:rPr>
        <w:t>15-30</w:t>
      </w:r>
      <w:r>
        <w:rPr>
          <w:rFonts w:hint="default" w:ascii="Times New Roman" w:hAnsi="Times New Roman" w:eastAsia="宋体" w:cs="Times New Roman"/>
          <w:color w:val="auto"/>
          <w:highlight w:val="none"/>
        </w:rPr>
        <w:t>天，平均2天采用翻堆机翻堆一次，在翻堆过程中边打散，边翻堆、边加微生物菌剂。发酵过程中堆体温度迅速升高并进入高温分解阶段，微生物消耗有机物和养分而大量繁殖，有机质在氧气充足的条件下强烈分解。堆体温度在55℃的条件下即可杀灭堆料中所含的致病微生物，实现无害化处理。发酵过程中微生物菌群以辅料为载体与粪便组成复杂而稳定的微生态系统，能够快速使粪污制成固体粪肥，固体粪肥满足《畜禽养殖业污染物排放标准》（GB18596-2001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《畜禽粪便无害化处理技术规范》（GB/T36195-2018）、《畜禽粪便还田技术规范》（GB/T25246-2010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后作为肥料施用于配套消纳地进行施肥，非施肥季节储存于</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内。</w:t>
      </w:r>
    </w:p>
    <w:p w14:paraId="50C32B67">
      <w:pPr>
        <w:pStyle w:val="6"/>
        <w:rPr>
          <w:rFonts w:hint="default" w:ascii="Times New Roman" w:hAnsi="Times New Roman" w:cs="Times New Roman"/>
          <w:color w:val="auto"/>
          <w:kern w:val="0"/>
          <w:highlight w:val="none"/>
        </w:rPr>
      </w:pPr>
      <w:r>
        <w:rPr>
          <w:rStyle w:val="78"/>
          <w:rFonts w:hint="default" w:ascii="Times New Roman" w:hAnsi="Times New Roman" w:cs="Times New Roman"/>
          <w:color w:val="auto"/>
          <w:highlight w:val="none"/>
        </w:rPr>
        <w:t>6.2.5.2病死牛尸体</w:t>
      </w:r>
    </w:p>
    <w:p w14:paraId="0ADED2A3">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在项目运行期间产生的病死牛分正常死亡和意外死亡两种，对于不同死亡方式产生的病死牛，应严格按照《黑龙江省动物防疫条例</w:t>
      </w:r>
      <w:r>
        <w:rPr>
          <w:rFonts w:hint="default" w:ascii="Times New Roman" w:hAnsi="Times New Roman" w:eastAsia="宋体" w:cs="Times New Roman"/>
          <w:color w:val="auto"/>
          <w:szCs w:val="20"/>
          <w:highlight w:val="none"/>
          <w:lang w:eastAsia="zh-CN"/>
        </w:rPr>
        <w:t>（</w:t>
      </w:r>
      <w:r>
        <w:rPr>
          <w:rFonts w:hint="default" w:ascii="Times New Roman" w:hAnsi="Times New Roman" w:eastAsia="宋体" w:cs="Times New Roman"/>
          <w:color w:val="auto"/>
          <w:szCs w:val="20"/>
          <w:highlight w:val="none"/>
          <w:lang w:val="en-US" w:eastAsia="zh-CN"/>
        </w:rPr>
        <w:t>2021年修订版）</w:t>
      </w:r>
      <w:r>
        <w:rPr>
          <w:rFonts w:hint="default" w:ascii="Times New Roman" w:hAnsi="Times New Roman" w:eastAsia="宋体" w:cs="Times New Roman"/>
          <w:color w:val="auto"/>
          <w:szCs w:val="20"/>
          <w:highlight w:val="none"/>
        </w:rPr>
        <w:t>》采取不同的对策及时处理，严禁随意丢弃，严禁出售或作为饲料再利用。</w:t>
      </w:r>
    </w:p>
    <w:p w14:paraId="45376F65">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根据中华人民共和国农业农村部《动物防疫条件审查办法》（2022年9月7日），第八条：</w:t>
      </w:r>
    </w:p>
    <w:p w14:paraId="4F76B838">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（一）饲养区内设置配备疫苗冷藏冷冻设备、消毒和诊疗等防疫设备的兽医室；</w:t>
      </w:r>
    </w:p>
    <w:p w14:paraId="79E884C1">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（二）饲养区内清洁道、污染道分设；</w:t>
      </w:r>
    </w:p>
    <w:p w14:paraId="6B62B6A2">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（三）配备符合国家规定的病死动物和病害动物产品无害化处理设施设备或者冷藏冷冻等暂存设施设备；</w:t>
      </w:r>
    </w:p>
    <w:p w14:paraId="115DFEA3">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（四）建立动物进出登记、免疫、用药、疫情报告、无害化处理等动物防疫制度。</w:t>
      </w:r>
    </w:p>
    <w:p w14:paraId="51C92614">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本项目饲养区内清洁道、污染道分设，配备符合上述要求的兽医室，本项目单独设置冷冻间，位于隔离区，用于暂存产生的病死牛，产生的病死牛不得随意处置，及时委托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szCs w:val="20"/>
          <w:highlight w:val="none"/>
        </w:rPr>
        <w:t>统一处理。</w:t>
      </w:r>
    </w:p>
    <w:p w14:paraId="037BDBB0">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6.2.5.</w:t>
      </w:r>
      <w:r>
        <w:rPr>
          <w:rFonts w:hint="default" w:ascii="Times New Roman" w:hAnsi="Times New Roman" w:cs="Times New Roman"/>
          <w:snapToGrid w:val="0"/>
          <w:color w:val="auto"/>
          <w:highlight w:val="none"/>
          <w:lang w:val="en-US" w:eastAsia="zh-CN"/>
        </w:rPr>
        <w:t>4</w:t>
      </w:r>
      <w:r>
        <w:rPr>
          <w:rFonts w:hint="default" w:ascii="Times New Roman" w:hAnsi="Times New Roman" w:cs="Times New Roman"/>
          <w:snapToGrid w:val="0"/>
          <w:color w:val="auto"/>
          <w:highlight w:val="none"/>
        </w:rPr>
        <w:t>废活性炭</w:t>
      </w:r>
    </w:p>
    <w:p w14:paraId="5FBCBFB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本项目废活性炭来自</w:t>
      </w:r>
      <w:r>
        <w:rPr>
          <w:rFonts w:hint="default"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rPr>
        <w:t>恶臭的活性炭吸附装置，为保证活性炭吸附装置的有效性，活性炭每季度更换一次，废活性炭</w:t>
      </w:r>
      <w:r>
        <w:rPr>
          <w:rFonts w:hint="default" w:ascii="Times New Roman" w:hAnsi="Times New Roman" w:eastAsia="宋体" w:cs="Times New Roman"/>
          <w:color w:val="auto"/>
          <w:szCs w:val="21"/>
          <w:highlight w:val="none"/>
        </w:rPr>
        <w:t>由厂家回收处理</w:t>
      </w:r>
      <w:r>
        <w:rPr>
          <w:rFonts w:hint="default" w:ascii="Times New Roman" w:hAnsi="Times New Roman" w:eastAsia="宋体" w:cs="Times New Roman"/>
          <w:color w:val="auto"/>
          <w:highlight w:val="none"/>
        </w:rPr>
        <w:t>。</w:t>
      </w:r>
    </w:p>
    <w:p w14:paraId="402AD265">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6.2.5.</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生活垃圾处置措施</w:t>
      </w:r>
    </w:p>
    <w:p w14:paraId="227308C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项目运行期间产生的生活垃圾分类收集，设置垃圾箱，由市政部门统一清运处理。</w:t>
      </w:r>
    </w:p>
    <w:p w14:paraId="34379A3D">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6.2.5.</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医疗废物</w:t>
      </w:r>
    </w:p>
    <w:p w14:paraId="7D6362F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医疗废物属于危险废物，类别HW01，代码900-001-01，暂存于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内，</w:t>
      </w:r>
      <w:r>
        <w:rPr>
          <w:rFonts w:hint="default" w:ascii="Times New Roman" w:hAnsi="Times New Roman" w:eastAsia="宋体" w:cs="Times New Roman"/>
          <w:color w:val="auto"/>
          <w:szCs w:val="24"/>
          <w:highlight w:val="none"/>
        </w:rPr>
        <w:t>交由有资质单位处置</w:t>
      </w:r>
      <w:r>
        <w:rPr>
          <w:rFonts w:hint="default" w:ascii="Times New Roman" w:hAnsi="Times New Roman" w:eastAsia="宋体" w:cs="Times New Roman"/>
          <w:color w:val="auto"/>
          <w:highlight w:val="none"/>
        </w:rPr>
        <w:t>，不得自行处置。</w:t>
      </w:r>
    </w:p>
    <w:p w14:paraId="323E89F4">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危险废物的贮存执行《危险废物贮存污染控制标准》（GB18597-2023）的有关规定，收集、运输、包装等应符合《危险废物污染防治技术政策》中的有关规定。</w:t>
      </w:r>
    </w:p>
    <w:p w14:paraId="3B021968">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fldChar w:fldCharType="begin"/>
      </w:r>
      <w:r>
        <w:rPr>
          <w:rFonts w:hint="default" w:ascii="Times New Roman" w:hAnsi="Times New Roman" w:eastAsia="宋体" w:cs="Times New Roman"/>
          <w:color w:val="auto"/>
          <w:szCs w:val="20"/>
          <w:highlight w:val="none"/>
        </w:rPr>
        <w:instrText xml:space="preserve"> = 1 \* GB3 </w:instrText>
      </w:r>
      <w:r>
        <w:rPr>
          <w:rFonts w:hint="default" w:ascii="Times New Roman" w:hAnsi="Times New Roman" w:eastAsia="宋体" w:cs="Times New Roman"/>
          <w:color w:val="auto"/>
          <w:szCs w:val="20"/>
          <w:highlight w:val="none"/>
        </w:rPr>
        <w:fldChar w:fldCharType="separate"/>
      </w:r>
      <w:r>
        <w:rPr>
          <w:rFonts w:hint="default" w:ascii="Times New Roman" w:hAnsi="Times New Roman" w:eastAsia="宋体" w:cs="Times New Roman"/>
          <w:color w:val="auto"/>
          <w:szCs w:val="20"/>
          <w:highlight w:val="none"/>
        </w:rPr>
        <w:t>①</w:t>
      </w:r>
      <w:r>
        <w:rPr>
          <w:rFonts w:hint="default" w:ascii="Times New Roman" w:hAnsi="Times New Roman" w:eastAsia="宋体" w:cs="Times New Roman"/>
          <w:color w:val="auto"/>
          <w:szCs w:val="20"/>
          <w:highlight w:val="none"/>
        </w:rPr>
        <w:fldChar w:fldCharType="end"/>
      </w:r>
      <w:r>
        <w:rPr>
          <w:rFonts w:hint="default" w:ascii="Times New Roman" w:hAnsi="Times New Roman" w:eastAsia="宋体" w:cs="Times New Roman"/>
          <w:color w:val="auto"/>
          <w:szCs w:val="20"/>
          <w:highlight w:val="none"/>
        </w:rPr>
        <w:t>医疗废物暂存防治措施</w:t>
      </w:r>
    </w:p>
    <w:p w14:paraId="2FA82638">
      <w:pPr>
        <w:pStyle w:val="67"/>
        <w:ind w:firstLine="480"/>
        <w:rPr>
          <w:rFonts w:hint="default" w:ascii="Times New Roman" w:hAnsi="Times New Roman" w:eastAsia="宋体" w:cs="Times New Roman"/>
          <w:color w:val="auto"/>
          <w:szCs w:val="20"/>
          <w:highlight w:val="none"/>
        </w:rPr>
      </w:pPr>
      <w:r>
        <w:rPr>
          <w:rFonts w:hint="default" w:ascii="Times New Roman" w:hAnsi="Times New Roman" w:eastAsia="宋体" w:cs="Times New Roman"/>
          <w:color w:val="auto"/>
          <w:szCs w:val="20"/>
          <w:highlight w:val="none"/>
        </w:rPr>
        <w:t>本项目医疗废物</w:t>
      </w:r>
      <w:r>
        <w:rPr>
          <w:rFonts w:hint="default" w:ascii="Times New Roman" w:hAnsi="Times New Roman" w:eastAsia="宋体" w:cs="Times New Roman"/>
          <w:color w:val="auto"/>
          <w:highlight w:val="none"/>
        </w:rPr>
        <w:t>暂存于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内</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Cs w:val="20"/>
          <w:highlight w:val="none"/>
          <w:lang w:eastAsia="zh-CN"/>
        </w:rPr>
        <w:t>危险废物贮存点</w:t>
      </w:r>
      <w:r>
        <w:rPr>
          <w:rFonts w:hint="default" w:ascii="Times New Roman" w:hAnsi="Times New Roman" w:eastAsia="宋体" w:cs="Times New Roman"/>
          <w:color w:val="auto"/>
          <w:szCs w:val="20"/>
          <w:highlight w:val="none"/>
        </w:rPr>
        <w:t>的设置按照《危险废物贮存污染控制标准》（GB18597-2023）的要求进行。</w:t>
      </w:r>
      <w:r>
        <w:rPr>
          <w:rFonts w:hint="default" w:ascii="Times New Roman" w:hAnsi="Times New Roman" w:eastAsia="宋体" w:cs="Times New Roman"/>
          <w:color w:val="auto"/>
          <w:szCs w:val="20"/>
          <w:highlight w:val="none"/>
          <w:lang w:eastAsia="zh-CN"/>
        </w:rPr>
        <w:t>危险废物贮存点</w:t>
      </w:r>
      <w:r>
        <w:rPr>
          <w:rFonts w:hint="default" w:ascii="Times New Roman" w:hAnsi="Times New Roman" w:eastAsia="宋体" w:cs="Times New Roman"/>
          <w:color w:val="auto"/>
          <w:szCs w:val="20"/>
          <w:highlight w:val="none"/>
        </w:rPr>
        <w:t>地面进行防渗；地面与裙脚要用坚固、防渗的材料建造，建筑材料必须与医疗废物相容；必须有泄漏液体收集装置；按照GB15562.2的规定设置警示标志等。</w:t>
      </w:r>
    </w:p>
    <w:p w14:paraId="6B5FB00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表6-2-</w:t>
      </w:r>
      <w:r>
        <w:rPr>
          <w:rFonts w:hint="default" w:ascii="Times New Roman" w:hAnsi="Times New Roman" w:cs="Times New Roman"/>
          <w:color w:val="auto"/>
          <w:highlight w:val="none"/>
          <w:lang w:val="en-US"/>
        </w:rPr>
        <w:t>8</w:t>
      </w:r>
      <w:r>
        <w:rPr>
          <w:rFonts w:hint="default" w:ascii="Times New Roman" w:hAnsi="Times New Roman" w:cs="Times New Roman"/>
          <w:color w:val="auto"/>
          <w:highlight w:val="none"/>
        </w:rPr>
        <w:t>建设项目危险废物贮存场所（设施）基本情况表</w:t>
      </w:r>
    </w:p>
    <w:tbl>
      <w:tblPr>
        <w:tblStyle w:val="47"/>
        <w:tblW w:w="83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7"/>
        <w:gridCol w:w="992"/>
        <w:gridCol w:w="996"/>
        <w:gridCol w:w="756"/>
        <w:gridCol w:w="1165"/>
        <w:gridCol w:w="1031"/>
        <w:gridCol w:w="690"/>
        <w:gridCol w:w="708"/>
        <w:gridCol w:w="713"/>
        <w:gridCol w:w="844"/>
      </w:tblGrid>
      <w:tr w14:paraId="6F7ED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417" w:type="dxa"/>
            <w:shd w:val="clear" w:color="auto" w:fill="auto"/>
            <w:vAlign w:val="center"/>
          </w:tcPr>
          <w:p w14:paraId="219090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序号</w:t>
            </w:r>
          </w:p>
        </w:tc>
        <w:tc>
          <w:tcPr>
            <w:tcW w:w="992" w:type="dxa"/>
            <w:shd w:val="clear" w:color="auto" w:fill="auto"/>
            <w:vAlign w:val="center"/>
          </w:tcPr>
          <w:p w14:paraId="0A2B758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贮存场所（设施）名称</w:t>
            </w:r>
          </w:p>
        </w:tc>
        <w:tc>
          <w:tcPr>
            <w:tcW w:w="996" w:type="dxa"/>
            <w:shd w:val="clear" w:color="auto" w:fill="auto"/>
            <w:vAlign w:val="center"/>
          </w:tcPr>
          <w:p w14:paraId="5D390E7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危险废物名称</w:t>
            </w:r>
          </w:p>
        </w:tc>
        <w:tc>
          <w:tcPr>
            <w:tcW w:w="756" w:type="dxa"/>
            <w:shd w:val="clear" w:color="auto" w:fill="auto"/>
            <w:vAlign w:val="center"/>
          </w:tcPr>
          <w:p w14:paraId="094A7DC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危险废物类别</w:t>
            </w:r>
          </w:p>
        </w:tc>
        <w:tc>
          <w:tcPr>
            <w:tcW w:w="1165" w:type="dxa"/>
            <w:shd w:val="clear" w:color="auto" w:fill="auto"/>
            <w:vAlign w:val="center"/>
          </w:tcPr>
          <w:p w14:paraId="18D7619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危险废物代码</w:t>
            </w:r>
          </w:p>
        </w:tc>
        <w:tc>
          <w:tcPr>
            <w:tcW w:w="1031" w:type="dxa"/>
            <w:shd w:val="clear" w:color="auto" w:fill="auto"/>
            <w:vAlign w:val="center"/>
          </w:tcPr>
          <w:p w14:paraId="3AC53A7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位置</w:t>
            </w:r>
          </w:p>
        </w:tc>
        <w:tc>
          <w:tcPr>
            <w:tcW w:w="690" w:type="dxa"/>
            <w:shd w:val="clear" w:color="auto" w:fill="auto"/>
            <w:vAlign w:val="center"/>
          </w:tcPr>
          <w:p w14:paraId="7296CCB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占地面积</w:t>
            </w:r>
          </w:p>
        </w:tc>
        <w:tc>
          <w:tcPr>
            <w:tcW w:w="708" w:type="dxa"/>
            <w:shd w:val="clear" w:color="auto" w:fill="auto"/>
            <w:vAlign w:val="center"/>
          </w:tcPr>
          <w:p w14:paraId="04B1CF7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贮存方式</w:t>
            </w:r>
          </w:p>
        </w:tc>
        <w:tc>
          <w:tcPr>
            <w:tcW w:w="713" w:type="dxa"/>
            <w:shd w:val="clear" w:color="auto" w:fill="auto"/>
            <w:vAlign w:val="center"/>
          </w:tcPr>
          <w:p w14:paraId="26DB15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贮存</w:t>
            </w:r>
          </w:p>
          <w:p w14:paraId="2382189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能力</w:t>
            </w:r>
          </w:p>
        </w:tc>
        <w:tc>
          <w:tcPr>
            <w:tcW w:w="844" w:type="dxa"/>
            <w:shd w:val="clear" w:color="auto" w:fill="auto"/>
            <w:vAlign w:val="center"/>
          </w:tcPr>
          <w:p w14:paraId="41910BB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贮存</w:t>
            </w:r>
          </w:p>
          <w:p w14:paraId="723321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周期</w:t>
            </w:r>
          </w:p>
        </w:tc>
      </w:tr>
      <w:tr w14:paraId="5B2CE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7" w:type="dxa"/>
            <w:shd w:val="clear" w:color="auto" w:fill="auto"/>
            <w:vAlign w:val="center"/>
          </w:tcPr>
          <w:p w14:paraId="606503D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c>
          <w:tcPr>
            <w:tcW w:w="992" w:type="dxa"/>
            <w:shd w:val="clear" w:color="auto" w:fill="auto"/>
            <w:vAlign w:val="center"/>
          </w:tcPr>
          <w:p w14:paraId="10DFDB1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专用容器</w:t>
            </w:r>
          </w:p>
        </w:tc>
        <w:tc>
          <w:tcPr>
            <w:tcW w:w="996" w:type="dxa"/>
            <w:shd w:val="clear" w:color="auto" w:fill="auto"/>
            <w:vAlign w:val="center"/>
          </w:tcPr>
          <w:p w14:paraId="30FACF5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w:t>
            </w:r>
          </w:p>
        </w:tc>
        <w:tc>
          <w:tcPr>
            <w:tcW w:w="756" w:type="dxa"/>
            <w:shd w:val="clear" w:color="auto" w:fill="auto"/>
            <w:vAlign w:val="center"/>
          </w:tcPr>
          <w:p w14:paraId="6DC7F3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HW01</w:t>
            </w:r>
          </w:p>
        </w:tc>
        <w:tc>
          <w:tcPr>
            <w:tcW w:w="1165" w:type="dxa"/>
            <w:shd w:val="clear" w:color="auto" w:fill="auto"/>
            <w:vAlign w:val="center"/>
          </w:tcPr>
          <w:p w14:paraId="396E8E0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900-001-01</w:t>
            </w:r>
          </w:p>
        </w:tc>
        <w:tc>
          <w:tcPr>
            <w:tcW w:w="1031" w:type="dxa"/>
            <w:shd w:val="clear" w:color="auto" w:fill="auto"/>
            <w:vAlign w:val="center"/>
          </w:tcPr>
          <w:p w14:paraId="3F60F84E">
            <w:pPr>
              <w:pStyle w:val="146"/>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危险废物贮存点</w:t>
            </w:r>
          </w:p>
        </w:tc>
        <w:tc>
          <w:tcPr>
            <w:tcW w:w="690" w:type="dxa"/>
            <w:shd w:val="clear" w:color="auto" w:fill="auto"/>
            <w:vAlign w:val="center"/>
          </w:tcPr>
          <w:p w14:paraId="2D0BF856">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43.56</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2</w:t>
            </w:r>
          </w:p>
        </w:tc>
        <w:tc>
          <w:tcPr>
            <w:tcW w:w="708" w:type="dxa"/>
            <w:shd w:val="clear" w:color="auto" w:fill="auto"/>
            <w:vAlign w:val="center"/>
          </w:tcPr>
          <w:p w14:paraId="1D1C047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隔离贮存</w:t>
            </w:r>
          </w:p>
        </w:tc>
        <w:tc>
          <w:tcPr>
            <w:tcW w:w="713" w:type="dxa"/>
            <w:shd w:val="clear" w:color="auto" w:fill="auto"/>
            <w:vAlign w:val="center"/>
          </w:tcPr>
          <w:p w14:paraId="661F4C8F">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10</w:t>
            </w:r>
            <w:r>
              <w:rPr>
                <w:rFonts w:hint="default" w:ascii="Times New Roman" w:hAnsi="Times New Roman" w:eastAsia="宋体" w:cs="Times New Roman"/>
                <w:snapToGrid w:val="0"/>
                <w:color w:val="auto"/>
                <w:highlight w:val="none"/>
              </w:rPr>
              <w:t>t</w:t>
            </w:r>
          </w:p>
        </w:tc>
        <w:tc>
          <w:tcPr>
            <w:tcW w:w="844" w:type="dxa"/>
            <w:shd w:val="clear" w:color="auto" w:fill="auto"/>
            <w:vAlign w:val="center"/>
          </w:tcPr>
          <w:p w14:paraId="79592420">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14</w:t>
            </w:r>
            <w:r>
              <w:rPr>
                <w:rFonts w:hint="default" w:ascii="Times New Roman" w:hAnsi="Times New Roman" w:eastAsia="宋体" w:cs="Times New Roman"/>
                <w:snapToGrid w:val="0"/>
                <w:color w:val="auto"/>
                <w:highlight w:val="none"/>
              </w:rPr>
              <w:t>天</w:t>
            </w:r>
          </w:p>
        </w:tc>
      </w:tr>
    </w:tbl>
    <w:p w14:paraId="2ABEED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②医疗废物的收集、运输过程的防治措施</w:t>
      </w:r>
    </w:p>
    <w:p w14:paraId="2004CB1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需分类进行收集，不得将不相容的废物混合或合并存放；作好医疗废物情况入库记录，记录上需注明名称、来源、数量、特征和包装容器的类别、入库日期等内容；医疗废物转移过程中按照《危险废物转移管理办法》（生态环境部、公安部、交通运输部令第23号公布，自2022年1月1日起施行），等有关规定实行，严格落实危险废物转移联单制度；运输过程中采用专用运输车辆，桶装密封。</w:t>
      </w:r>
    </w:p>
    <w:p w14:paraId="7CF846E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医疗废物处置的防治措施</w:t>
      </w:r>
    </w:p>
    <w:p w14:paraId="5830502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医疗废物属于危险废物，类别HW01，代码900-001-01，单独收集于</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，交由有资质单位统一收取、运输和处置，不得自行处置。</w:t>
      </w:r>
    </w:p>
    <w:p w14:paraId="0420F47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贮存场所（设施）污染防治措施</w:t>
      </w:r>
    </w:p>
    <w:p w14:paraId="3CA10129">
      <w:pPr>
        <w:pStyle w:val="67"/>
        <w:ind w:firstLine="480"/>
        <w:rPr>
          <w:rFonts w:hint="default" w:ascii="Times New Roman" w:hAnsi="Times New Roman" w:eastAsia="宋体" w:cs="Times New Roman"/>
          <w:color w:val="auto"/>
          <w:highlight w:val="none"/>
        </w:rPr>
      </w:pPr>
      <w:bookmarkStart w:id="554" w:name="_Toc57713702"/>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的设置按照《危险废物贮存污染控制标准》（GB18597-2023）的要求进行。</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地面进行防渗；地面与裙脚要用坚固、防渗的材料建造，建筑材料必须与危险废物相容；按照GB15562.2的规定设置警示标志等，在采取以上措施后，可大大降低对地下水、土壤造成的影响。</w:t>
      </w:r>
    </w:p>
    <w:p w14:paraId="08287BB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运输过程的污染防治措施</w:t>
      </w:r>
    </w:p>
    <w:p w14:paraId="7F5ECAA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根据《危险废物收集 贮存 运输技术规范》（HJ2025-2012），本次环评提出对运输人员加强专业培训、定期对运输车辆进行检修、对储存容器定期检查、配备齐全的安全附件、做好包装外的识别标识等措施，可大大降低危险废物泄露的风险。</w:t>
      </w:r>
    </w:p>
    <w:p w14:paraId="3CA1D84F">
      <w:pPr>
        <w:pStyle w:val="6"/>
        <w:rPr>
          <w:rFonts w:hint="default" w:ascii="Times New Roman" w:hAnsi="Times New Roman" w:eastAsia="黑体" w:cs="Times New Roman"/>
          <w:snapToGrid w:val="0"/>
          <w:color w:val="auto"/>
          <w:highlight w:val="none"/>
          <w:lang w:eastAsia="zh-CN"/>
        </w:rPr>
      </w:pPr>
      <w:r>
        <w:rPr>
          <w:rFonts w:hint="default" w:ascii="Times New Roman" w:hAnsi="Times New Roman" w:cs="Times New Roman"/>
          <w:color w:val="auto"/>
          <w:highlight w:val="none"/>
        </w:rPr>
        <w:t>6.2.5.</w:t>
      </w:r>
      <w:r>
        <w:rPr>
          <w:rFonts w:hint="default" w:ascii="Times New Roman" w:hAnsi="Times New Roman" w:cs="Times New Roman"/>
          <w:color w:val="auto"/>
          <w:highlight w:val="none"/>
          <w:lang w:val="en-US" w:eastAsia="zh-CN"/>
        </w:rPr>
        <w:t>7</w:t>
      </w:r>
      <w:r>
        <w:rPr>
          <w:rFonts w:hint="default" w:ascii="Times New Roman" w:hAnsi="Times New Roman" w:cs="Times New Roman"/>
          <w:snapToGrid w:val="0"/>
          <w:color w:val="auto"/>
          <w:highlight w:val="none"/>
          <w:lang w:val="en-US" w:eastAsia="zh-CN"/>
        </w:rPr>
        <w:t>废垫料</w:t>
      </w:r>
    </w:p>
    <w:p w14:paraId="4C094A0E">
      <w:pPr>
        <w:pStyle w:val="67"/>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eastAsia" w:eastAsia="宋体" w:cs="Times New Roman"/>
          <w:color w:val="auto"/>
          <w:highlight w:val="none"/>
          <w:lang w:val="en-US" w:eastAsia="zh-CN"/>
        </w:rPr>
        <w:t>养殖使用</w:t>
      </w:r>
      <w:r>
        <w:rPr>
          <w:rFonts w:hint="eastAsia" w:ascii="Times New Roman" w:hAnsi="Times New Roman" w:eastAsia="宋体" w:cs="Times New Roman"/>
          <w:color w:val="auto"/>
          <w:highlight w:val="none"/>
          <w:lang w:val="en-US" w:eastAsia="zh-CN"/>
        </w:rPr>
        <w:t>生物发</w:t>
      </w:r>
      <w:r>
        <w:rPr>
          <w:rFonts w:hint="eastAsia" w:ascii="Times New Roman" w:hAnsi="Times New Roman" w:eastAsia="宋体" w:cs="Times New Roman"/>
          <w:color w:val="auto"/>
          <w:highlight w:val="none"/>
        </w:rPr>
        <w:t>酵床技术</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是按一定比例将发酵菌种与秸秆、锯末、稻壳以及辅助材料等混合，通过发酵形成有机垫料，将有机垫料置于</w:t>
      </w:r>
      <w:r>
        <w:rPr>
          <w:rFonts w:hint="eastAsia" w:eastAsia="宋体" w:cs="Times New Roman"/>
          <w:color w:val="auto"/>
          <w:highlight w:val="none"/>
          <w:lang w:val="en-US" w:eastAsia="zh-CN"/>
        </w:rPr>
        <w:t>牛</w:t>
      </w:r>
      <w:r>
        <w:rPr>
          <w:rFonts w:hint="eastAsia" w:ascii="Times New Roman" w:hAnsi="Times New Roman" w:eastAsia="宋体" w:cs="Times New Roman"/>
          <w:color w:val="auto"/>
          <w:highlight w:val="none"/>
        </w:rPr>
        <w:t>舍内，利用微生物对粪便进行降解、吸氨固氮而形成有机肥</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垫料</w:t>
      </w:r>
      <w:r>
        <w:rPr>
          <w:rFonts w:hint="eastAsia" w:eastAsia="宋体" w:cs="Times New Roman"/>
          <w:color w:val="auto"/>
          <w:highlight w:val="none"/>
          <w:lang w:val="en-US" w:eastAsia="zh-CN"/>
        </w:rPr>
        <w:t>一</w:t>
      </w:r>
      <w:r>
        <w:rPr>
          <w:rFonts w:hint="default" w:ascii="Times New Roman" w:hAnsi="Times New Roman" w:eastAsia="宋体" w:cs="Times New Roman"/>
          <w:color w:val="auto"/>
          <w:highlight w:val="none"/>
          <w:lang w:val="en-US" w:eastAsia="zh-CN"/>
        </w:rPr>
        <w:t>个月清理一次，废垫料运至堆肥间进行堆肥。</w:t>
      </w:r>
    </w:p>
    <w:p w14:paraId="1AC26EDA">
      <w:pPr>
        <w:pStyle w:val="5"/>
        <w:spacing w:line="500" w:lineRule="exact"/>
        <w:rPr>
          <w:rFonts w:hint="default" w:ascii="Times New Roman" w:hAnsi="Times New Roman" w:cs="Times New Roman"/>
          <w:color w:val="auto"/>
          <w:highlight w:val="none"/>
        </w:rPr>
      </w:pPr>
      <w:bookmarkStart w:id="555" w:name="_Toc3582"/>
      <w:r>
        <w:rPr>
          <w:rFonts w:hint="default" w:ascii="Times New Roman" w:hAnsi="Times New Roman" w:cs="Times New Roman"/>
          <w:color w:val="auto"/>
          <w:highlight w:val="none"/>
        </w:rPr>
        <w:t>6.2.6运行期风险防范措施及可行性论证</w:t>
      </w:r>
      <w:bookmarkEnd w:id="554"/>
      <w:bookmarkEnd w:id="555"/>
    </w:p>
    <w:p w14:paraId="61AB0970">
      <w:pPr>
        <w:pStyle w:val="6"/>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6.2.7.1</w:t>
      </w:r>
      <w:r>
        <w:rPr>
          <w:rFonts w:hint="eastAsia" w:cs="Times New Roman"/>
          <w:color w:val="auto"/>
          <w:highlight w:val="none"/>
          <w:lang w:val="en-US" w:eastAsia="zh-CN"/>
        </w:rPr>
        <w:t>渗漏液收集</w:t>
      </w:r>
      <w:r>
        <w:rPr>
          <w:rFonts w:hint="default" w:ascii="Times New Roman" w:hAnsi="Times New Roman" w:cs="Times New Roman"/>
          <w:color w:val="auto"/>
          <w:highlight w:val="none"/>
        </w:rPr>
        <w:t>泄漏应急措施</w:t>
      </w:r>
    </w:p>
    <w:p w14:paraId="6A33CA8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（1）加强施工期的管理，提高施工质量，确保管线、池体的工程质量，减少泄漏事故的发生；发生泄漏事故时应及时采取措施，将影响降至最低。</w:t>
      </w:r>
    </w:p>
    <w:p w14:paraId="5BAB0F7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（2）在全场范围内修建雨水收集系统，并在</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等易受水流冲击的构建筑物周围加设围堰，降低暴雨对其冲击的风险。</w:t>
      </w:r>
    </w:p>
    <w:p w14:paraId="78F916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val="en-GB" w:eastAsia="zh-CN"/>
        </w:rPr>
        <w:t>危险废物贮存点</w:t>
      </w:r>
      <w:r>
        <w:rPr>
          <w:rFonts w:hint="default" w:ascii="Times New Roman" w:hAnsi="Times New Roman" w:eastAsia="宋体" w:cs="Times New Roman"/>
          <w:color w:val="auto"/>
          <w:highlight w:val="none"/>
          <w:lang w:val="en-GB"/>
        </w:rPr>
        <w:t>采用重点防渗。</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化粪池等效粘土层厚度要≥6.0m，满足渗透系数K≤1.0×10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cm/s，在做好基层防渗的基础上进行水泥硬化；</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p>
    <w:p w14:paraId="506AD59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（4）牛舍采取一般防渗措施。地面基础防渗，防渗层为至少1m厚粘土层或2mm厚高密度聚乙烯，需满足等效黏土防渗层Mb≥1.5m，K≤1×10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cm/s的要求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在做好基层防渗的基础上进行水泥硬化，则正常情况下不会对地下水环境造成影响。其他建筑物及道路采取简单防渗，对其地面采用混凝土进行一般地面硬化。</w:t>
      </w:r>
    </w:p>
    <w:p w14:paraId="6480742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（5）要有专人管理污水治理设备，发现设备不能正常运转，立刻停止生产，组织人员抢修，待设备正常运转后，方可生产。</w:t>
      </w:r>
    </w:p>
    <w:p w14:paraId="5BFDD8FD">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6.2.6.2病疫情风险防范措施</w:t>
      </w:r>
    </w:p>
    <w:p w14:paraId="1FC5B15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疫病是畜牧业的大敌，直接关系到牛群的安全，甚至人员的健康。项目实施过程中必须贯彻“防重于治”的方针，建立严格的卫生防疫制度。具体采取如下措施：</w:t>
      </w:r>
    </w:p>
    <w:p w14:paraId="2DDCDC4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（1）养殖场周围设围墙与外界隔离；围墙外设防疫林带。</w:t>
      </w:r>
    </w:p>
    <w:p w14:paraId="010EBCC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（2）办公管理区、养殖区和污水处理区严格分开，各区之间设隔离林带。</w:t>
      </w:r>
    </w:p>
    <w:p w14:paraId="301435C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（3）厂区内道路分为净道和污道，相对分开，避免交叉。</w:t>
      </w:r>
    </w:p>
    <w:p w14:paraId="315E20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（4）舍内定期进行消毒，制定疫情预防措施。</w:t>
      </w:r>
    </w:p>
    <w:p w14:paraId="4E09645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畜群防疫治病方面应采取多种预防措施，及时发现疫情专职人员处理，保证疫情的及时治疗且能有效防止疾病的蔓延。一旦疫情发生，病牛及时隔离和防疫，万一疫情严重，发生死牛现象，要在当地防疫部门监督下，对病死牛尸体填埋处理，杜绝对环境产生二次污染。</w:t>
      </w:r>
    </w:p>
    <w:p w14:paraId="13A0A28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对各种饲养器具及粪便运输车辆及时消毒，对准许进入厂区的人员要严格进行消毒，饲养人员及时检查身体，及时换服装，以减少疫病的发生。</w:t>
      </w:r>
    </w:p>
    <w:p w14:paraId="607247A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健畜和病畜宜分开放牧，对接触病畜的畜群进行减毒活疫苗接种。</w:t>
      </w:r>
    </w:p>
    <w:p w14:paraId="20CA018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（5）人畜共患传染病的预防措施</w:t>
      </w:r>
    </w:p>
    <w:p w14:paraId="11FDC08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人畜共患传染病和寄生虫病可以通过接触传染，也可以通过吃肉或其他方式传染。带病的畜禽、皮毛、血液、粪便、骨骼、肉尸、污水等，往往都会带有各种病菌、病毒和寄生虫、虫卵等，处理不好就会传染给人。人畜共患的传染病的有以下预防措施：</w:t>
      </w:r>
    </w:p>
    <w:p w14:paraId="35D0C80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①管理传染源。严格隔离病畜。死畜严禁剥皮或煮食，应焚毁或加大量生石灰深埋在地面2m以下。</w:t>
      </w:r>
    </w:p>
    <w:p w14:paraId="131540F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②切断传播途径。必要时封锁疫区。对病人的衣服、用具等分别采取煮沸、漂白粉、过氧乙酸等消毒灭菌措施，对染菌及可疑染菌者应予严格消毒。</w:t>
      </w:r>
    </w:p>
    <w:p w14:paraId="1506AFF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③保护易感者。加强卫生宣教，养成良好卫生习惯，防止皮肤受伤，如有皮肤破损，立即涂搽3%～5%碘酒，以免感染。</w:t>
      </w:r>
    </w:p>
    <w:p w14:paraId="281175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制定制度。为了防止这些危害，保证食肉的安全卫生，国家规定所有畜禽肉都必须经过指定的检验机构，由专职检验人员检验合格后方能出售，从而保障消费者身体健康，以及防止由于各种污染而造成的对人类健康的危害。</w:t>
      </w:r>
    </w:p>
    <w:p w14:paraId="7D305129">
      <w:pPr>
        <w:pStyle w:val="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6.2.6.6应急预案</w:t>
      </w:r>
    </w:p>
    <w:p w14:paraId="187D9CD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根据环境保护部“环发[2012]77号”文《</w:t>
      </w:r>
      <w:r>
        <w:rPr>
          <w:rFonts w:hint="default" w:ascii="Times New Roman" w:hAnsi="Times New Roman" w:eastAsia="宋体" w:cs="Times New Roman"/>
          <w:bCs/>
          <w:color w:val="auto"/>
          <w:highlight w:val="none"/>
        </w:rPr>
        <w:t>关于进一步加强环境影响评价管理防范环境风险的通知</w:t>
      </w:r>
      <w:r>
        <w:rPr>
          <w:rFonts w:hint="default" w:ascii="Times New Roman" w:hAnsi="Times New Roman" w:eastAsia="宋体" w:cs="Times New Roman"/>
          <w:color w:val="auto"/>
          <w:highlight w:val="none"/>
        </w:rPr>
        <w:t>》要求，通过对事故的风险评价，生产运营企业在投产前，应制定详细的防止重大环境污染事故发生应急预案、消除事故隐患的措施及应急处理办法。</w:t>
      </w:r>
    </w:p>
    <w:p w14:paraId="4EBA8879">
      <w:pPr>
        <w:pStyle w:val="67"/>
        <w:ind w:firstLine="48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1、事故应急机构、系统及预案</w:t>
      </w:r>
    </w:p>
    <w:p w14:paraId="7D71FF4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（1）应急指挥机构</w:t>
      </w:r>
    </w:p>
    <w:p w14:paraId="7731EBC3">
      <w:pPr>
        <w:pStyle w:val="67"/>
        <w:ind w:firstLine="48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为确保发生各类意外事故后能及时组织人员进行抢救，项目建设单位应成立应急指挥小组，由组长或副组长担任应急反应现场指挥员并全面负责发生险情后的现场指挥工作。</w:t>
      </w:r>
    </w:p>
    <w:p w14:paraId="2D2D796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（2）应急系统</w:t>
      </w:r>
    </w:p>
    <w:p w14:paraId="4A06698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防范和应对突发性环境污染事故的发生，要求建立既能对污染隐患进行监控和警告，又能对突发性污染事故实施统一指挥协调、现场快速监测和应急处理的应急系统。应急系统由应急响应、应急监测和应急处理系统三部分组成。</w:t>
      </w:r>
    </w:p>
    <w:p w14:paraId="3B0EC81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①事故应急响应</w:t>
      </w:r>
    </w:p>
    <w:p w14:paraId="6D46D8A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突发性环境污染事故应急处置刻不容缓，响应速度至关重要，任何人接到污染事故报警，必须马上报告应急办公室。应急组织各环节相互配合，确保响应迅速。应建立储罐区—厂区—地方三级应急响应防控体系。</w:t>
      </w:r>
    </w:p>
    <w:p w14:paraId="583D217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w:t>
      </w:r>
      <w:r>
        <w:rPr>
          <w:rFonts w:hint="default" w:ascii="Times New Roman" w:hAnsi="Times New Roman" w:eastAsia="宋体" w:cs="Times New Roman"/>
          <w:color w:val="auto"/>
          <w:spacing w:val="-2"/>
          <w:highlight w:val="none"/>
        </w:rPr>
        <w:t>保障抢险过程中信息畅通，指令传达迅速到位，由值班人员负责应急抢险期间全部信息的收集、反馈，确保各种信息上传下达到位及时，并向值班干部直接汇报。</w:t>
      </w:r>
    </w:p>
    <w:p w14:paraId="5B52AAA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突发性环境污染事故应急通讯系统包括事故报警、应急指挥、应急信息发布三部分。事故报警应设立专用电话，电话号码为大众所熟知，同时充分利用社会上现有的110、119、120等救援电话，做到24h畅通。</w:t>
      </w:r>
    </w:p>
    <w:p w14:paraId="75B4B45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②事故应急监测</w:t>
      </w:r>
    </w:p>
    <w:p w14:paraId="60CD9DD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监测人员快速赶赴现场，根据事故现场的具体情况布点采样，利用快速监测手段判断污染物的种类，给出定性、半定量和定量监测结果，确认污染事故的危害程度和污染范围等。</w:t>
      </w:r>
    </w:p>
    <w:p w14:paraId="0EEFBDF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③应急后勤保障系统</w:t>
      </w:r>
    </w:p>
    <w:p w14:paraId="4CE97C8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a、项目区应配备符合要求的防毒面具（不少于两具）、防噪耳罩、安全带（不少于两副）、救护绳索及一定量的急救用药品。</w:t>
      </w:r>
    </w:p>
    <w:p w14:paraId="5D92CD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b、项目区应备有О</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测试仪、H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S测试仪、便携式可燃气体测爆仪。</w:t>
      </w:r>
    </w:p>
    <w:p w14:paraId="44E96CA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spacing w:val="-4"/>
          <w:highlight w:val="none"/>
        </w:rPr>
        <w:t>当地人民医院是应急救护的最近接受单位，在接到求助信息后保证迅速到位并实施急救措施，负责确定第一抢救方案，并根据伤情提出下步抢救意见。</w:t>
      </w:r>
    </w:p>
    <w:p w14:paraId="28670BD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d、应急调度系统</w:t>
      </w:r>
    </w:p>
    <w:p w14:paraId="010EFA1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应设置常设调度中心，负责应急期间车辆、人员、物资器材的抽调和输送工作，直至应急反应状态解除为止。</w:t>
      </w:r>
    </w:p>
    <w:p w14:paraId="30A7DE6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e、消防系统</w:t>
      </w:r>
    </w:p>
    <w:p w14:paraId="42C12DF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当地消防大队是现场消防监护的保障力量，接警后负责联系应急抢险现场火险戒备及扑救，直至应急状态结束。</w:t>
      </w:r>
    </w:p>
    <w:p w14:paraId="460BFA3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2、火灾爆炸应急预案</w:t>
      </w:r>
    </w:p>
    <w:p w14:paraId="59ED43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（1）应急抢险原则</w:t>
      </w:r>
    </w:p>
    <w:p w14:paraId="6BF1030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①安全第一原则</w:t>
      </w:r>
    </w:p>
    <w:p w14:paraId="35E9493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火灾爆炸事故发生后常会伴随许多重大危险隐患，因此，必须在坚持安全第一的条件下进行应急抢险，防止造成人员伤亡和险情的进一步扩大。</w:t>
      </w:r>
    </w:p>
    <w:p w14:paraId="53476B4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②速战速决原则</w:t>
      </w:r>
    </w:p>
    <w:p w14:paraId="20E89B3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应急抢险人员必须行动迅速，接到指定任务后不推委、不冒险，服从统一指挥，作到统一行动、统一撤离，以最短时间完成抢险任务。</w:t>
      </w:r>
    </w:p>
    <w:p w14:paraId="6079D51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（2）应急反应程序</w:t>
      </w:r>
    </w:p>
    <w:p w14:paraId="3C1EFCA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①发生火灾爆炸事故后由第一发现人迅速拨打119火警电话，报警时简要说明出事时间、地点、灾情现状等。向医疗部门求援，简单汇报现场情况并拨打报警电话，同时打开本站大门作好接车准备。</w:t>
      </w:r>
    </w:p>
    <w:p w14:paraId="7E72E7C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②第一发现人拨打火警电话报警后立即向应急指挥办公室报警，值班干部接警后立即启动应急反应程序并全面处理现场各种复杂情况。</w:t>
      </w:r>
    </w:p>
    <w:p w14:paraId="10ADCD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③值班干部布置抢险任务、调查现场有无人员伤亡，组织实施初期扑救工作。</w:t>
      </w:r>
    </w:p>
    <w:p w14:paraId="3380A11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④应迅速可采用泡沫栓接消防水带喷射泡沫控制大火，灭火时可采用前后对射，但对射时人不能正对火焰方向。并采用沙土和灭火器控制地面流动火势。</w:t>
      </w:r>
    </w:p>
    <w:p w14:paraId="434080FC">
      <w:pPr>
        <w:pStyle w:val="67"/>
        <w:ind w:firstLine="480"/>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spacing w:val="-4"/>
          <w:highlight w:val="none"/>
        </w:rPr>
        <w:t>专业消防队伍抵达现场后，由值班干部介绍火情及扑救情况，协同制定扑救方案，其它人员撤离扑救现场，接受值班干部统一指挥作好灭火的协助工作。</w:t>
      </w:r>
    </w:p>
    <w:p w14:paraId="4739E592">
      <w:pPr>
        <w:pStyle w:val="67"/>
        <w:ind w:firstLine="480"/>
        <w:rPr>
          <w:rFonts w:hint="default" w:ascii="Times New Roman" w:hAnsi="Times New Roman" w:eastAsia="宋体" w:cs="Times New Roman"/>
          <w:color w:val="auto"/>
          <w:spacing w:val="-4"/>
          <w:highlight w:val="none"/>
        </w:rPr>
      </w:pP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spacing w:val="-4"/>
          <w:highlight w:val="none"/>
        </w:rPr>
        <w:t>应急指挥组组长或副组长在确保火灾爆炸现场得到彻底控制后，及时清点人数，宣布后续工作、注意事项，组织清理现场，解除应急状态并恢复正常生产。</w:t>
      </w:r>
    </w:p>
    <w:p w14:paraId="29B887A0">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表6-2-</w:t>
      </w:r>
      <w:r>
        <w:rPr>
          <w:rFonts w:hint="default" w:ascii="Times New Roman" w:hAnsi="Times New Roman" w:cs="Times New Roman"/>
          <w:color w:val="auto"/>
          <w:highlight w:val="none"/>
          <w:lang w:val="en-US"/>
        </w:rPr>
        <w:t>9</w:t>
      </w:r>
      <w:r>
        <w:rPr>
          <w:rFonts w:hint="default" w:ascii="Times New Roman" w:hAnsi="Times New Roman" w:cs="Times New Roman"/>
          <w:color w:val="auto"/>
          <w:highlight w:val="none"/>
        </w:rPr>
        <w:t>风险事故应急预案的主要内容</w:t>
      </w:r>
    </w:p>
    <w:tbl>
      <w:tblPr>
        <w:tblStyle w:val="4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0"/>
        <w:gridCol w:w="2672"/>
        <w:gridCol w:w="4561"/>
      </w:tblGrid>
      <w:tr w14:paraId="1EF33F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110BC8A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序号</w:t>
            </w:r>
          </w:p>
        </w:tc>
        <w:tc>
          <w:tcPr>
            <w:tcW w:w="2672" w:type="dxa"/>
            <w:shd w:val="clear" w:color="auto" w:fill="auto"/>
            <w:vAlign w:val="center"/>
          </w:tcPr>
          <w:p w14:paraId="1D304B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w:t>
            </w:r>
          </w:p>
        </w:tc>
        <w:tc>
          <w:tcPr>
            <w:tcW w:w="4561" w:type="dxa"/>
            <w:shd w:val="clear" w:color="auto" w:fill="auto"/>
            <w:vAlign w:val="center"/>
          </w:tcPr>
          <w:p w14:paraId="000121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内容及要求</w:t>
            </w:r>
          </w:p>
        </w:tc>
      </w:tr>
      <w:tr w14:paraId="24223F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5EF2E6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c>
          <w:tcPr>
            <w:tcW w:w="2672" w:type="dxa"/>
            <w:shd w:val="clear" w:color="auto" w:fill="auto"/>
            <w:vAlign w:val="center"/>
          </w:tcPr>
          <w:p w14:paraId="765D234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应急计划区</w:t>
            </w:r>
          </w:p>
        </w:tc>
        <w:tc>
          <w:tcPr>
            <w:tcW w:w="4561" w:type="dxa"/>
            <w:shd w:val="clear" w:color="auto" w:fill="auto"/>
            <w:vAlign w:val="center"/>
          </w:tcPr>
          <w:p w14:paraId="51B1A127">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危险目标：</w:t>
            </w:r>
            <w:r>
              <w:rPr>
                <w:rFonts w:hint="eastAsia" w:eastAsia="宋体" w:cs="Times New Roman"/>
                <w:snapToGrid w:val="0"/>
                <w:color w:val="auto"/>
                <w:highlight w:val="none"/>
                <w:lang w:val="en-US" w:eastAsia="zh-CN"/>
              </w:rPr>
              <w:t>次氯酸钠存储</w:t>
            </w:r>
          </w:p>
        </w:tc>
      </w:tr>
      <w:tr w14:paraId="4E4A2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30122AA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c>
          <w:tcPr>
            <w:tcW w:w="2672" w:type="dxa"/>
            <w:shd w:val="clear" w:color="auto" w:fill="auto"/>
            <w:vAlign w:val="center"/>
          </w:tcPr>
          <w:p w14:paraId="4C511F8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应急组织机构、人员</w:t>
            </w:r>
          </w:p>
        </w:tc>
        <w:tc>
          <w:tcPr>
            <w:tcW w:w="4561" w:type="dxa"/>
            <w:shd w:val="clear" w:color="auto" w:fill="auto"/>
            <w:vAlign w:val="center"/>
          </w:tcPr>
          <w:p w14:paraId="097A775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公司、地区应急组织机构、人员</w:t>
            </w:r>
          </w:p>
        </w:tc>
      </w:tr>
      <w:tr w14:paraId="5CEA1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665C93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p>
        </w:tc>
        <w:tc>
          <w:tcPr>
            <w:tcW w:w="2672" w:type="dxa"/>
            <w:shd w:val="clear" w:color="auto" w:fill="auto"/>
            <w:vAlign w:val="center"/>
          </w:tcPr>
          <w:p w14:paraId="3914AA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预案分级响应条件</w:t>
            </w:r>
          </w:p>
        </w:tc>
        <w:tc>
          <w:tcPr>
            <w:tcW w:w="4561" w:type="dxa"/>
            <w:shd w:val="clear" w:color="auto" w:fill="auto"/>
            <w:vAlign w:val="center"/>
          </w:tcPr>
          <w:p w14:paraId="6327C2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规定预案的级别及分级响应程序</w:t>
            </w:r>
          </w:p>
        </w:tc>
      </w:tr>
      <w:tr w14:paraId="06E00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299B0F5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w:t>
            </w:r>
          </w:p>
        </w:tc>
        <w:tc>
          <w:tcPr>
            <w:tcW w:w="2672" w:type="dxa"/>
            <w:shd w:val="clear" w:color="auto" w:fill="auto"/>
            <w:vAlign w:val="center"/>
          </w:tcPr>
          <w:p w14:paraId="71BF5D8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应急救援保障</w:t>
            </w:r>
          </w:p>
        </w:tc>
        <w:tc>
          <w:tcPr>
            <w:tcW w:w="4561" w:type="dxa"/>
            <w:shd w:val="clear" w:color="auto" w:fill="auto"/>
            <w:vAlign w:val="center"/>
          </w:tcPr>
          <w:p w14:paraId="27D6F91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应急设施，设备与器材等</w:t>
            </w:r>
          </w:p>
        </w:tc>
      </w:tr>
      <w:tr w14:paraId="3A52E5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06B7BD5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w:t>
            </w:r>
          </w:p>
        </w:tc>
        <w:tc>
          <w:tcPr>
            <w:tcW w:w="2672" w:type="dxa"/>
            <w:shd w:val="clear" w:color="auto" w:fill="auto"/>
            <w:vAlign w:val="center"/>
          </w:tcPr>
          <w:p w14:paraId="4D9A78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报警、通讯联络方式</w:t>
            </w:r>
          </w:p>
        </w:tc>
        <w:tc>
          <w:tcPr>
            <w:tcW w:w="4561" w:type="dxa"/>
            <w:shd w:val="clear" w:color="auto" w:fill="auto"/>
            <w:vAlign w:val="center"/>
          </w:tcPr>
          <w:p w14:paraId="49C689E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规定应急状态下的报警通讯式、通知方式和交通保障、管制</w:t>
            </w:r>
          </w:p>
        </w:tc>
      </w:tr>
      <w:tr w14:paraId="674F3C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0A1E9F5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w:t>
            </w:r>
          </w:p>
        </w:tc>
        <w:tc>
          <w:tcPr>
            <w:tcW w:w="2672" w:type="dxa"/>
            <w:shd w:val="clear" w:color="auto" w:fill="auto"/>
            <w:vAlign w:val="center"/>
          </w:tcPr>
          <w:p w14:paraId="159AD3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应急环境监测、抢险、救援及控制措施</w:t>
            </w:r>
          </w:p>
        </w:tc>
        <w:tc>
          <w:tcPr>
            <w:tcW w:w="4561" w:type="dxa"/>
            <w:shd w:val="clear" w:color="auto" w:fill="auto"/>
            <w:vAlign w:val="center"/>
          </w:tcPr>
          <w:p w14:paraId="727AB6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由专业队伍负责对事故现场进行侦察监测，对事故性质、参数与后果进行评估，为指挥部门提供决策依据</w:t>
            </w:r>
          </w:p>
        </w:tc>
      </w:tr>
      <w:tr w14:paraId="2AB2F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342B924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w:t>
            </w:r>
          </w:p>
        </w:tc>
        <w:tc>
          <w:tcPr>
            <w:tcW w:w="2672" w:type="dxa"/>
            <w:shd w:val="clear" w:color="auto" w:fill="auto"/>
            <w:vAlign w:val="center"/>
          </w:tcPr>
          <w:p w14:paraId="04AA1EF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应急检测、防护措施、清除泄漏措施和器材</w:t>
            </w:r>
          </w:p>
        </w:tc>
        <w:tc>
          <w:tcPr>
            <w:tcW w:w="4561" w:type="dxa"/>
            <w:shd w:val="clear" w:color="auto" w:fill="auto"/>
            <w:vAlign w:val="center"/>
          </w:tcPr>
          <w:p w14:paraId="4A4F348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事故现场、邻近区域、控制防火区域，控制和清除污染措施及相应设备</w:t>
            </w:r>
          </w:p>
        </w:tc>
      </w:tr>
      <w:tr w14:paraId="2E55E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18A5856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w:t>
            </w:r>
          </w:p>
        </w:tc>
        <w:tc>
          <w:tcPr>
            <w:tcW w:w="2672" w:type="dxa"/>
            <w:shd w:val="clear" w:color="auto" w:fill="auto"/>
            <w:vAlign w:val="center"/>
          </w:tcPr>
          <w:p w14:paraId="4B9A7AA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人员紧急撤离、疏散，应急剂量控制、撤离组织计划</w:t>
            </w:r>
          </w:p>
        </w:tc>
        <w:tc>
          <w:tcPr>
            <w:tcW w:w="4561" w:type="dxa"/>
            <w:shd w:val="clear" w:color="auto" w:fill="auto"/>
            <w:vAlign w:val="center"/>
          </w:tcPr>
          <w:p w14:paraId="5FB968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事故现场、输气罐车邻近区域、受事故影响的区域人员及公众对</w:t>
            </w:r>
            <w:r>
              <w:rPr>
                <w:rFonts w:hint="eastAsia" w:eastAsia="宋体" w:cs="Times New Roman"/>
                <w:snapToGrid w:val="0"/>
                <w:color w:val="auto"/>
                <w:highlight w:val="none"/>
                <w:lang w:val="en-US" w:eastAsia="zh-CN"/>
              </w:rPr>
              <w:t>次氯酸钠</w:t>
            </w:r>
            <w:r>
              <w:rPr>
                <w:rFonts w:hint="default" w:ascii="Times New Roman" w:hAnsi="Times New Roman" w:eastAsia="宋体" w:cs="Times New Roman"/>
                <w:snapToGrid w:val="0"/>
                <w:color w:val="auto"/>
                <w:highlight w:val="none"/>
              </w:rPr>
              <w:t>浓度的控制规定，撤离组织计划及求护，医疗救护与公众安全。</w:t>
            </w:r>
          </w:p>
        </w:tc>
      </w:tr>
      <w:tr w14:paraId="3654B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29DBB2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w:t>
            </w:r>
          </w:p>
        </w:tc>
        <w:tc>
          <w:tcPr>
            <w:tcW w:w="2672" w:type="dxa"/>
            <w:shd w:val="clear" w:color="auto" w:fill="auto"/>
            <w:vAlign w:val="center"/>
          </w:tcPr>
          <w:p w14:paraId="7B772F1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事故应急救援关闭程序与恢复措施</w:t>
            </w:r>
          </w:p>
        </w:tc>
        <w:tc>
          <w:tcPr>
            <w:tcW w:w="4561" w:type="dxa"/>
            <w:shd w:val="clear" w:color="auto" w:fill="auto"/>
            <w:vAlign w:val="center"/>
          </w:tcPr>
          <w:p w14:paraId="3327D23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规定应急状态终止程序；事故现场善后处理，恢复措施；邻近区域解除事故警戒及善后恢复措施</w:t>
            </w:r>
          </w:p>
        </w:tc>
      </w:tr>
      <w:tr w14:paraId="396E0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2E0D802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c>
          <w:tcPr>
            <w:tcW w:w="2672" w:type="dxa"/>
            <w:shd w:val="clear" w:color="auto" w:fill="auto"/>
            <w:vAlign w:val="center"/>
          </w:tcPr>
          <w:p w14:paraId="43BF312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应急培训计划</w:t>
            </w:r>
          </w:p>
        </w:tc>
        <w:tc>
          <w:tcPr>
            <w:tcW w:w="4561" w:type="dxa"/>
            <w:shd w:val="clear" w:color="auto" w:fill="auto"/>
            <w:vAlign w:val="center"/>
          </w:tcPr>
          <w:p w14:paraId="663335B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应急计划制定后，平时安排人员培训与演练</w:t>
            </w:r>
          </w:p>
        </w:tc>
      </w:tr>
      <w:tr w14:paraId="6100F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980" w:type="dxa"/>
            <w:shd w:val="clear" w:color="auto" w:fill="auto"/>
            <w:vAlign w:val="center"/>
          </w:tcPr>
          <w:p w14:paraId="6AF2B8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11</w:t>
            </w:r>
          </w:p>
        </w:tc>
        <w:tc>
          <w:tcPr>
            <w:tcW w:w="2672" w:type="dxa"/>
            <w:shd w:val="clear" w:color="auto" w:fill="auto"/>
            <w:vAlign w:val="center"/>
          </w:tcPr>
          <w:p w14:paraId="5E1D88D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公众教育和信息</w:t>
            </w:r>
          </w:p>
        </w:tc>
        <w:tc>
          <w:tcPr>
            <w:tcW w:w="4561" w:type="dxa"/>
            <w:shd w:val="clear" w:color="auto" w:fill="auto"/>
            <w:vAlign w:val="center"/>
          </w:tcPr>
          <w:p w14:paraId="6C2165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对沿线地区开展公众教育、培训和发布有关信息</w:t>
            </w:r>
          </w:p>
        </w:tc>
      </w:tr>
    </w:tbl>
    <w:p w14:paraId="45EE132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5、发生疫情时的紧急措施</w:t>
      </w:r>
    </w:p>
    <w:p w14:paraId="1000286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若不慎发生传染病，应立即采取有效地控制措施：</w:t>
      </w:r>
    </w:p>
    <w:p w14:paraId="1E81C57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封闭—隔离—每天消毒—根据临床症状、解剖变化进行疾病的初步诊断—病畜的对症治疗—采样送检确诊—紧急预防接种—取各种综合性防治措施。</w:t>
      </w:r>
    </w:p>
    <w:p w14:paraId="665A817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总之，要做到行动迅速，方法得当，措施有力，尽可能的将损失降到最低。</w:t>
      </w:r>
    </w:p>
    <w:p w14:paraId="34DB9BF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应立即按照计划组成防疫小组，尽快做出确切诊断，迅速向卫生防疫部门报告疫情。</w:t>
      </w:r>
    </w:p>
    <w:p w14:paraId="74A3EA9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迅速隔离病牛，对危害较重的传染病应及时划区封锁，建立封锁带，出人人员和车辆要严格消毒，同时严格消毒污染环境。解除封锁的条件是在最后一头病牛痊愈后两个潜伏期内再无新病例出现，经过全面大消毒，报上级主管部门批准，方可解除封锁。</w:t>
      </w:r>
    </w:p>
    <w:p w14:paraId="14F0574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对病牛及封锁区内的牛只实行合理的综合防制措施，包括疫苗的紧急接种、抗生素疗法、高免血清的特异性疗法、化学疗法、增强体质和生理机能的辅助疗法等。</w:t>
      </w:r>
    </w:p>
    <w:p w14:paraId="46B6175B">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6.2.6.7风险评价结论</w:t>
      </w:r>
    </w:p>
    <w:p w14:paraId="111C45B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本项目环境风险事故主要为</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消毒剂</w:t>
      </w:r>
      <w:r>
        <w:rPr>
          <w:rFonts w:hint="default" w:ascii="Times New Roman" w:hAnsi="Times New Roman" w:eastAsia="宋体" w:cs="Times New Roman"/>
          <w:color w:val="auto"/>
          <w:highlight w:val="none"/>
        </w:rPr>
        <w:t>风险，建设单位运营过程中应从多方面积极采取防护措施，制订环境突发事故应急预案，一旦突发环境风险事故，立即按应急预案提到的紧急处理、救援、监测方案等进行紧急救援，项目可以有效的防范风险事故发生或对事故的发生进行有效处置，项目发生的环境风险可以控制在较低水平。</w:t>
      </w:r>
    </w:p>
    <w:p w14:paraId="793339C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综上所述，建设项目的事故风险处于可接受水平。本工程建设从环境风险角度分析是可行的。</w:t>
      </w:r>
    </w:p>
    <w:p w14:paraId="17EC11F0">
      <w:pPr>
        <w:spacing w:line="500" w:lineRule="exact"/>
        <w:ind w:firstLine="0" w:firstLineChars="0"/>
        <w:jc w:val="center"/>
        <w:rPr>
          <w:rFonts w:hint="default" w:ascii="Times New Roman" w:hAnsi="Times New Roman" w:eastAsia="黑体" w:cs="Times New Roman"/>
          <w:color w:val="auto"/>
          <w:highlight w:val="none"/>
          <w:lang w:val="zh-CN"/>
        </w:rPr>
      </w:pPr>
      <w:r>
        <w:rPr>
          <w:rFonts w:hint="default" w:ascii="Times New Roman" w:hAnsi="Times New Roman" w:eastAsia="黑体" w:cs="Times New Roman"/>
          <w:color w:val="auto"/>
          <w:highlight w:val="none"/>
          <w:lang w:val="zh-CN"/>
        </w:rPr>
        <w:t>表6-2-</w:t>
      </w:r>
      <w:r>
        <w:rPr>
          <w:rFonts w:hint="default" w:ascii="Times New Roman" w:hAnsi="Times New Roman" w:eastAsia="黑体" w:cs="Times New Roman"/>
          <w:color w:val="auto"/>
          <w:highlight w:val="none"/>
        </w:rPr>
        <w:t>10</w:t>
      </w:r>
      <w:r>
        <w:rPr>
          <w:rFonts w:hint="default" w:ascii="Times New Roman" w:hAnsi="Times New Roman" w:eastAsia="黑体" w:cs="Times New Roman"/>
          <w:color w:val="auto"/>
          <w:highlight w:val="none"/>
          <w:lang w:val="zh-CN"/>
        </w:rPr>
        <w:t>建设项目环境风险简单分析内容表</w:t>
      </w:r>
    </w:p>
    <w:tbl>
      <w:tblPr>
        <w:tblStyle w:val="4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77"/>
        <w:gridCol w:w="2379"/>
        <w:gridCol w:w="2956"/>
      </w:tblGrid>
      <w:tr w14:paraId="12BBB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2975370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建设项目名称</w:t>
            </w:r>
          </w:p>
        </w:tc>
        <w:tc>
          <w:tcPr>
            <w:tcW w:w="3209" w:type="pct"/>
            <w:gridSpan w:val="2"/>
            <w:shd w:val="clear" w:color="auto" w:fill="auto"/>
            <w:vAlign w:val="center"/>
          </w:tcPr>
          <w:p w14:paraId="12E85375">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黑龙江省黑河市孙吴县黑尊牛(黑龙江)牧业科技有限公司万头安格斯高端肉牛育种养殖项目</w:t>
            </w:r>
          </w:p>
        </w:tc>
      </w:tr>
      <w:tr w14:paraId="36A5F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51DE04C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建设地点</w:t>
            </w:r>
          </w:p>
        </w:tc>
        <w:tc>
          <w:tcPr>
            <w:tcW w:w="3209" w:type="pct"/>
            <w:gridSpan w:val="2"/>
            <w:shd w:val="clear" w:color="auto" w:fill="auto"/>
            <w:vAlign w:val="center"/>
          </w:tcPr>
          <w:p w14:paraId="0F54AFCD">
            <w:pPr>
              <w:pStyle w:val="146"/>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p>
        </w:tc>
      </w:tr>
      <w:tr w14:paraId="15C7B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436AA7D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地理坐标</w:t>
            </w:r>
          </w:p>
        </w:tc>
        <w:tc>
          <w:tcPr>
            <w:tcW w:w="1431" w:type="pct"/>
            <w:shd w:val="clear" w:color="auto" w:fill="auto"/>
            <w:vAlign w:val="center"/>
          </w:tcPr>
          <w:p w14:paraId="1BFE2D7F">
            <w:pPr>
              <w:pStyle w:val="146"/>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highlight w:val="none"/>
              </w:rPr>
              <w:t>E127.34764395</w:t>
            </w:r>
            <w:r>
              <w:rPr>
                <w:rFonts w:hint="eastAsia" w:eastAsia="宋体" w:cs="Times New Roman"/>
                <w:color w:val="auto"/>
                <w:highlight w:val="none"/>
                <w:lang w:val="en-US" w:eastAsia="zh-CN"/>
              </w:rPr>
              <w:t>°</w:t>
            </w:r>
          </w:p>
        </w:tc>
        <w:tc>
          <w:tcPr>
            <w:tcW w:w="1778" w:type="pct"/>
            <w:shd w:val="clear" w:color="auto" w:fill="auto"/>
            <w:vAlign w:val="center"/>
          </w:tcPr>
          <w:p w14:paraId="40C623B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N49.52305976</w:t>
            </w:r>
          </w:p>
        </w:tc>
      </w:tr>
      <w:tr w14:paraId="32233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52F70B1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主要危险物质及分布</w:t>
            </w:r>
          </w:p>
        </w:tc>
        <w:tc>
          <w:tcPr>
            <w:tcW w:w="3209" w:type="pct"/>
            <w:gridSpan w:val="2"/>
            <w:shd w:val="clear" w:color="auto" w:fill="auto"/>
            <w:vAlign w:val="center"/>
          </w:tcPr>
          <w:p w14:paraId="1C2BFBF7">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消毒剂</w:t>
            </w:r>
          </w:p>
        </w:tc>
      </w:tr>
      <w:tr w14:paraId="2385CB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497621E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环境影响途径及危害后果（大气、地表水、地下水等）</w:t>
            </w:r>
          </w:p>
        </w:tc>
        <w:tc>
          <w:tcPr>
            <w:tcW w:w="3209" w:type="pct"/>
            <w:gridSpan w:val="2"/>
            <w:shd w:val="clear" w:color="auto" w:fill="auto"/>
            <w:vAlign w:val="center"/>
          </w:tcPr>
          <w:p w14:paraId="51B5B29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具体见章节“5.2.8环境风险分析”</w:t>
            </w:r>
          </w:p>
        </w:tc>
      </w:tr>
      <w:tr w14:paraId="5820CF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91" w:type="pct"/>
            <w:shd w:val="clear" w:color="auto" w:fill="auto"/>
            <w:vAlign w:val="center"/>
          </w:tcPr>
          <w:p w14:paraId="7FE95B0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风险防范措施要求</w:t>
            </w:r>
          </w:p>
        </w:tc>
        <w:tc>
          <w:tcPr>
            <w:tcW w:w="3209" w:type="pct"/>
            <w:gridSpan w:val="2"/>
            <w:shd w:val="clear" w:color="auto" w:fill="auto"/>
            <w:vAlign w:val="center"/>
          </w:tcPr>
          <w:p w14:paraId="35E00F0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具体见章节“6.2.6风险防范措施及其可行性分析”</w:t>
            </w:r>
          </w:p>
        </w:tc>
      </w:tr>
    </w:tbl>
    <w:p w14:paraId="07A3EAEC">
      <w:pPr>
        <w:pStyle w:val="5"/>
        <w:spacing w:line="500" w:lineRule="exact"/>
        <w:rPr>
          <w:rFonts w:hint="default" w:ascii="Times New Roman" w:hAnsi="Times New Roman" w:cs="Times New Roman"/>
          <w:color w:val="auto"/>
          <w:highlight w:val="none"/>
        </w:rPr>
      </w:pPr>
      <w:bookmarkStart w:id="556" w:name="_Toc18265"/>
      <w:bookmarkStart w:id="557" w:name="_Toc57713703"/>
      <w:bookmarkStart w:id="558" w:name="_Toc527121414"/>
      <w:bookmarkStart w:id="559" w:name="_Toc480447676"/>
      <w:r>
        <w:rPr>
          <w:rFonts w:hint="default" w:ascii="Times New Roman" w:hAnsi="Times New Roman" w:cs="Times New Roman"/>
          <w:color w:val="auto"/>
          <w:highlight w:val="none"/>
        </w:rPr>
        <w:t>6.2.7土壤保护措施</w:t>
      </w:r>
      <w:bookmarkEnd w:id="556"/>
    </w:p>
    <w:p w14:paraId="628DFAD0">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6.2.7.1源头控制措施</w:t>
      </w:r>
    </w:p>
    <w:p w14:paraId="4F3CED5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（1）科学饲养</w:t>
      </w:r>
    </w:p>
    <w:p w14:paraId="57C15E1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根据不同生理阶段的营养需要搞好营养调控，配置平衡日粮，在保证日粮氨基酸与能量满足需要的条件下，控制日粮蛋白质水平，降低氨等营养素的排出量，从而减少对土壤环境的污染。</w:t>
      </w:r>
    </w:p>
    <w:p w14:paraId="3A93401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（2）应用环保型饲料添加剂</w:t>
      </w:r>
    </w:p>
    <w:p w14:paraId="79FEA43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用环保型饲料添加剂（如微生态制剂、酶制剂、生物活性肽等）能有效替代抗生素、高铜等生长促进剂。它们可消除饲料中抗营养因子，补充畜禽体内的内源酶，提高饲料的利用率，可减少粪便的排出，从而减少对土壤环境的污染。</w:t>
      </w:r>
    </w:p>
    <w:p w14:paraId="467AEDD5">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6.2.7.2过程防控措施</w:t>
      </w:r>
    </w:p>
    <w:p w14:paraId="18A3D5A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分区治理区要做好防风、防雨、防渗措施，</w:t>
      </w:r>
      <w:r>
        <w:rPr>
          <w:rFonts w:hint="eastAsia" w:eastAsia="宋体" w:cs="Times New Roman"/>
          <w:color w:val="auto"/>
          <w:highlight w:val="none"/>
          <w:lang w:val="en-US" w:eastAsia="zh-CN"/>
        </w:rPr>
        <w:t>渗滤液收集</w:t>
      </w:r>
      <w:r>
        <w:rPr>
          <w:rFonts w:hint="default" w:ascii="Times New Roman" w:hAnsi="Times New Roman" w:eastAsia="宋体" w:cs="Times New Roman"/>
          <w:color w:val="auto"/>
          <w:highlight w:val="none"/>
        </w:rPr>
        <w:t>池做好防渗措施，防止粪污非正常情况下渗漏对土壤的污染。</w:t>
      </w:r>
    </w:p>
    <w:p w14:paraId="47714C7A">
      <w:pPr>
        <w:pStyle w:val="67"/>
        <w:ind w:firstLine="480"/>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按重点防渗区采取防渗措施，基础防渗层为至少1m厚粘土层（渗透系数K≤10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rPr>
        <w:t>在做好基层防渗的基础上进行水泥硬化。</w:t>
      </w:r>
    </w:p>
    <w:p w14:paraId="6495E721">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6.2.7.3加强管理</w:t>
      </w:r>
    </w:p>
    <w:p w14:paraId="45C56F7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立种养一体化的生态畜牧业、有机畜牧业等生产体系，鼓励畜禽养殖业废弃物资源化、减量化、无害化，增加对有机肥的生产优惠和使用方面的的推广补贴，可有效遏制粪污随意排放对土壤环境的影响。对严重污染环境，污染物不能达标排放的养殖企业依法实行限期治理。</w:t>
      </w:r>
    </w:p>
    <w:p w14:paraId="4309EB7A">
      <w:pPr>
        <w:pStyle w:val="4"/>
        <w:rPr>
          <w:rFonts w:hint="default" w:ascii="Times New Roman" w:hAnsi="Times New Roman" w:cs="Times New Roman"/>
          <w:color w:val="auto"/>
          <w:highlight w:val="none"/>
        </w:rPr>
      </w:pPr>
      <w:bookmarkStart w:id="560" w:name="_Toc11525"/>
      <w:r>
        <w:rPr>
          <w:rFonts w:hint="default" w:ascii="Times New Roman" w:hAnsi="Times New Roman" w:cs="Times New Roman"/>
          <w:color w:val="auto"/>
          <w:highlight w:val="none"/>
        </w:rPr>
        <w:t>6.3环境保护投资估算</w:t>
      </w:r>
      <w:bookmarkEnd w:id="557"/>
      <w:bookmarkEnd w:id="558"/>
      <w:bookmarkEnd w:id="559"/>
      <w:bookmarkEnd w:id="560"/>
    </w:p>
    <w:p w14:paraId="39DD730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环保投资比按下式计算：</w:t>
      </w:r>
    </w:p>
    <w:p w14:paraId="3DD70CB1">
      <w:pPr>
        <w:pStyle w:val="67"/>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133475" cy="409575"/>
            <wp:effectExtent l="0" t="0" r="0" b="0"/>
            <wp:docPr id="5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133475" cy="409575"/>
                    </a:xfrm>
                    <a:prstGeom prst="rect">
                      <a:avLst/>
                    </a:prstGeom>
                    <a:noFill/>
                    <a:ln>
                      <a:noFill/>
                    </a:ln>
                  </pic:spPr>
                </pic:pic>
              </a:graphicData>
            </a:graphic>
          </wp:inline>
        </w:drawing>
      </w:r>
    </w:p>
    <w:p w14:paraId="5A57277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color w:val="auto"/>
          <w:highlight w:val="none"/>
        </w:rPr>
        <w:t>HJ</w:t>
      </w:r>
      <w:r>
        <w:rPr>
          <w:rFonts w:hint="default" w:ascii="Times New Roman" w:hAnsi="Times New Roman" w:eastAsia="宋体" w:cs="Times New Roman"/>
          <w:color w:val="auto"/>
          <w:highlight w:val="none"/>
        </w:rPr>
        <w:t>—环保费用投资比，100％；</w:t>
      </w:r>
    </w:p>
    <w:p w14:paraId="1B237B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i/>
          <w:color w:val="auto"/>
          <w:highlight w:val="none"/>
        </w:rPr>
        <w:t>HT</w:t>
      </w:r>
      <w:r>
        <w:rPr>
          <w:rFonts w:hint="default" w:ascii="Times New Roman" w:hAnsi="Times New Roman" w:eastAsia="宋体" w:cs="Times New Roman"/>
          <w:color w:val="auto"/>
          <w:highlight w:val="none"/>
        </w:rPr>
        <w:t>—环保投资，万元；</w:t>
      </w:r>
    </w:p>
    <w:p w14:paraId="5163365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w:t>
      </w:r>
      <w:r>
        <w:rPr>
          <w:rFonts w:hint="default" w:ascii="Times New Roman" w:hAnsi="Times New Roman" w:eastAsia="宋体" w:cs="Times New Roman"/>
          <w:i/>
          <w:color w:val="auto"/>
          <w:highlight w:val="none"/>
        </w:rPr>
        <w:t>JI</w:t>
      </w:r>
      <w:r>
        <w:rPr>
          <w:rFonts w:hint="default" w:ascii="Times New Roman" w:hAnsi="Times New Roman" w:eastAsia="宋体" w:cs="Times New Roman"/>
          <w:color w:val="auto"/>
          <w:highlight w:val="none"/>
        </w:rPr>
        <w:t>—项目总投资，万元。</w:t>
      </w:r>
    </w:p>
    <w:p w14:paraId="2719DAC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根据工程分析和环境影响</w:t>
      </w:r>
      <w:r>
        <w:rPr>
          <w:rFonts w:hint="default" w:ascii="Times New Roman" w:hAnsi="Times New Roman" w:eastAsia="宋体" w:cs="Times New Roman"/>
          <w:color w:val="auto"/>
          <w:szCs w:val="24"/>
          <w:highlight w:val="none"/>
        </w:rPr>
        <w:t>预测</w:t>
      </w:r>
      <w:r>
        <w:rPr>
          <w:rFonts w:hint="default" w:ascii="Times New Roman" w:hAnsi="Times New Roman" w:eastAsia="宋体" w:cs="Times New Roman"/>
          <w:color w:val="auto"/>
          <w:highlight w:val="none"/>
        </w:rPr>
        <w:t>及评价结果，本项目产生的污水、固废、臭气、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6-3-1。</w:t>
      </w:r>
    </w:p>
    <w:p w14:paraId="3944EEFF">
      <w:pPr>
        <w:pStyle w:val="67"/>
        <w:ind w:firstLine="480"/>
        <w:rPr>
          <w:rFonts w:hint="default" w:ascii="Times New Roman" w:hAnsi="Times New Roman" w:eastAsia="宋体" w:cs="Times New Roman"/>
          <w:color w:val="auto"/>
          <w:highlight w:val="none"/>
        </w:rPr>
      </w:pPr>
      <w:bookmarkStart w:id="561" w:name="_Hlk480428871"/>
      <w:r>
        <w:rPr>
          <w:rFonts w:hint="default" w:ascii="Times New Roman" w:hAnsi="Times New Roman" w:eastAsia="宋体" w:cs="Times New Roman"/>
          <w:color w:val="auto"/>
          <w:highlight w:val="none"/>
        </w:rPr>
        <w:t>本工程总投资为</w:t>
      </w:r>
      <w:r>
        <w:rPr>
          <w:rFonts w:hint="eastAsia" w:eastAsia="宋体" w:cs="Times New Roman"/>
          <w:color w:val="auto"/>
          <w:highlight w:val="none"/>
          <w:lang w:val="en-US" w:eastAsia="zh-CN"/>
        </w:rPr>
        <w:t>25000</w:t>
      </w:r>
      <w:r>
        <w:rPr>
          <w:rFonts w:hint="default" w:ascii="Times New Roman" w:hAnsi="Times New Roman" w:eastAsia="宋体" w:cs="Times New Roman"/>
          <w:color w:val="auto"/>
          <w:highlight w:val="none"/>
          <w:lang w:eastAsia="zh-CN"/>
        </w:rPr>
        <w:t>万元</w:t>
      </w:r>
      <w:r>
        <w:rPr>
          <w:rFonts w:hint="default" w:ascii="Times New Roman" w:hAnsi="Times New Roman" w:eastAsia="宋体" w:cs="Times New Roman"/>
          <w:color w:val="auto"/>
          <w:highlight w:val="none"/>
        </w:rPr>
        <w:t>，环保投资估算为</w:t>
      </w:r>
      <w:r>
        <w:rPr>
          <w:rFonts w:hint="eastAsia" w:eastAsia="宋体" w:cs="Times New Roman"/>
          <w:color w:val="auto"/>
          <w:highlight w:val="none"/>
          <w:lang w:val="en-US" w:eastAsia="zh-CN"/>
        </w:rPr>
        <w:t>276.5</w:t>
      </w:r>
      <w:r>
        <w:rPr>
          <w:rFonts w:hint="default" w:ascii="Times New Roman" w:hAnsi="Times New Roman" w:eastAsia="宋体" w:cs="Times New Roman"/>
          <w:color w:val="auto"/>
          <w:highlight w:val="none"/>
        </w:rPr>
        <w:t>万元，占总投资的</w:t>
      </w:r>
      <w:r>
        <w:rPr>
          <w:rFonts w:hint="default" w:ascii="Times New Roman" w:hAnsi="Times New Roman" w:eastAsia="宋体" w:cs="Times New Roman"/>
          <w:color w:val="auto"/>
          <w:highlight w:val="none"/>
          <w:lang w:eastAsia="zh-CN"/>
        </w:rPr>
        <w:t>1.1</w:t>
      </w:r>
      <w:r>
        <w:rPr>
          <w:rFonts w:hint="default" w:ascii="Times New Roman" w:hAnsi="Times New Roman" w:eastAsia="宋体" w:cs="Times New Roman"/>
          <w:color w:val="auto"/>
          <w:highlight w:val="none"/>
        </w:rPr>
        <w:t>%。</w:t>
      </w:r>
    </w:p>
    <w:p w14:paraId="0608EB6F">
      <w:pPr>
        <w:pStyle w:val="21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表6-3-1环保投资明细表</w:t>
      </w:r>
    </w:p>
    <w:bookmarkEnd w:id="561"/>
    <w:tbl>
      <w:tblPr>
        <w:tblStyle w:val="47"/>
        <w:tblW w:w="47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8"/>
        <w:gridCol w:w="1087"/>
        <w:gridCol w:w="3519"/>
        <w:gridCol w:w="1031"/>
      </w:tblGrid>
      <w:tr w14:paraId="321D3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16C5DD5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w:t>
            </w:r>
          </w:p>
        </w:tc>
        <w:tc>
          <w:tcPr>
            <w:tcW w:w="4726" w:type="dxa"/>
            <w:gridSpan w:val="2"/>
            <w:shd w:val="clear" w:color="auto" w:fill="auto"/>
            <w:vAlign w:val="center"/>
          </w:tcPr>
          <w:p w14:paraId="27CF353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治理设施内容</w:t>
            </w:r>
          </w:p>
        </w:tc>
        <w:tc>
          <w:tcPr>
            <w:tcW w:w="1058" w:type="dxa"/>
            <w:shd w:val="clear" w:color="auto" w:fill="auto"/>
            <w:vAlign w:val="center"/>
          </w:tcPr>
          <w:p w14:paraId="5E95A9C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金额</w:t>
            </w:r>
          </w:p>
          <w:p w14:paraId="6AEBB6B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（万元）</w:t>
            </w:r>
          </w:p>
        </w:tc>
      </w:tr>
      <w:tr w14:paraId="56256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restart"/>
            <w:shd w:val="clear" w:color="auto" w:fill="auto"/>
            <w:vAlign w:val="center"/>
          </w:tcPr>
          <w:p w14:paraId="10E41FD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w:t>
            </w:r>
          </w:p>
        </w:tc>
        <w:tc>
          <w:tcPr>
            <w:tcW w:w="1115" w:type="dxa"/>
            <w:shd w:val="clear" w:color="auto" w:fill="auto"/>
            <w:vAlign w:val="center"/>
          </w:tcPr>
          <w:p w14:paraId="53DDF2CE">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噪声</w:t>
            </w:r>
          </w:p>
        </w:tc>
        <w:tc>
          <w:tcPr>
            <w:tcW w:w="3611" w:type="dxa"/>
            <w:shd w:val="clear" w:color="auto" w:fill="auto"/>
            <w:vAlign w:val="center"/>
          </w:tcPr>
          <w:p w14:paraId="523FE8D5">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施工期设备的消声、减振措施</w:t>
            </w:r>
          </w:p>
        </w:tc>
        <w:tc>
          <w:tcPr>
            <w:tcW w:w="1058" w:type="dxa"/>
            <w:shd w:val="clear" w:color="auto" w:fill="auto"/>
            <w:vAlign w:val="center"/>
          </w:tcPr>
          <w:p w14:paraId="74A54A79">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12</w:t>
            </w:r>
            <w:r>
              <w:rPr>
                <w:rFonts w:hint="default" w:ascii="Times New Roman" w:hAnsi="Times New Roman" w:eastAsia="宋体" w:cs="Times New Roman"/>
                <w:snapToGrid w:val="0"/>
                <w:color w:val="auto"/>
                <w:highlight w:val="none"/>
                <w:lang w:val="en-US" w:eastAsia="zh-CN"/>
              </w:rPr>
              <w:t>.0</w:t>
            </w:r>
          </w:p>
        </w:tc>
      </w:tr>
      <w:tr w14:paraId="19D03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0D56AE12">
            <w:pPr>
              <w:pStyle w:val="146"/>
              <w:rPr>
                <w:rFonts w:hint="default" w:ascii="Times New Roman" w:hAnsi="Times New Roman" w:eastAsia="宋体" w:cs="Times New Roman"/>
                <w:snapToGrid w:val="0"/>
                <w:color w:val="auto"/>
                <w:highlight w:val="none"/>
              </w:rPr>
            </w:pPr>
          </w:p>
        </w:tc>
        <w:tc>
          <w:tcPr>
            <w:tcW w:w="1115" w:type="dxa"/>
            <w:shd w:val="clear" w:color="auto" w:fill="auto"/>
            <w:vAlign w:val="center"/>
          </w:tcPr>
          <w:p w14:paraId="0D53582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废水</w:t>
            </w:r>
          </w:p>
        </w:tc>
        <w:tc>
          <w:tcPr>
            <w:tcW w:w="3611" w:type="dxa"/>
            <w:shd w:val="clear" w:color="auto" w:fill="auto"/>
            <w:vAlign w:val="center"/>
          </w:tcPr>
          <w:p w14:paraId="265191C0">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施工废水沉淀池、环保厕所</w:t>
            </w:r>
          </w:p>
        </w:tc>
        <w:tc>
          <w:tcPr>
            <w:tcW w:w="1058" w:type="dxa"/>
            <w:shd w:val="clear" w:color="auto" w:fill="auto"/>
            <w:vAlign w:val="center"/>
          </w:tcPr>
          <w:p w14:paraId="2C75CCEE">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val="en-US" w:eastAsia="zh-CN"/>
              </w:rPr>
              <w:t>.5</w:t>
            </w:r>
          </w:p>
        </w:tc>
      </w:tr>
      <w:tr w14:paraId="220240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779D09BA">
            <w:pPr>
              <w:pStyle w:val="146"/>
              <w:rPr>
                <w:rFonts w:hint="default" w:ascii="Times New Roman" w:hAnsi="Times New Roman" w:eastAsia="宋体" w:cs="Times New Roman"/>
                <w:snapToGrid w:val="0"/>
                <w:color w:val="auto"/>
                <w:highlight w:val="none"/>
              </w:rPr>
            </w:pPr>
          </w:p>
        </w:tc>
        <w:tc>
          <w:tcPr>
            <w:tcW w:w="1115" w:type="dxa"/>
            <w:shd w:val="clear" w:color="auto" w:fill="auto"/>
            <w:vAlign w:val="center"/>
          </w:tcPr>
          <w:p w14:paraId="2A7E388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固废</w:t>
            </w:r>
          </w:p>
        </w:tc>
        <w:tc>
          <w:tcPr>
            <w:tcW w:w="3611" w:type="dxa"/>
            <w:shd w:val="clear" w:color="auto" w:fill="auto"/>
            <w:vAlign w:val="center"/>
          </w:tcPr>
          <w:p w14:paraId="5B55C1FA">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lang w:val="en-US" w:eastAsia="zh-CN"/>
              </w:rPr>
              <w:t>垃圾桶</w:t>
            </w:r>
          </w:p>
        </w:tc>
        <w:tc>
          <w:tcPr>
            <w:tcW w:w="1058" w:type="dxa"/>
            <w:shd w:val="clear" w:color="auto" w:fill="auto"/>
            <w:vAlign w:val="center"/>
          </w:tcPr>
          <w:p w14:paraId="50D75865">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lang w:val="en-US" w:eastAsia="zh-CN"/>
              </w:rPr>
              <w:t>.5</w:t>
            </w:r>
          </w:p>
        </w:tc>
      </w:tr>
      <w:tr w14:paraId="68EEED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3DC4880B">
            <w:pPr>
              <w:pStyle w:val="146"/>
              <w:rPr>
                <w:rFonts w:hint="default" w:ascii="Times New Roman" w:hAnsi="Times New Roman" w:eastAsia="宋体" w:cs="Times New Roman"/>
                <w:snapToGrid w:val="0"/>
                <w:color w:val="auto"/>
                <w:highlight w:val="none"/>
              </w:rPr>
            </w:pPr>
          </w:p>
        </w:tc>
        <w:tc>
          <w:tcPr>
            <w:tcW w:w="1115" w:type="dxa"/>
            <w:shd w:val="clear" w:color="auto" w:fill="auto"/>
            <w:vAlign w:val="center"/>
          </w:tcPr>
          <w:p w14:paraId="36ED9576">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废气</w:t>
            </w:r>
          </w:p>
        </w:tc>
        <w:tc>
          <w:tcPr>
            <w:tcW w:w="3611" w:type="dxa"/>
            <w:shd w:val="clear" w:color="auto" w:fill="auto"/>
            <w:vAlign w:val="center"/>
          </w:tcPr>
          <w:p w14:paraId="33B9C0A8">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施工材料苫盖、洒水抑尘措施</w:t>
            </w:r>
          </w:p>
        </w:tc>
        <w:tc>
          <w:tcPr>
            <w:tcW w:w="1058" w:type="dxa"/>
            <w:shd w:val="clear" w:color="auto" w:fill="auto"/>
            <w:vAlign w:val="center"/>
          </w:tcPr>
          <w:p w14:paraId="2FFDDE2D">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.0</w:t>
            </w:r>
          </w:p>
        </w:tc>
      </w:tr>
      <w:tr w14:paraId="6D9D1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552D8C70">
            <w:pPr>
              <w:pStyle w:val="146"/>
              <w:rPr>
                <w:rFonts w:hint="default" w:ascii="Times New Roman" w:hAnsi="Times New Roman" w:eastAsia="宋体" w:cs="Times New Roman"/>
                <w:snapToGrid w:val="0"/>
                <w:color w:val="auto"/>
                <w:highlight w:val="none"/>
              </w:rPr>
            </w:pPr>
          </w:p>
        </w:tc>
        <w:tc>
          <w:tcPr>
            <w:tcW w:w="1115" w:type="dxa"/>
            <w:shd w:val="clear" w:color="auto" w:fill="auto"/>
            <w:vAlign w:val="center"/>
          </w:tcPr>
          <w:p w14:paraId="1A871300">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生态</w:t>
            </w:r>
          </w:p>
        </w:tc>
        <w:tc>
          <w:tcPr>
            <w:tcW w:w="3611" w:type="dxa"/>
            <w:shd w:val="clear" w:color="auto" w:fill="auto"/>
            <w:vAlign w:val="center"/>
          </w:tcPr>
          <w:p w14:paraId="678B0A60">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水土流失、生态保护与恢复</w:t>
            </w:r>
          </w:p>
        </w:tc>
        <w:tc>
          <w:tcPr>
            <w:tcW w:w="1058" w:type="dxa"/>
            <w:shd w:val="clear" w:color="auto" w:fill="auto"/>
            <w:vAlign w:val="center"/>
          </w:tcPr>
          <w:p w14:paraId="6D2DA978">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20</w:t>
            </w:r>
            <w:r>
              <w:rPr>
                <w:rFonts w:hint="default" w:ascii="Times New Roman" w:hAnsi="Times New Roman" w:eastAsia="宋体" w:cs="Times New Roman"/>
                <w:snapToGrid w:val="0"/>
                <w:color w:val="auto"/>
                <w:highlight w:val="none"/>
              </w:rPr>
              <w:t>.0</w:t>
            </w:r>
          </w:p>
        </w:tc>
      </w:tr>
      <w:tr w14:paraId="2B8A7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restart"/>
            <w:shd w:val="clear" w:color="auto" w:fill="auto"/>
            <w:vAlign w:val="center"/>
          </w:tcPr>
          <w:p w14:paraId="36D391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废水治理</w:t>
            </w:r>
          </w:p>
        </w:tc>
        <w:tc>
          <w:tcPr>
            <w:tcW w:w="4726" w:type="dxa"/>
            <w:gridSpan w:val="2"/>
            <w:shd w:val="clear" w:color="auto" w:fill="auto"/>
            <w:vAlign w:val="center"/>
          </w:tcPr>
          <w:p w14:paraId="2921BF0C">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渗滤液收集池</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化粪池</w:t>
            </w:r>
          </w:p>
        </w:tc>
        <w:tc>
          <w:tcPr>
            <w:tcW w:w="1058" w:type="dxa"/>
            <w:shd w:val="clear" w:color="auto" w:fill="auto"/>
            <w:vAlign w:val="center"/>
          </w:tcPr>
          <w:p w14:paraId="72819892">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15</w:t>
            </w:r>
            <w:r>
              <w:rPr>
                <w:rFonts w:hint="default" w:ascii="Times New Roman" w:hAnsi="Times New Roman" w:eastAsia="宋体" w:cs="Times New Roman"/>
                <w:snapToGrid w:val="0"/>
                <w:color w:val="auto"/>
                <w:highlight w:val="none"/>
              </w:rPr>
              <w:t>.0</w:t>
            </w:r>
          </w:p>
        </w:tc>
      </w:tr>
      <w:tr w14:paraId="51D3C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0809D9B3">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6AE66918">
            <w:pPr>
              <w:pStyle w:val="146"/>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初期雨水收集池</w:t>
            </w:r>
          </w:p>
        </w:tc>
        <w:tc>
          <w:tcPr>
            <w:tcW w:w="1058" w:type="dxa"/>
            <w:shd w:val="clear" w:color="auto" w:fill="auto"/>
            <w:vAlign w:val="center"/>
          </w:tcPr>
          <w:p w14:paraId="0E9793F9">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18</w:t>
            </w:r>
          </w:p>
        </w:tc>
      </w:tr>
      <w:tr w14:paraId="0405F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7B34719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防渗工程</w:t>
            </w:r>
          </w:p>
        </w:tc>
        <w:tc>
          <w:tcPr>
            <w:tcW w:w="4726" w:type="dxa"/>
            <w:gridSpan w:val="2"/>
            <w:shd w:val="clear" w:color="auto" w:fill="auto"/>
            <w:vAlign w:val="center"/>
          </w:tcPr>
          <w:p w14:paraId="0679E6A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堆肥间按重点防渗区采取防渗措施。</w:t>
            </w:r>
          </w:p>
          <w:p w14:paraId="1DC5B6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color w:val="auto"/>
                <w:highlight w:val="none"/>
              </w:rPr>
              <w:t>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highlight w:val="none"/>
              </w:rPr>
              <w:t>采取一般防渗措施。</w:t>
            </w:r>
          </w:p>
          <w:p w14:paraId="1BEB2E4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color w:val="auto"/>
                <w:highlight w:val="none"/>
              </w:rPr>
              <w:t>办公室等其他建筑物</w:t>
            </w:r>
            <w:r>
              <w:rPr>
                <w:rFonts w:hint="default" w:ascii="Times New Roman" w:hAnsi="Times New Roman" w:eastAsia="宋体" w:cs="Times New Roman"/>
                <w:snapToGrid w:val="0"/>
                <w:color w:val="auto"/>
                <w:highlight w:val="none"/>
              </w:rPr>
              <w:t>及厂内道路采取简单防渗，对其地面采用混凝土进行一般地面硬化。</w:t>
            </w:r>
          </w:p>
        </w:tc>
        <w:tc>
          <w:tcPr>
            <w:tcW w:w="1058" w:type="dxa"/>
            <w:shd w:val="clear" w:color="auto" w:fill="auto"/>
            <w:vAlign w:val="center"/>
          </w:tcPr>
          <w:p w14:paraId="35AF0304">
            <w:pPr>
              <w:pStyle w:val="146"/>
              <w:rPr>
                <w:rFonts w:hint="default" w:ascii="Times New Roman" w:hAnsi="Times New Roman" w:eastAsia="宋体" w:cs="Times New Roman"/>
                <w:snapToGrid w:val="0"/>
                <w:color w:val="auto"/>
                <w:highlight w:val="none"/>
                <w:lang w:val="en-US"/>
              </w:rPr>
            </w:pPr>
            <w:r>
              <w:rPr>
                <w:rFonts w:hint="eastAsia" w:eastAsia="宋体" w:cs="Times New Roman"/>
                <w:snapToGrid w:val="0"/>
                <w:color w:val="auto"/>
                <w:highlight w:val="none"/>
                <w:lang w:val="en-US" w:eastAsia="zh-CN"/>
              </w:rPr>
              <w:t>35.0</w:t>
            </w:r>
          </w:p>
        </w:tc>
      </w:tr>
      <w:tr w14:paraId="03751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restart"/>
            <w:shd w:val="clear" w:color="auto" w:fill="auto"/>
            <w:vAlign w:val="center"/>
          </w:tcPr>
          <w:p w14:paraId="3D7A640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废气治理</w:t>
            </w:r>
          </w:p>
        </w:tc>
        <w:tc>
          <w:tcPr>
            <w:tcW w:w="4726" w:type="dxa"/>
            <w:gridSpan w:val="2"/>
            <w:shd w:val="clear" w:color="auto" w:fill="auto"/>
            <w:vAlign w:val="center"/>
          </w:tcPr>
          <w:p w14:paraId="4C18115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牛舍通风换气系统、</w:t>
            </w:r>
            <w:bookmarkStart w:id="562" w:name="_Hlk530059144"/>
            <w:r>
              <w:rPr>
                <w:rFonts w:hint="default" w:ascii="Times New Roman" w:hAnsi="Times New Roman" w:eastAsia="宋体" w:cs="Times New Roman"/>
                <w:snapToGrid w:val="0"/>
                <w:color w:val="auto"/>
                <w:highlight w:val="none"/>
                <w:lang w:val="en-US" w:eastAsia="zh-CN"/>
              </w:rPr>
              <w:t>植物</w:t>
            </w:r>
            <w:r>
              <w:rPr>
                <w:rFonts w:hint="default" w:ascii="Times New Roman" w:hAnsi="Times New Roman" w:eastAsia="宋体" w:cs="Times New Roman"/>
                <w:snapToGrid w:val="0"/>
                <w:color w:val="auto"/>
                <w:highlight w:val="none"/>
              </w:rPr>
              <w:t>除臭剂喷淋、日粮中添加EM菌</w:t>
            </w:r>
            <w:bookmarkEnd w:id="562"/>
            <w:r>
              <w:rPr>
                <w:rFonts w:hint="default" w:ascii="Times New Roman" w:hAnsi="Times New Roman" w:eastAsia="宋体" w:cs="Times New Roman"/>
                <w:snapToGrid w:val="0"/>
                <w:color w:val="auto"/>
                <w:highlight w:val="none"/>
              </w:rPr>
              <w:t>的除臭方式、</w:t>
            </w:r>
            <w:r>
              <w:rPr>
                <w:rFonts w:hint="default" w:ascii="Times New Roman" w:hAnsi="Times New Roman" w:eastAsia="宋体" w:cs="Times New Roman"/>
                <w:color w:val="auto"/>
                <w:highlight w:val="none"/>
              </w:rPr>
              <w:t>场区绿化</w:t>
            </w:r>
            <w:r>
              <w:rPr>
                <w:rFonts w:hint="default" w:ascii="Times New Roman" w:hAnsi="Times New Roman" w:eastAsia="宋体" w:cs="Times New Roman"/>
                <w:color w:val="auto"/>
                <w:highlight w:val="none"/>
              </w:rPr>
              <w:t>。</w:t>
            </w:r>
          </w:p>
        </w:tc>
        <w:tc>
          <w:tcPr>
            <w:tcW w:w="1058" w:type="dxa"/>
            <w:shd w:val="clear" w:color="auto" w:fill="auto"/>
            <w:vAlign w:val="center"/>
          </w:tcPr>
          <w:p w14:paraId="4CB747E5">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43</w:t>
            </w:r>
            <w:r>
              <w:rPr>
                <w:rFonts w:hint="default" w:ascii="Times New Roman" w:hAnsi="Times New Roman" w:eastAsia="宋体" w:cs="Times New Roman"/>
                <w:snapToGrid w:val="0"/>
                <w:color w:val="auto"/>
                <w:highlight w:val="none"/>
              </w:rPr>
              <w:t>.0</w:t>
            </w:r>
          </w:p>
        </w:tc>
      </w:tr>
      <w:tr w14:paraId="73EC3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25D87711">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65F7904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活性炭吸附装置+15m高排气筒DA001</w:t>
            </w:r>
          </w:p>
        </w:tc>
        <w:tc>
          <w:tcPr>
            <w:tcW w:w="1058" w:type="dxa"/>
            <w:shd w:val="clear" w:color="auto" w:fill="auto"/>
            <w:vAlign w:val="center"/>
          </w:tcPr>
          <w:p w14:paraId="4563410E">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lang w:val="en-US" w:eastAsia="zh-CN"/>
              </w:rPr>
              <w:t>.5</w:t>
            </w:r>
          </w:p>
        </w:tc>
      </w:tr>
      <w:tr w14:paraId="3778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2317" w:type="dxa"/>
            <w:vMerge w:val="restart"/>
            <w:shd w:val="clear" w:color="auto" w:fill="auto"/>
            <w:vAlign w:val="center"/>
          </w:tcPr>
          <w:p w14:paraId="43C1DD2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固废治理</w:t>
            </w:r>
          </w:p>
        </w:tc>
        <w:tc>
          <w:tcPr>
            <w:tcW w:w="4726" w:type="dxa"/>
            <w:gridSpan w:val="2"/>
            <w:shd w:val="clear" w:color="auto" w:fill="auto"/>
            <w:vAlign w:val="center"/>
          </w:tcPr>
          <w:p w14:paraId="64A039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生活垃圾箱</w:t>
            </w:r>
          </w:p>
        </w:tc>
        <w:tc>
          <w:tcPr>
            <w:tcW w:w="1058" w:type="dxa"/>
            <w:shd w:val="clear" w:color="auto" w:fill="auto"/>
            <w:vAlign w:val="center"/>
          </w:tcPr>
          <w:p w14:paraId="332A0275">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w:t>
            </w:r>
          </w:p>
        </w:tc>
      </w:tr>
      <w:tr w14:paraId="54AAC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6B42671C">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3261DCE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废活性炭</w:t>
            </w:r>
          </w:p>
        </w:tc>
        <w:tc>
          <w:tcPr>
            <w:tcW w:w="1058" w:type="dxa"/>
            <w:shd w:val="clear" w:color="auto" w:fill="auto"/>
            <w:vAlign w:val="center"/>
          </w:tcPr>
          <w:p w14:paraId="0378A282">
            <w:pPr>
              <w:pStyle w:val="146"/>
              <w:rPr>
                <w:rFonts w:hint="default" w:ascii="Times New Roman" w:hAnsi="Times New Roman" w:eastAsia="宋体" w:cs="Times New Roman"/>
                <w:snapToGrid w:val="0"/>
                <w:color w:val="auto"/>
                <w:highlight w:val="none"/>
                <w:lang w:val="en-US" w:eastAsia="zh-CN"/>
              </w:rPr>
            </w:pPr>
            <w:r>
              <w:rPr>
                <w:rStyle w:val="422"/>
                <w:rFonts w:hint="eastAsia" w:eastAsia="宋体" w:cs="Times New Roman"/>
                <w:color w:val="auto"/>
                <w:highlight w:val="none"/>
                <w:lang w:val="en-US" w:eastAsia="zh-CN"/>
              </w:rPr>
              <w:t>5</w:t>
            </w:r>
            <w:r>
              <w:rPr>
                <w:rStyle w:val="422"/>
                <w:rFonts w:hint="default" w:ascii="Times New Roman" w:hAnsi="Times New Roman" w:eastAsia="宋体" w:cs="Times New Roman"/>
                <w:color w:val="auto"/>
                <w:highlight w:val="none"/>
                <w:lang w:val="en-US" w:eastAsia="zh-CN"/>
              </w:rPr>
              <w:t>.5</w:t>
            </w:r>
          </w:p>
        </w:tc>
      </w:tr>
      <w:tr w14:paraId="50E82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788D2884">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06D56D3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病死牛尸体</w:t>
            </w:r>
          </w:p>
        </w:tc>
        <w:tc>
          <w:tcPr>
            <w:tcW w:w="1058" w:type="dxa"/>
            <w:shd w:val="clear" w:color="auto" w:fill="auto"/>
            <w:vAlign w:val="center"/>
          </w:tcPr>
          <w:p w14:paraId="5CC90129">
            <w:pPr>
              <w:pStyle w:val="146"/>
              <w:rPr>
                <w:rStyle w:val="422"/>
                <w:rFonts w:hint="default" w:ascii="Times New Roman" w:hAnsi="Times New Roman" w:eastAsia="宋体" w:cs="Times New Roman"/>
                <w:color w:val="auto"/>
                <w:highlight w:val="none"/>
                <w:lang w:val="en-US" w:eastAsia="zh-CN"/>
              </w:rPr>
            </w:pPr>
            <w:r>
              <w:rPr>
                <w:rStyle w:val="422"/>
                <w:rFonts w:hint="eastAsia" w:eastAsia="宋体" w:cs="Times New Roman"/>
                <w:color w:val="auto"/>
                <w:highlight w:val="none"/>
                <w:lang w:val="en-US" w:eastAsia="zh-CN"/>
              </w:rPr>
              <w:t>5.5</w:t>
            </w:r>
          </w:p>
        </w:tc>
      </w:tr>
      <w:tr w14:paraId="78ABE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317" w:type="dxa"/>
            <w:vMerge w:val="continue"/>
            <w:shd w:val="clear" w:color="auto" w:fill="auto"/>
            <w:vAlign w:val="center"/>
          </w:tcPr>
          <w:p w14:paraId="0D594C32">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374688E0">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ascii="Times New Roman" w:hAnsi="Times New Roman" w:eastAsia="宋体" w:cs="Times New Roman"/>
                <w:snapToGrid w:val="0"/>
                <w:color w:val="auto"/>
                <w:highlight w:val="none"/>
                <w:lang w:val="en-US" w:eastAsia="zh-CN"/>
              </w:rPr>
              <w:t>含粪污废垫料（</w:t>
            </w:r>
            <w:r>
              <w:rPr>
                <w:rFonts w:hint="default" w:ascii="Times New Roman" w:hAnsi="Times New Roman" w:eastAsia="宋体" w:cs="Times New Roman"/>
                <w:snapToGrid w:val="0"/>
                <w:color w:val="auto"/>
                <w:highlight w:val="none"/>
              </w:rPr>
              <w:t>租用</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辆50m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运输罐车</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喷粪车</w:t>
            </w:r>
            <w:r>
              <w:rPr>
                <w:rFonts w:hint="eastAsia" w:ascii="Times New Roman" w:hAnsi="Times New Roman" w:eastAsia="宋体" w:cs="Times New Roman"/>
                <w:snapToGrid w:val="0"/>
                <w:color w:val="auto"/>
                <w:highlight w:val="none"/>
                <w:lang w:val="en-US" w:eastAsia="zh-CN"/>
              </w:rPr>
              <w:t>）</w:t>
            </w:r>
          </w:p>
        </w:tc>
        <w:tc>
          <w:tcPr>
            <w:tcW w:w="1058" w:type="dxa"/>
            <w:shd w:val="clear" w:color="auto" w:fill="auto"/>
            <w:vAlign w:val="center"/>
          </w:tcPr>
          <w:p w14:paraId="242A0BAF">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eastAsia" w:eastAsia="宋体" w:cs="Times New Roman"/>
                <w:snapToGrid w:val="0"/>
                <w:color w:val="auto"/>
                <w:highlight w:val="none"/>
                <w:lang w:val="en-US" w:eastAsia="zh-CN"/>
              </w:rPr>
              <w:t>26</w:t>
            </w:r>
            <w:r>
              <w:rPr>
                <w:rFonts w:hint="default" w:ascii="Times New Roman" w:hAnsi="Times New Roman" w:eastAsia="宋体" w:cs="Times New Roman"/>
                <w:snapToGrid w:val="0"/>
                <w:color w:val="auto"/>
                <w:highlight w:val="none"/>
              </w:rPr>
              <w:t>.0</w:t>
            </w:r>
          </w:p>
        </w:tc>
      </w:tr>
      <w:tr w14:paraId="0EE62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vMerge w:val="continue"/>
            <w:shd w:val="clear" w:color="auto" w:fill="auto"/>
            <w:vAlign w:val="center"/>
          </w:tcPr>
          <w:p w14:paraId="54E69D25">
            <w:pPr>
              <w:pStyle w:val="146"/>
              <w:rPr>
                <w:rFonts w:hint="default" w:ascii="Times New Roman" w:hAnsi="Times New Roman" w:eastAsia="宋体" w:cs="Times New Roman"/>
                <w:snapToGrid w:val="0"/>
                <w:color w:val="auto"/>
                <w:highlight w:val="none"/>
              </w:rPr>
            </w:pPr>
          </w:p>
        </w:tc>
        <w:tc>
          <w:tcPr>
            <w:tcW w:w="4726" w:type="dxa"/>
            <w:gridSpan w:val="2"/>
            <w:shd w:val="clear" w:color="auto" w:fill="auto"/>
            <w:vAlign w:val="center"/>
          </w:tcPr>
          <w:p w14:paraId="65EBC7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医疗废物储存及清运设备</w:t>
            </w:r>
          </w:p>
        </w:tc>
        <w:tc>
          <w:tcPr>
            <w:tcW w:w="1058" w:type="dxa"/>
            <w:shd w:val="clear" w:color="auto" w:fill="auto"/>
            <w:vAlign w:val="center"/>
          </w:tcPr>
          <w:p w14:paraId="53C5E8B5">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w:t>
            </w:r>
          </w:p>
        </w:tc>
      </w:tr>
      <w:tr w14:paraId="1D0C8B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3BCA3CF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噪声治理</w:t>
            </w:r>
          </w:p>
        </w:tc>
        <w:tc>
          <w:tcPr>
            <w:tcW w:w="4726" w:type="dxa"/>
            <w:gridSpan w:val="2"/>
            <w:shd w:val="clear" w:color="auto" w:fill="auto"/>
            <w:vAlign w:val="center"/>
          </w:tcPr>
          <w:p w14:paraId="248A0DB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噪声设备的消声、减振措施</w:t>
            </w:r>
          </w:p>
        </w:tc>
        <w:tc>
          <w:tcPr>
            <w:tcW w:w="1058" w:type="dxa"/>
            <w:shd w:val="clear" w:color="auto" w:fill="auto"/>
            <w:vAlign w:val="center"/>
          </w:tcPr>
          <w:p w14:paraId="3994AE3E">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lang w:val="en-US" w:eastAsia="zh-CN"/>
              </w:rPr>
              <w:t>.0</w:t>
            </w:r>
          </w:p>
        </w:tc>
      </w:tr>
      <w:tr w14:paraId="4BEE9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7250A47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绿化工程</w:t>
            </w:r>
          </w:p>
        </w:tc>
        <w:tc>
          <w:tcPr>
            <w:tcW w:w="4726" w:type="dxa"/>
            <w:gridSpan w:val="2"/>
            <w:shd w:val="clear" w:color="auto" w:fill="auto"/>
            <w:vAlign w:val="center"/>
          </w:tcPr>
          <w:p w14:paraId="7BC6F9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场内道路、场区内空地及场界植树种草</w:t>
            </w:r>
          </w:p>
        </w:tc>
        <w:tc>
          <w:tcPr>
            <w:tcW w:w="1058" w:type="dxa"/>
            <w:shd w:val="clear" w:color="auto" w:fill="auto"/>
            <w:vAlign w:val="center"/>
          </w:tcPr>
          <w:p w14:paraId="559CF1B4">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20</w:t>
            </w:r>
            <w:r>
              <w:rPr>
                <w:rFonts w:hint="default" w:ascii="Times New Roman" w:hAnsi="Times New Roman" w:eastAsia="宋体" w:cs="Times New Roman"/>
                <w:snapToGrid w:val="0"/>
                <w:color w:val="auto"/>
                <w:highlight w:val="none"/>
                <w:lang w:val="en-US" w:eastAsia="zh-CN"/>
              </w:rPr>
              <w:t>.0</w:t>
            </w:r>
          </w:p>
        </w:tc>
      </w:tr>
      <w:tr w14:paraId="02706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417CE4F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环境监测管理</w:t>
            </w:r>
          </w:p>
        </w:tc>
        <w:tc>
          <w:tcPr>
            <w:tcW w:w="4726" w:type="dxa"/>
            <w:gridSpan w:val="2"/>
            <w:shd w:val="clear" w:color="auto" w:fill="auto"/>
            <w:vAlign w:val="center"/>
          </w:tcPr>
          <w:p w14:paraId="5828E2A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验收监测、地下水监测井及委托监测</w:t>
            </w:r>
          </w:p>
        </w:tc>
        <w:tc>
          <w:tcPr>
            <w:tcW w:w="1058" w:type="dxa"/>
            <w:shd w:val="clear" w:color="auto" w:fill="auto"/>
            <w:vAlign w:val="center"/>
          </w:tcPr>
          <w:p w14:paraId="0A8B0A89">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34</w:t>
            </w:r>
            <w:r>
              <w:rPr>
                <w:rFonts w:hint="default" w:ascii="Times New Roman" w:hAnsi="Times New Roman" w:eastAsia="宋体" w:cs="Times New Roman"/>
                <w:snapToGrid w:val="0"/>
                <w:color w:val="auto"/>
                <w:highlight w:val="none"/>
              </w:rPr>
              <w:t>.0</w:t>
            </w:r>
          </w:p>
        </w:tc>
      </w:tr>
      <w:tr w14:paraId="08F6D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336044B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环保设施运行维护维修费用</w:t>
            </w:r>
          </w:p>
        </w:tc>
        <w:tc>
          <w:tcPr>
            <w:tcW w:w="4726" w:type="dxa"/>
            <w:gridSpan w:val="2"/>
            <w:shd w:val="clear" w:color="auto" w:fill="auto"/>
            <w:vAlign w:val="center"/>
          </w:tcPr>
          <w:p w14:paraId="2E2A3BD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运行期各环保设施的运行维护维修费用</w:t>
            </w:r>
          </w:p>
        </w:tc>
        <w:tc>
          <w:tcPr>
            <w:tcW w:w="1058" w:type="dxa"/>
            <w:shd w:val="clear" w:color="auto" w:fill="auto"/>
            <w:vAlign w:val="center"/>
          </w:tcPr>
          <w:p w14:paraId="77A39DB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.0</w:t>
            </w:r>
          </w:p>
        </w:tc>
      </w:tr>
      <w:tr w14:paraId="5D2C0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17" w:type="dxa"/>
            <w:shd w:val="clear" w:color="auto" w:fill="auto"/>
            <w:vAlign w:val="center"/>
          </w:tcPr>
          <w:p w14:paraId="6DEC57B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合计</w:t>
            </w:r>
          </w:p>
        </w:tc>
        <w:tc>
          <w:tcPr>
            <w:tcW w:w="4726" w:type="dxa"/>
            <w:gridSpan w:val="2"/>
            <w:shd w:val="clear" w:color="auto" w:fill="auto"/>
            <w:vAlign w:val="center"/>
          </w:tcPr>
          <w:p w14:paraId="3A023DC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058" w:type="dxa"/>
            <w:shd w:val="clear" w:color="auto" w:fill="auto"/>
            <w:vAlign w:val="center"/>
          </w:tcPr>
          <w:p w14:paraId="0CDD47F6">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276.5</w:t>
            </w:r>
          </w:p>
        </w:tc>
      </w:tr>
    </w:tbl>
    <w:p w14:paraId="71C744C9">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3F3FD9E4">
      <w:pPr>
        <w:pStyle w:val="3"/>
        <w:spacing w:line="500" w:lineRule="exact"/>
        <w:rPr>
          <w:rFonts w:hint="default" w:ascii="Times New Roman" w:hAnsi="Times New Roman" w:cs="Times New Roman"/>
          <w:color w:val="auto"/>
          <w:highlight w:val="none"/>
        </w:rPr>
      </w:pPr>
      <w:bookmarkStart w:id="563" w:name="_Toc477368694"/>
      <w:bookmarkStart w:id="564" w:name="_Toc20730"/>
      <w:bookmarkStart w:id="565" w:name="_Toc57713704"/>
      <w:bookmarkStart w:id="566" w:name="_Toc457030096"/>
      <w:r>
        <w:rPr>
          <w:rFonts w:hint="default" w:ascii="Times New Roman" w:hAnsi="Times New Roman" w:cs="Times New Roman"/>
          <w:color w:val="auto"/>
          <w:highlight w:val="none"/>
        </w:rPr>
        <w:t>7环境经济损益分析</w:t>
      </w:r>
      <w:bookmarkEnd w:id="563"/>
      <w:bookmarkEnd w:id="564"/>
      <w:bookmarkEnd w:id="565"/>
      <w:bookmarkEnd w:id="566"/>
    </w:p>
    <w:p w14:paraId="4AF35ABE">
      <w:pPr>
        <w:pStyle w:val="67"/>
        <w:ind w:firstLine="480"/>
        <w:rPr>
          <w:rFonts w:hint="default" w:ascii="Times New Roman" w:hAnsi="Times New Roman" w:eastAsia="宋体" w:cs="Times New Roman"/>
          <w:color w:val="auto"/>
          <w:highlight w:val="none"/>
        </w:rPr>
      </w:pPr>
      <w:bookmarkStart w:id="567" w:name="_Toc457030101"/>
      <w:bookmarkStart w:id="568" w:name="_Toc454419848"/>
      <w:bookmarkStart w:id="569" w:name="_Toc477368699"/>
      <w:r>
        <w:rPr>
          <w:rFonts w:hint="default" w:ascii="Times New Roman" w:hAnsi="Times New Roman" w:eastAsia="宋体" w:cs="Times New Roman"/>
          <w:color w:val="auto"/>
          <w:highlight w:val="none"/>
        </w:rPr>
        <w:t>环境经济损益分析主要是评价建设项目实施后，对环境造成的损失费用和采取各种环保治理措施所能收到的环保效果及其带来的经济和社会效益，衡量建设项目的环保投资在经济上的合理水平。</w:t>
      </w:r>
    </w:p>
    <w:p w14:paraId="39AF53A2">
      <w:pPr>
        <w:pStyle w:val="4"/>
        <w:rPr>
          <w:rFonts w:hint="default" w:ascii="Times New Roman" w:hAnsi="Times New Roman" w:cs="Times New Roman"/>
          <w:color w:val="auto"/>
          <w:highlight w:val="none"/>
        </w:rPr>
      </w:pPr>
      <w:bookmarkStart w:id="570" w:name="_Toc528847179"/>
      <w:bookmarkStart w:id="571" w:name="_Toc57713705"/>
      <w:bookmarkStart w:id="572" w:name="_Toc480447678"/>
      <w:bookmarkStart w:id="573" w:name="_Toc1951"/>
      <w:r>
        <w:rPr>
          <w:rFonts w:hint="default" w:ascii="Times New Roman" w:hAnsi="Times New Roman" w:cs="Times New Roman"/>
          <w:color w:val="auto"/>
          <w:highlight w:val="none"/>
        </w:rPr>
        <w:t>7.1项目实施后对环境影响的变化情况</w:t>
      </w:r>
      <w:bookmarkEnd w:id="570"/>
      <w:bookmarkEnd w:id="571"/>
      <w:bookmarkEnd w:id="572"/>
      <w:bookmarkEnd w:id="573"/>
    </w:p>
    <w:p w14:paraId="408DF03D">
      <w:pPr>
        <w:pStyle w:val="67"/>
        <w:ind w:firstLine="480"/>
        <w:rPr>
          <w:rFonts w:hint="default" w:ascii="Times New Roman" w:hAnsi="Times New Roman" w:eastAsia="宋体" w:cs="Times New Roman"/>
          <w:color w:val="auto"/>
          <w:highlight w:val="none"/>
        </w:rPr>
      </w:pPr>
      <w:bookmarkStart w:id="574" w:name="_Toc480447679"/>
      <w:r>
        <w:rPr>
          <w:rFonts w:hint="default" w:ascii="Times New Roman" w:hAnsi="Times New Roman" w:eastAsia="宋体" w:cs="Times New Roman"/>
          <w:color w:val="auto"/>
          <w:highlight w:val="none"/>
        </w:rPr>
        <w:t>项目通过投入环保投资，采取各种环保措施对废气、废水、噪声、固体废物污染进行控制，实现了废物资源化利用，同时减少了项目对环境造成的污染，达到了削减污染物排放量，保护环境的目的，对环境影响较小。具体表现在以下方面：</w:t>
      </w:r>
    </w:p>
    <w:p w14:paraId="634542F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（1）项目运行过程中产生的牛尿</w:t>
      </w:r>
      <w:r>
        <w:rPr>
          <w:rFonts w:hint="eastAsia" w:eastAsia="宋体" w:cs="Times New Roman"/>
          <w:color w:val="auto"/>
          <w:highlight w:val="none"/>
          <w:lang w:val="en-US" w:eastAsia="zh-CN"/>
        </w:rPr>
        <w:t>进入生物垫料中</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rPr>
        <w:t>发酵后施用于农田，不外排，对地表水环境影响较小。</w:t>
      </w:r>
    </w:p>
    <w:p w14:paraId="4726426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（2）项目噪声源经采取隔声减振等消声、降噪处理措施后，场界噪声能达到相关的标准要求，对周围环境影响较小。</w:t>
      </w:r>
    </w:p>
    <w:p w14:paraId="6D32D90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（3）项目产生固废均得到了综合利用和合理处置，其中危险废物均按照国家有关管理规定，委托有资质的单位无害化处理，对周围环境影响较小。</w:t>
      </w:r>
    </w:p>
    <w:p w14:paraId="5C3E8EA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14:paraId="311E044F">
      <w:pPr>
        <w:pStyle w:val="4"/>
        <w:rPr>
          <w:rFonts w:hint="default" w:ascii="Times New Roman" w:hAnsi="Times New Roman" w:cs="Times New Roman"/>
          <w:color w:val="auto"/>
          <w:highlight w:val="none"/>
        </w:rPr>
      </w:pPr>
      <w:bookmarkStart w:id="575" w:name="_Toc528847180"/>
      <w:bookmarkStart w:id="576" w:name="_Toc57713706"/>
      <w:bookmarkStart w:id="577" w:name="_Toc22485"/>
      <w:r>
        <w:rPr>
          <w:rFonts w:hint="default" w:ascii="Times New Roman" w:hAnsi="Times New Roman" w:cs="Times New Roman"/>
          <w:color w:val="auto"/>
          <w:highlight w:val="none"/>
        </w:rPr>
        <w:t>7.2经济效益分析</w:t>
      </w:r>
      <w:bookmarkEnd w:id="574"/>
      <w:bookmarkEnd w:id="575"/>
      <w:bookmarkEnd w:id="576"/>
      <w:bookmarkEnd w:id="577"/>
    </w:p>
    <w:p w14:paraId="05275810">
      <w:pPr>
        <w:pStyle w:val="67"/>
        <w:ind w:firstLine="480"/>
        <w:rPr>
          <w:rFonts w:hint="default" w:ascii="Times New Roman" w:hAnsi="Times New Roman" w:eastAsia="宋体" w:cs="Times New Roman"/>
          <w:color w:val="auto"/>
          <w:highlight w:val="none"/>
        </w:rPr>
      </w:pPr>
      <w:bookmarkStart w:id="578" w:name="_Toc480447680"/>
      <w:r>
        <w:rPr>
          <w:rFonts w:hint="default" w:ascii="Times New Roman" w:hAnsi="Times New Roman" w:eastAsia="宋体" w:cs="Times New Roman"/>
          <w:color w:val="auto"/>
          <w:highlight w:val="none"/>
        </w:rPr>
        <w:t>（1）直接的经济效益分析</w:t>
      </w:r>
    </w:p>
    <w:p w14:paraId="0CD336B3">
      <w:pPr>
        <w:pStyle w:val="67"/>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本项目运营以后年出栏肉牛</w:t>
      </w:r>
      <w:r>
        <w:rPr>
          <w:rFonts w:hint="eastAsia" w:eastAsia="宋体" w:cs="Times New Roman"/>
          <w:color w:val="auto"/>
          <w:highlight w:val="none"/>
          <w:lang w:val="en-US" w:eastAsia="zh-CN"/>
        </w:rPr>
        <w:t>10000</w:t>
      </w:r>
      <w:r>
        <w:rPr>
          <w:rFonts w:hint="default" w:ascii="Times New Roman" w:hAnsi="Times New Roman" w:eastAsia="宋体" w:cs="Times New Roman"/>
          <w:color w:val="auto"/>
          <w:highlight w:val="none"/>
        </w:rPr>
        <w:t>头，平均每头</w:t>
      </w:r>
      <w:r>
        <w:rPr>
          <w:rFonts w:hint="eastAsia" w:eastAsia="宋体" w:cs="Times New Roman"/>
          <w:color w:val="auto"/>
          <w:highlight w:val="none"/>
          <w:lang w:val="en-US" w:eastAsia="zh-CN"/>
        </w:rPr>
        <w:t>700</w:t>
      </w:r>
      <w:r>
        <w:rPr>
          <w:rFonts w:hint="default" w:ascii="Times New Roman" w:hAnsi="Times New Roman" w:eastAsia="宋体" w:cs="Times New Roman"/>
          <w:color w:val="auto"/>
          <w:highlight w:val="none"/>
        </w:rPr>
        <w:t>公斤，共计</w:t>
      </w:r>
      <w:r>
        <w:rPr>
          <w:rFonts w:hint="eastAsia" w:eastAsia="宋体" w:cs="Times New Roman"/>
          <w:color w:val="auto"/>
          <w:highlight w:val="none"/>
          <w:lang w:val="en-US" w:eastAsia="zh-CN"/>
        </w:rPr>
        <w:t>700</w:t>
      </w:r>
      <w:r>
        <w:rPr>
          <w:rFonts w:hint="default" w:ascii="Times New Roman" w:hAnsi="Times New Roman" w:eastAsia="宋体" w:cs="Times New Roman"/>
          <w:color w:val="auto"/>
          <w:highlight w:val="none"/>
        </w:rPr>
        <w:t>万公斤，按现在市场价格每公斤30元计算，销售收入达</w:t>
      </w:r>
      <w:r>
        <w:rPr>
          <w:rFonts w:hint="eastAsia" w:eastAsia="宋体" w:cs="Times New Roman"/>
          <w:color w:val="auto"/>
          <w:highlight w:val="none"/>
          <w:lang w:val="en-US" w:eastAsia="zh-CN"/>
        </w:rPr>
        <w:t>21000</w:t>
      </w:r>
      <w:r>
        <w:rPr>
          <w:rFonts w:hint="default" w:ascii="Times New Roman" w:hAnsi="Times New Roman" w:eastAsia="宋体" w:cs="Times New Roman"/>
          <w:color w:val="auto"/>
          <w:highlight w:val="none"/>
        </w:rPr>
        <w:t>万元</w:t>
      </w:r>
      <w:r>
        <w:rPr>
          <w:rFonts w:hint="default" w:ascii="Times New Roman" w:hAnsi="Times New Roman" w:eastAsia="宋体" w:cs="Times New Roman"/>
          <w:color w:val="auto"/>
          <w:highlight w:val="none"/>
          <w:lang w:eastAsia="zh-CN"/>
        </w:rPr>
        <w:t>。</w:t>
      </w:r>
    </w:p>
    <w:p w14:paraId="0B2D5C5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（2）间接的经济效益分析</w:t>
      </w:r>
    </w:p>
    <w:p w14:paraId="2456F4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该项目建设有利于调整区域农业结构，带动</w:t>
      </w:r>
      <w:r>
        <w:rPr>
          <w:rFonts w:hint="eastAsia" w:eastAsia="宋体" w:cs="Times New Roman"/>
          <w:color w:val="auto"/>
          <w:highlight w:val="none"/>
          <w:lang w:val="en-US" w:eastAsia="zh-CN"/>
        </w:rPr>
        <w:t>孙吴县</w:t>
      </w:r>
      <w:r>
        <w:rPr>
          <w:rFonts w:hint="default" w:ascii="Times New Roman" w:hAnsi="Times New Roman" w:eastAsia="宋体" w:cs="Times New Roman"/>
          <w:color w:val="auto"/>
          <w:highlight w:val="none"/>
        </w:rPr>
        <w:t>及周边地区种植业、饲料加工业、</w:t>
      </w:r>
      <w:r>
        <w:rPr>
          <w:rFonts w:hint="default" w:ascii="Times New Roman" w:hAnsi="Times New Roman" w:eastAsia="宋体" w:cs="Times New Roman"/>
          <w:color w:val="auto"/>
          <w:highlight w:val="none"/>
          <w:lang w:val="en-US" w:eastAsia="zh-CN"/>
        </w:rPr>
        <w:t>肥业、</w:t>
      </w:r>
      <w:r>
        <w:rPr>
          <w:rFonts w:hint="default" w:ascii="Times New Roman" w:hAnsi="Times New Roman" w:eastAsia="宋体" w:cs="Times New Roman"/>
          <w:color w:val="auto"/>
          <w:highlight w:val="none"/>
        </w:rPr>
        <w:t>运输业及相关产业的发展，形成肉牛养殖产业链，加快农业产业化进程，有效解决“三农”问题，增加当地农民的收入。</w:t>
      </w:r>
    </w:p>
    <w:p w14:paraId="38FDCAC9">
      <w:pPr>
        <w:pStyle w:val="4"/>
        <w:rPr>
          <w:rFonts w:hint="default" w:ascii="Times New Roman" w:hAnsi="Times New Roman" w:cs="Times New Roman"/>
          <w:color w:val="auto"/>
          <w:highlight w:val="none"/>
        </w:rPr>
      </w:pPr>
      <w:bookmarkStart w:id="579" w:name="_Toc57713707"/>
      <w:bookmarkStart w:id="580" w:name="_Toc528847181"/>
      <w:bookmarkStart w:id="581" w:name="_Toc14256"/>
      <w:r>
        <w:rPr>
          <w:rFonts w:hint="default" w:ascii="Times New Roman" w:hAnsi="Times New Roman" w:cs="Times New Roman"/>
          <w:color w:val="auto"/>
          <w:highlight w:val="none"/>
        </w:rPr>
        <w:t>7.3环境效益分析</w:t>
      </w:r>
      <w:bookmarkEnd w:id="579"/>
      <w:bookmarkEnd w:id="580"/>
      <w:bookmarkEnd w:id="581"/>
    </w:p>
    <w:p w14:paraId="6D0184E5">
      <w:pPr>
        <w:pStyle w:val="5"/>
        <w:spacing w:line="500" w:lineRule="exact"/>
        <w:rPr>
          <w:rFonts w:hint="default" w:ascii="Times New Roman" w:hAnsi="Times New Roman" w:cs="Times New Roman"/>
          <w:color w:val="auto"/>
          <w:highlight w:val="none"/>
        </w:rPr>
      </w:pPr>
      <w:bookmarkStart w:id="582" w:name="_Toc528847182"/>
      <w:bookmarkStart w:id="583" w:name="_Toc57713708"/>
      <w:bookmarkStart w:id="584" w:name="_Toc24538"/>
      <w:r>
        <w:rPr>
          <w:rFonts w:hint="default" w:ascii="Times New Roman" w:hAnsi="Times New Roman" w:cs="Times New Roman"/>
          <w:color w:val="auto"/>
          <w:highlight w:val="none"/>
        </w:rPr>
        <w:t>7.3.1有利影响</w:t>
      </w:r>
      <w:bookmarkEnd w:id="582"/>
      <w:bookmarkEnd w:id="583"/>
      <w:bookmarkEnd w:id="584"/>
    </w:p>
    <w:p w14:paraId="4D88BC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规模肉牛养殖场建设上，由于采取了科学的环保措施，在生产过程中所排放粪便、废水都得到了彻底的技术处理，做到了达标排放要求，确保了养牛生产实现了生态化发展。与此同时，肉牛所产粪便和废水，经技术处理后都变成了优质无害的农家有机肥，实现了养殖、种植的良性循环。</w:t>
      </w:r>
    </w:p>
    <w:p w14:paraId="63EEBEE7">
      <w:pPr>
        <w:pStyle w:val="5"/>
        <w:spacing w:line="500" w:lineRule="exact"/>
        <w:rPr>
          <w:rFonts w:hint="default" w:ascii="Times New Roman" w:hAnsi="Times New Roman" w:cs="Times New Roman"/>
          <w:color w:val="auto"/>
          <w:highlight w:val="none"/>
        </w:rPr>
      </w:pPr>
      <w:bookmarkStart w:id="585" w:name="_Toc528847183"/>
      <w:bookmarkStart w:id="586" w:name="_Toc57713709"/>
      <w:bookmarkStart w:id="587" w:name="_Toc9371"/>
      <w:r>
        <w:rPr>
          <w:rFonts w:hint="default" w:ascii="Times New Roman" w:hAnsi="Times New Roman" w:cs="Times New Roman"/>
          <w:color w:val="auto"/>
          <w:highlight w:val="none"/>
        </w:rPr>
        <w:t>7.3.2不利影响</w:t>
      </w:r>
      <w:bookmarkEnd w:id="585"/>
      <w:bookmarkEnd w:id="586"/>
      <w:bookmarkEnd w:id="587"/>
    </w:p>
    <w:p w14:paraId="73D551E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本项目废水均不外排，因此正常情况下对地表水无不利影响。</w:t>
      </w:r>
    </w:p>
    <w:p w14:paraId="13CEF42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项目在运行后，</w:t>
      </w:r>
      <w:r>
        <w:rPr>
          <w:rFonts w:hint="eastAsia" w:eastAsia="宋体" w:cs="Times New Roman"/>
          <w:color w:val="auto"/>
          <w:highlight w:val="none"/>
          <w:lang w:val="en-US" w:eastAsia="zh-CN"/>
        </w:rPr>
        <w:t>堆肥间采取废气收集装置（收集效率95%）经活性炭吸附（去除效率90%）后通过15m高排气筒（DA001）排放。满足</w:t>
      </w:r>
      <w:r>
        <w:rPr>
          <w:rFonts w:hint="default" w:ascii="Times New Roman" w:hAnsi="Times New Roman" w:eastAsia="宋体" w:cs="Times New Roman"/>
          <w:color w:val="auto"/>
          <w:highlight w:val="none"/>
        </w:rPr>
        <w:t>《恶臭污染物排放标准》（GB14553-93）中表2标准值要求</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堆肥间恶臭气体</w:t>
      </w:r>
      <w:r>
        <w:rPr>
          <w:rFonts w:hint="eastAsia" w:ascii="Times New Roman" w:hAnsi="Times New Roman" w:eastAsia="宋体" w:cs="Times New Roman"/>
          <w:color w:val="auto"/>
          <w:highlight w:val="none"/>
          <w:lang w:val="en-US" w:eastAsia="zh-CN"/>
        </w:rPr>
        <w:t>采用</w:t>
      </w:r>
      <w:r>
        <w:rPr>
          <w:rFonts w:hint="default" w:ascii="Times New Roman" w:hAnsi="Times New Roman" w:eastAsia="宋体" w:cs="Times New Roman"/>
          <w:color w:val="auto"/>
          <w:highlight w:val="none"/>
        </w:rPr>
        <w:t>堆肥生物基除臭技术</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使用后的生物发酵床有机垫料运送至堆肥间后采取</w:t>
      </w:r>
      <w:r>
        <w:rPr>
          <w:rFonts w:hint="default" w:ascii="Times New Roman" w:hAnsi="Times New Roman" w:eastAsia="宋体" w:cs="Times New Roman"/>
          <w:color w:val="auto"/>
          <w:highlight w:val="none"/>
        </w:rPr>
        <w:t>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除臭剂、复合生物除臭菌粉</w:t>
      </w:r>
      <w:r>
        <w:rPr>
          <w:rFonts w:hint="eastAsia" w:ascii="Times New Roman" w:hAnsi="Times New Roman" w:eastAsia="宋体" w:cs="Times New Roman"/>
          <w:color w:val="auto"/>
          <w:highlight w:val="none"/>
          <w:lang w:val="en-US" w:eastAsia="zh-CN"/>
        </w:rPr>
        <w:t>以及</w:t>
      </w:r>
      <w:r>
        <w:rPr>
          <w:rFonts w:hint="default" w:ascii="Times New Roman" w:hAnsi="Times New Roman" w:eastAsia="宋体" w:cs="Times New Roman"/>
          <w:color w:val="auto"/>
          <w:highlight w:val="none"/>
        </w:rPr>
        <w:t>绿化措施以降低恶臭污染的影响</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臭气浓度满足《畜禽养殖业污染物排放标准》（GB18596-2001）中表7标准，硫化氢、氨在场界浓度满足《恶臭污染物排放标准》（GB14554-93）表1中二级新扩改建标准。牛舍采用畜禽养殖生物发酵床技术</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及时清粪、保持牛舍清洁、合理调配饲料、饲料中添加EM菌、定期喷洒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除臭剂、绿化措施以降低恶臭污染的影响，臭气浓度满足《畜禽养殖业污染物排放标准》（GB18596-2001）中表7标准，硫化氢、氨在场界浓度满足《恶臭污染物排放标准》（GB14554-93）表1中二级新扩改建标准。</w:t>
      </w:r>
    </w:p>
    <w:p w14:paraId="6FFA64B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本项目发生渗漏情况下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COD：</w:t>
      </w:r>
      <w:r>
        <w:rPr>
          <w:rFonts w:hint="default" w:ascii="Times New Roman" w:hAnsi="Times New Roman" w:eastAsia="宋体" w:cs="Times New Roman"/>
          <w:color w:val="auto"/>
          <w:highlight w:val="none"/>
        </w:rPr>
        <w:t>预测时间100天时，达标距离为地下水下游</w:t>
      </w:r>
      <w:r>
        <w:rPr>
          <w:rFonts w:hint="eastAsia" w:eastAsia="宋体" w:cs="Times New Roman"/>
          <w:color w:val="auto"/>
          <w:highlight w:val="none"/>
          <w:lang w:val="en-US" w:eastAsia="zh-CN"/>
        </w:rPr>
        <w:t>20</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22</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22</w:t>
      </w:r>
      <w:r>
        <w:rPr>
          <w:rFonts w:hint="default" w:ascii="Times New Roman" w:hAnsi="Times New Roman" w:eastAsia="宋体" w:cs="Times New Roman"/>
          <w:color w:val="auto"/>
          <w:highlight w:val="none"/>
        </w:rPr>
        <w:t>m处污染物的浓度值低于检出下限；预测时间1000天时，达标距离为地下水下游</w:t>
      </w:r>
      <w:r>
        <w:rPr>
          <w:rFonts w:hint="eastAsia" w:eastAsia="宋体" w:cs="Times New Roman"/>
          <w:color w:val="auto"/>
          <w:highlight w:val="none"/>
          <w:lang w:val="en-US" w:eastAsia="zh-CN"/>
        </w:rPr>
        <w:t>99</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105</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105</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预测时间</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r>
        <w:rPr>
          <w:rFonts w:hint="default" w:ascii="Times New Roman" w:hAnsi="Times New Roman" w:eastAsia="宋体" w:cs="Times New Roman"/>
          <w:color w:val="auto"/>
          <w:highlight w:val="none"/>
        </w:rPr>
        <w:t>时，达标距离为地下水下游</w:t>
      </w:r>
      <w:r>
        <w:rPr>
          <w:rFonts w:hint="eastAsia" w:eastAsia="宋体" w:cs="Times New Roman"/>
          <w:color w:val="auto"/>
          <w:highlight w:val="none"/>
          <w:lang w:val="en-US" w:eastAsia="zh-CN"/>
        </w:rPr>
        <w:t>281</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293</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293</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val="en-US" w:eastAsia="zh-CN"/>
        </w:rPr>
        <w:t>氨氮：</w:t>
      </w:r>
      <w:r>
        <w:rPr>
          <w:rFonts w:hint="default" w:ascii="Times New Roman" w:hAnsi="Times New Roman" w:eastAsia="宋体" w:cs="Times New Roman"/>
          <w:color w:val="auto"/>
          <w:highlight w:val="none"/>
        </w:rPr>
        <w:t>预测时间100天时，达标距离为地下水下游</w:t>
      </w:r>
      <w:r>
        <w:rPr>
          <w:rFonts w:hint="eastAsia" w:eastAsia="宋体" w:cs="Times New Roman"/>
          <w:color w:val="auto"/>
          <w:highlight w:val="none"/>
          <w:lang w:val="en-US" w:eastAsia="zh-CN"/>
        </w:rPr>
        <w:t>21</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24</w:t>
      </w:r>
      <w:r>
        <w:rPr>
          <w:rFonts w:hint="default" w:ascii="Times New Roman" w:hAnsi="Times New Roman" w:eastAsia="宋体" w:cs="Times New Roman"/>
          <w:color w:val="auto"/>
          <w:highlight w:val="none"/>
        </w:rPr>
        <w:t>m处污染物的浓度值低于检出下限；预测时间1000天时，达标距离为地下水下游</w:t>
      </w:r>
      <w:r>
        <w:rPr>
          <w:rFonts w:hint="eastAsia" w:eastAsia="宋体" w:cs="Times New Roman"/>
          <w:color w:val="auto"/>
          <w:highlight w:val="none"/>
          <w:lang w:val="en-US" w:eastAsia="zh-CN"/>
        </w:rPr>
        <w:t>103</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113</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113</w:t>
      </w:r>
      <w:r>
        <w:rPr>
          <w:rFonts w:hint="default" w:ascii="Times New Roman" w:hAnsi="Times New Roman" w:eastAsia="宋体" w:cs="Times New Roman"/>
          <w:color w:val="auto"/>
          <w:highlight w:val="none"/>
        </w:rPr>
        <w:t>m处污染物的浓度值低于检出下限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预测时间</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0年</w:t>
      </w:r>
      <w:r>
        <w:rPr>
          <w:rFonts w:hint="default" w:ascii="Times New Roman" w:hAnsi="Times New Roman" w:eastAsia="宋体" w:cs="Times New Roman"/>
          <w:color w:val="auto"/>
          <w:highlight w:val="none"/>
        </w:rPr>
        <w:t>时，达标距离为地下水下游</w:t>
      </w:r>
      <w:r>
        <w:rPr>
          <w:rFonts w:hint="eastAsia" w:eastAsia="宋体" w:cs="Times New Roman"/>
          <w:color w:val="auto"/>
          <w:highlight w:val="none"/>
          <w:lang w:val="en-US" w:eastAsia="zh-CN"/>
        </w:rPr>
        <w:t>289</w:t>
      </w:r>
      <w:r>
        <w:rPr>
          <w:rFonts w:hint="default" w:ascii="Times New Roman" w:hAnsi="Times New Roman" w:eastAsia="宋体" w:cs="Times New Roman"/>
          <w:color w:val="auto"/>
          <w:highlight w:val="none"/>
        </w:rPr>
        <w:t>m，影响距离最远为</w:t>
      </w:r>
      <w:r>
        <w:rPr>
          <w:rFonts w:hint="eastAsia" w:eastAsia="宋体" w:cs="Times New Roman"/>
          <w:color w:val="auto"/>
          <w:highlight w:val="none"/>
          <w:lang w:val="en-US" w:eastAsia="zh-CN"/>
        </w:rPr>
        <w:t>309</w:t>
      </w:r>
      <w:r>
        <w:rPr>
          <w:rFonts w:hint="default" w:ascii="Times New Roman" w:hAnsi="Times New Roman" w:eastAsia="宋体" w:cs="Times New Roman"/>
          <w:color w:val="auto"/>
          <w:highlight w:val="none"/>
        </w:rPr>
        <w:t>m，</w:t>
      </w:r>
      <w:r>
        <w:rPr>
          <w:rFonts w:hint="eastAsia" w:eastAsia="宋体" w:cs="Times New Roman"/>
          <w:color w:val="auto"/>
          <w:highlight w:val="none"/>
          <w:lang w:val="en-US" w:eastAsia="zh-CN"/>
        </w:rPr>
        <w:t>309</w:t>
      </w:r>
      <w:r>
        <w:rPr>
          <w:rFonts w:hint="default" w:ascii="Times New Roman" w:hAnsi="Times New Roman" w:eastAsia="宋体" w:cs="Times New Roman"/>
          <w:color w:val="auto"/>
          <w:highlight w:val="none"/>
        </w:rPr>
        <w:t>m处污染物的浓度值低于检出下限。</w:t>
      </w:r>
      <w:r>
        <w:rPr>
          <w:rFonts w:hint="eastAsia" w:eastAsia="宋体" w:cs="Times New Roman"/>
          <w:color w:val="auto"/>
          <w:highlight w:val="none"/>
          <w:lang w:val="en-US" w:eastAsia="zh-CN"/>
        </w:rPr>
        <w:t>本项目地下水流向由西南至东北，渗滤液收集池距离地下水流向下游厂界距离约300米，在污染物泄漏后第3928天，预测COD污染物浓度超标，浓度为</w:t>
      </w:r>
      <w:r>
        <w:rPr>
          <w:rFonts w:hint="eastAsia" w:ascii="Times New Roman" w:hAnsi="Times New Roman" w:eastAsia="宋体" w:cs="Times New Roman"/>
          <w:color w:val="auto"/>
          <w:highlight w:val="none"/>
          <w:lang w:val="en-US" w:eastAsia="zh-CN"/>
        </w:rPr>
        <w:t>2.0</w:t>
      </w:r>
      <w:r>
        <w:rPr>
          <w:rFonts w:hint="eastAsia"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E+01mg/L；</w:t>
      </w:r>
      <w:r>
        <w:rPr>
          <w:rFonts w:hint="eastAsia" w:eastAsia="宋体" w:cs="Times New Roman"/>
          <w:color w:val="auto"/>
          <w:highlight w:val="none"/>
          <w:lang w:val="en-US" w:eastAsia="zh-CN"/>
        </w:rPr>
        <w:t>在污染物泄漏后第3803天，预测氨氮污染物浓度超标，浓度为</w:t>
      </w:r>
      <w:r>
        <w:rPr>
          <w:rFonts w:hint="eastAsia" w:ascii="Times New Roman" w:hAnsi="Times New Roman" w:eastAsia="宋体" w:cs="Times New Roman"/>
          <w:color w:val="auto"/>
          <w:highlight w:val="none"/>
          <w:lang w:val="en-US" w:eastAsia="zh-CN"/>
        </w:rPr>
        <w:t>5.0</w:t>
      </w:r>
      <w:r>
        <w:rPr>
          <w:rFonts w:hint="eastAsia" w:eastAsia="宋体" w:cs="Times New Roman"/>
          <w:color w:val="auto"/>
          <w:highlight w:val="none"/>
          <w:lang w:val="en-US" w:eastAsia="zh-CN"/>
        </w:rPr>
        <w:t>1</w:t>
      </w:r>
      <w:r>
        <w:rPr>
          <w:rFonts w:hint="eastAsia" w:ascii="Times New Roman" w:hAnsi="Times New Roman" w:eastAsia="宋体" w:cs="Times New Roman"/>
          <w:color w:val="auto"/>
          <w:highlight w:val="none"/>
          <w:lang w:val="en-US" w:eastAsia="zh-CN"/>
        </w:rPr>
        <w:t>E-01mg/L。</w:t>
      </w:r>
      <w:r>
        <w:rPr>
          <w:rFonts w:hint="default" w:ascii="Times New Roman" w:hAnsi="Times New Roman" w:eastAsia="宋体" w:cs="Times New Roman"/>
          <w:color w:val="auto"/>
          <w:highlight w:val="none"/>
        </w:rPr>
        <w:t>项目评价区域地下水流向下游</w:t>
      </w:r>
      <w:r>
        <w:rPr>
          <w:rFonts w:hint="eastAsia" w:eastAsia="宋体" w:cs="Times New Roman"/>
          <w:color w:val="auto"/>
          <w:highlight w:val="none"/>
          <w:lang w:val="en-US" w:eastAsia="zh-CN"/>
        </w:rPr>
        <w:t>5km</w:t>
      </w:r>
      <w:r>
        <w:rPr>
          <w:rFonts w:hint="default" w:ascii="Times New Roman" w:hAnsi="Times New Roman" w:eastAsia="宋体" w:cs="Times New Roman"/>
          <w:color w:val="auto"/>
          <w:highlight w:val="none"/>
        </w:rPr>
        <w:t>米范围内无地下水饮用水井，所以非正常工况下，污水渗漏不会对地下水流向下游居民点地下饮用水造成影响。项目建设对区域地下水环境影响较小。</w:t>
      </w:r>
    </w:p>
    <w:p w14:paraId="419FD92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本项目噪声源主要为水泵、风机等，建筑上采取隔声、减振措施，设备安装消声器后，项目运行后满足《工业企业厂界环境噪声排放标准》（GB12348-2008）表1中的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类声环境功能区标准限值，区域声环境功能不下降。</w:t>
      </w:r>
    </w:p>
    <w:p w14:paraId="3421FC1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项目产生的各项固体废物在采取有效措施后，对环境影响较小。</w:t>
      </w:r>
    </w:p>
    <w:p w14:paraId="45EDAEE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在采取各项环保措施后，废气、废水、噪声及固废对周围环境影响较小。</w:t>
      </w:r>
    </w:p>
    <w:p w14:paraId="6B4317C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14:paraId="1E53EB5A">
      <w:pPr>
        <w:pStyle w:val="5"/>
        <w:spacing w:line="500" w:lineRule="exact"/>
        <w:rPr>
          <w:rFonts w:hint="default" w:ascii="Times New Roman" w:hAnsi="Times New Roman" w:cs="Times New Roman"/>
          <w:color w:val="auto"/>
          <w:highlight w:val="none"/>
        </w:rPr>
      </w:pPr>
      <w:bookmarkStart w:id="588" w:name="_Toc528847184"/>
      <w:bookmarkStart w:id="589" w:name="_Toc8518"/>
      <w:bookmarkStart w:id="590" w:name="_Toc57713710"/>
      <w:r>
        <w:rPr>
          <w:rFonts w:hint="default" w:ascii="Times New Roman" w:hAnsi="Times New Roman" w:cs="Times New Roman"/>
          <w:color w:val="auto"/>
          <w:highlight w:val="none"/>
        </w:rPr>
        <w:t>7.3.3环境损失分析</w:t>
      </w:r>
      <w:bookmarkEnd w:id="588"/>
      <w:bookmarkEnd w:id="589"/>
      <w:bookmarkEnd w:id="590"/>
    </w:p>
    <w:p w14:paraId="7BDCE10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本项目的建设会对生态、声环境、大气环境等产生不利影响，用防护费用法估算环境损失，各环境要素损失如下：</w:t>
      </w:r>
    </w:p>
    <w:p w14:paraId="206B652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生态损失：本项目用于生态保护及恢复的投资费用为</w:t>
      </w:r>
      <w:r>
        <w:rPr>
          <w:rFonts w:hint="eastAsia" w:eastAsia="宋体" w:cs="Times New Roman"/>
          <w:color w:val="auto"/>
          <w:highlight w:val="none"/>
          <w:lang w:val="en-US" w:eastAsia="zh-CN"/>
        </w:rPr>
        <w:t>20.0</w:t>
      </w:r>
      <w:r>
        <w:rPr>
          <w:rFonts w:hint="default" w:ascii="Times New Roman" w:hAnsi="Times New Roman" w:eastAsia="宋体" w:cs="Times New Roman"/>
          <w:color w:val="auto"/>
          <w:highlight w:val="none"/>
        </w:rPr>
        <w:t>万元；</w:t>
      </w:r>
    </w:p>
    <w:p w14:paraId="57730DB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水环境保护：本项目施工期及营运期废水处理费用为</w:t>
      </w:r>
      <w:r>
        <w:rPr>
          <w:rFonts w:hint="eastAsia" w:eastAsia="宋体" w:cs="Times New Roman"/>
          <w:color w:val="auto"/>
          <w:highlight w:val="none"/>
          <w:lang w:val="en-US" w:eastAsia="zh-CN"/>
        </w:rPr>
        <w:t>95.5</w:t>
      </w:r>
      <w:r>
        <w:rPr>
          <w:rFonts w:hint="default" w:ascii="Times New Roman" w:hAnsi="Times New Roman" w:eastAsia="宋体" w:cs="Times New Roman"/>
          <w:color w:val="auto"/>
          <w:highlight w:val="none"/>
        </w:rPr>
        <w:t>万元，包括施工期废水沉淀池、</w:t>
      </w:r>
      <w:r>
        <w:rPr>
          <w:rFonts w:hint="default" w:ascii="Times New Roman" w:hAnsi="Times New Roman" w:eastAsia="宋体" w:cs="Times New Roman"/>
          <w:color w:val="auto"/>
          <w:highlight w:val="none"/>
          <w:lang w:val="en-US" w:eastAsia="zh-CN"/>
        </w:rPr>
        <w:t>防渗旱厕</w:t>
      </w:r>
      <w:r>
        <w:rPr>
          <w:rFonts w:hint="default" w:ascii="Times New Roman" w:hAnsi="Times New Roman" w:eastAsia="宋体" w:cs="Times New Roman"/>
          <w:color w:val="auto"/>
          <w:highlight w:val="none"/>
        </w:rPr>
        <w:t>，营运期</w:t>
      </w:r>
      <w:r>
        <w:rPr>
          <w:rFonts w:hint="eastAsia" w:eastAsia="宋体" w:cs="Times New Roman"/>
          <w:color w:val="auto"/>
          <w:highlight w:val="none"/>
          <w:lang w:val="en-US" w:eastAsia="zh-CN"/>
        </w:rPr>
        <w:t>化粪池、渗滤液收集池</w:t>
      </w:r>
      <w:r>
        <w:rPr>
          <w:rFonts w:hint="default" w:ascii="Times New Roman" w:hAnsi="Times New Roman" w:eastAsia="宋体" w:cs="Times New Roman"/>
          <w:color w:val="auto"/>
          <w:highlight w:val="none"/>
        </w:rPr>
        <w:t>建设及地下水防渗等工程；</w:t>
      </w:r>
    </w:p>
    <w:p w14:paraId="1BA1C796">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固废处理处置：本项目用于固废处理处置费用为</w:t>
      </w:r>
      <w:r>
        <w:rPr>
          <w:rFonts w:hint="eastAsia" w:eastAsia="宋体" w:cs="Times New Roman"/>
          <w:color w:val="auto"/>
          <w:szCs w:val="24"/>
          <w:highlight w:val="none"/>
          <w:lang w:val="en-US" w:eastAsia="zh-CN"/>
        </w:rPr>
        <w:t>23.5</w:t>
      </w:r>
      <w:r>
        <w:rPr>
          <w:rFonts w:hint="default" w:ascii="Times New Roman" w:hAnsi="Times New Roman" w:eastAsia="宋体" w:cs="Times New Roman"/>
          <w:color w:val="auto"/>
          <w:szCs w:val="24"/>
          <w:highlight w:val="none"/>
        </w:rPr>
        <w:t>万，包括生活垃圾箱、</w:t>
      </w:r>
      <w:r>
        <w:rPr>
          <w:rFonts w:hint="default" w:ascii="Times New Roman" w:hAnsi="Times New Roman" w:eastAsia="宋体" w:cs="Times New Roman"/>
          <w:color w:val="auto"/>
          <w:szCs w:val="24"/>
          <w:highlight w:val="none"/>
          <w:lang w:val="zh-CN"/>
        </w:rPr>
        <w:t>医疗废物储存及清运设备</w:t>
      </w:r>
      <w:r>
        <w:rPr>
          <w:rFonts w:hint="default" w:ascii="Times New Roman" w:hAnsi="Times New Roman" w:eastAsia="宋体" w:cs="Times New Roman"/>
          <w:color w:val="auto"/>
          <w:szCs w:val="24"/>
          <w:highlight w:val="none"/>
        </w:rPr>
        <w:t>等；</w:t>
      </w:r>
    </w:p>
    <w:p w14:paraId="41906F9A">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废气处置：本项目用于废气治理费用为</w:t>
      </w:r>
      <w:r>
        <w:rPr>
          <w:rFonts w:hint="eastAsia" w:eastAsia="宋体" w:cs="Times New Roman"/>
          <w:color w:val="auto"/>
          <w:szCs w:val="24"/>
          <w:highlight w:val="none"/>
          <w:lang w:val="en-US" w:eastAsia="zh-CN"/>
        </w:rPr>
        <w:t>57.5</w:t>
      </w:r>
      <w:r>
        <w:rPr>
          <w:rFonts w:hint="default" w:ascii="Times New Roman" w:hAnsi="Times New Roman" w:eastAsia="宋体" w:cs="Times New Roman"/>
          <w:color w:val="auto"/>
          <w:szCs w:val="24"/>
          <w:highlight w:val="none"/>
        </w:rPr>
        <w:t>万元，包括施工期废气防治措施、牛舍通风换气系统、</w:t>
      </w:r>
      <w:r>
        <w:rPr>
          <w:rFonts w:hint="default" w:ascii="Times New Roman" w:hAnsi="Times New Roman" w:eastAsia="宋体" w:cs="Times New Roman"/>
          <w:color w:val="auto"/>
          <w:szCs w:val="24"/>
          <w:highlight w:val="none"/>
          <w:lang w:val="en-US" w:eastAsia="zh-CN"/>
        </w:rPr>
        <w:t>植物</w:t>
      </w:r>
      <w:r>
        <w:rPr>
          <w:rFonts w:hint="default" w:ascii="Times New Roman" w:hAnsi="Times New Roman" w:eastAsia="宋体" w:cs="Times New Roman"/>
          <w:color w:val="auto"/>
          <w:szCs w:val="24"/>
          <w:highlight w:val="none"/>
          <w:lang w:val="zh-CN"/>
        </w:rPr>
        <w:t>除臭剂喷淋</w:t>
      </w:r>
      <w:r>
        <w:rPr>
          <w:rFonts w:hint="default" w:ascii="Times New Roman" w:hAnsi="Times New Roman" w:eastAsia="宋体" w:cs="Times New Roman"/>
          <w:color w:val="auto"/>
          <w:szCs w:val="24"/>
          <w:highlight w:val="none"/>
        </w:rPr>
        <w:t>、日粮中添加EM菌等；</w:t>
      </w:r>
    </w:p>
    <w:p w14:paraId="1BB9718D">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噪声治理：噪声设备的消声、减振措施费用</w:t>
      </w:r>
      <w:r>
        <w:rPr>
          <w:rFonts w:hint="eastAsia" w:eastAsia="宋体" w:cs="Times New Roman"/>
          <w:color w:val="auto"/>
          <w:szCs w:val="24"/>
          <w:highlight w:val="none"/>
          <w:lang w:val="en-US" w:eastAsia="zh-CN"/>
        </w:rPr>
        <w:t>20</w:t>
      </w:r>
      <w:r>
        <w:rPr>
          <w:rFonts w:hint="default" w:ascii="Times New Roman" w:hAnsi="Times New Roman" w:eastAsia="宋体" w:cs="Times New Roman"/>
          <w:color w:val="auto"/>
          <w:szCs w:val="24"/>
          <w:highlight w:val="none"/>
        </w:rPr>
        <w:t>万。</w:t>
      </w:r>
    </w:p>
    <w:p w14:paraId="02E13C97">
      <w:pPr>
        <w:pStyle w:val="67"/>
        <w:ind w:firstLine="480"/>
        <w:rPr>
          <w:rFonts w:hint="default" w:ascii="Times New Roman" w:hAnsi="Times New Roman" w:eastAsia="宋体" w:cs="Times New Roman"/>
          <w:color w:val="auto"/>
          <w:szCs w:val="24"/>
          <w:highlight w:val="none"/>
          <w:lang w:val="zh-CN"/>
        </w:rPr>
      </w:pPr>
      <w:r>
        <w:rPr>
          <w:rFonts w:hint="default" w:ascii="Times New Roman" w:hAnsi="Times New Roman" w:eastAsia="宋体" w:cs="Times New Roman"/>
          <w:color w:val="auto"/>
          <w:szCs w:val="24"/>
          <w:highlight w:val="none"/>
        </w:rPr>
        <w:t>其他费用：</w:t>
      </w:r>
      <w:r>
        <w:rPr>
          <w:rFonts w:hint="default" w:ascii="Times New Roman" w:hAnsi="Times New Roman" w:eastAsia="宋体" w:cs="Times New Roman"/>
          <w:color w:val="auto"/>
          <w:szCs w:val="24"/>
          <w:highlight w:val="none"/>
          <w:lang w:val="zh-CN"/>
        </w:rPr>
        <w:t>环保设施运行维护维修、环境监测管理、绿化费用</w:t>
      </w:r>
      <w:r>
        <w:rPr>
          <w:rFonts w:hint="eastAsia" w:eastAsia="宋体" w:cs="Times New Roman"/>
          <w:color w:val="auto"/>
          <w:szCs w:val="24"/>
          <w:highlight w:val="none"/>
          <w:lang w:val="en-US" w:eastAsia="zh-CN"/>
        </w:rPr>
        <w:t>60</w:t>
      </w:r>
      <w:r>
        <w:rPr>
          <w:rFonts w:hint="default" w:ascii="Times New Roman" w:hAnsi="Times New Roman" w:eastAsia="宋体" w:cs="Times New Roman"/>
          <w:color w:val="auto"/>
          <w:szCs w:val="24"/>
          <w:highlight w:val="none"/>
          <w:lang w:val="zh-CN"/>
        </w:rPr>
        <w:t>万。</w:t>
      </w:r>
    </w:p>
    <w:p w14:paraId="32680DA6">
      <w:pPr>
        <w:pStyle w:val="5"/>
        <w:spacing w:line="500" w:lineRule="exact"/>
        <w:rPr>
          <w:rFonts w:hint="default" w:ascii="Times New Roman" w:hAnsi="Times New Roman" w:cs="Times New Roman"/>
          <w:color w:val="auto"/>
          <w:highlight w:val="none"/>
        </w:rPr>
      </w:pPr>
      <w:bookmarkStart w:id="591" w:name="_Toc57713711"/>
      <w:bookmarkStart w:id="592" w:name="_Toc623"/>
      <w:bookmarkStart w:id="593" w:name="_Toc528847185"/>
      <w:r>
        <w:rPr>
          <w:rFonts w:hint="default" w:ascii="Times New Roman" w:hAnsi="Times New Roman" w:cs="Times New Roman"/>
          <w:color w:val="auto"/>
          <w:highlight w:val="none"/>
        </w:rPr>
        <w:t>7.3.4环境效益分析</w:t>
      </w:r>
      <w:bookmarkEnd w:id="591"/>
      <w:bookmarkEnd w:id="592"/>
      <w:bookmarkEnd w:id="593"/>
    </w:p>
    <w:p w14:paraId="21A1D46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本项目工程环境保护投资约为</w:t>
      </w:r>
      <w:r>
        <w:rPr>
          <w:rFonts w:hint="eastAsia" w:eastAsia="宋体" w:cs="Times New Roman"/>
          <w:color w:val="auto"/>
          <w:highlight w:val="none"/>
          <w:lang w:val="en-US" w:eastAsia="zh-CN"/>
        </w:rPr>
        <w:t>276.5</w:t>
      </w:r>
      <w:r>
        <w:rPr>
          <w:rFonts w:hint="default" w:ascii="Times New Roman" w:hAnsi="Times New Roman" w:eastAsia="宋体" w:cs="Times New Roman"/>
          <w:color w:val="auto"/>
          <w:highlight w:val="none"/>
        </w:rPr>
        <w:t>万元，通过采取可行的环境保护措施，项目建设的环境影响可以接受，环保投资比较明显。</w:t>
      </w:r>
    </w:p>
    <w:p w14:paraId="073D9B7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由环境影响导致的经济损失较拟建项目带来的环境效益和经济效益要小的多，工程的建设将产生广泛的经济效益，实现粪污的零排放，拉动地区经济增长和社会发展，同时在环境保护方面也是可以接受的。</w:t>
      </w:r>
    </w:p>
    <w:p w14:paraId="7D94C543">
      <w:pPr>
        <w:pStyle w:val="4"/>
        <w:rPr>
          <w:rFonts w:hint="default" w:ascii="Times New Roman" w:hAnsi="Times New Roman" w:cs="Times New Roman"/>
          <w:color w:val="auto"/>
          <w:highlight w:val="none"/>
        </w:rPr>
      </w:pPr>
      <w:bookmarkStart w:id="594" w:name="_Toc57713712"/>
      <w:bookmarkStart w:id="595" w:name="_Toc528847186"/>
      <w:bookmarkStart w:id="596" w:name="_Toc29097"/>
      <w:r>
        <w:rPr>
          <w:rFonts w:hint="default" w:ascii="Times New Roman" w:hAnsi="Times New Roman" w:cs="Times New Roman"/>
          <w:color w:val="auto"/>
          <w:highlight w:val="none"/>
        </w:rPr>
        <w:t>7.</w:t>
      </w:r>
      <w:bookmarkStart w:id="597" w:name="_Toc477210741"/>
      <w:r>
        <w:rPr>
          <w:rFonts w:hint="default" w:ascii="Times New Roman" w:hAnsi="Times New Roman" w:cs="Times New Roman"/>
          <w:color w:val="auto"/>
          <w:highlight w:val="none"/>
        </w:rPr>
        <w:t>4环境经济损益简要分析</w:t>
      </w:r>
      <w:bookmarkEnd w:id="578"/>
      <w:bookmarkEnd w:id="594"/>
      <w:bookmarkEnd w:id="595"/>
      <w:bookmarkEnd w:id="596"/>
      <w:bookmarkEnd w:id="597"/>
    </w:p>
    <w:p w14:paraId="455991F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参照《中华人民共和国环境保护税法》，本次评价对本项目环境影响经济损益进行简要分析。</w:t>
      </w:r>
    </w:p>
    <w:p w14:paraId="417845A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企业事业单位和其他生产经营者向依法设立的城镇污水处理厂、城镇生活垃圾处理场排放应税污染物的，不征收环境保护税。</w:t>
      </w:r>
    </w:p>
    <w:p w14:paraId="28FD4A8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bookmarkStart w:id="598" w:name="_Hlk522452722"/>
      <w:r>
        <w:rPr>
          <w:rFonts w:hint="eastAsia" w:eastAsia="宋体" w:cs="Times New Roman"/>
          <w:color w:val="auto"/>
          <w:highlight w:val="none"/>
          <w:lang w:val="en-US" w:eastAsia="zh-CN"/>
        </w:rPr>
        <w:t>废水均得到有效处置，不外排</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highlight w:val="none"/>
        </w:rPr>
        <w:t>场</w:t>
      </w:r>
      <w:bookmarkEnd w:id="598"/>
      <w:r>
        <w:rPr>
          <w:rFonts w:hint="default" w:ascii="Times New Roman" w:hAnsi="Times New Roman" w:eastAsia="宋体" w:cs="Times New Roman"/>
          <w:color w:val="auto"/>
          <w:highlight w:val="none"/>
        </w:rPr>
        <w:t>界噪声不超标，固体废物除外售及回收利用外，其余废弃物交由市政环卫部门统一清运，均无需缴纳相应的环境保护税。</w:t>
      </w:r>
    </w:p>
    <w:p w14:paraId="720D68E2">
      <w:pPr>
        <w:pStyle w:val="67"/>
        <w:ind w:firstLine="480"/>
        <w:rPr>
          <w:rFonts w:hint="default" w:ascii="Times New Roman" w:hAnsi="Times New Roman" w:eastAsia="宋体" w:cs="Times New Roman"/>
          <w:color w:val="auto"/>
          <w:highlight w:val="none"/>
        </w:rPr>
      </w:pPr>
      <w:bookmarkStart w:id="599" w:name="_Toc480447681"/>
      <w:bookmarkStart w:id="600" w:name="_Toc528847187"/>
      <w:bookmarkStart w:id="601" w:name="_Toc523489938"/>
      <w:r>
        <w:rPr>
          <w:rFonts w:hint="default" w:ascii="Times New Roman" w:hAnsi="Times New Roman" w:eastAsia="宋体" w:cs="Times New Roman"/>
          <w:color w:val="auto"/>
          <w:highlight w:val="none"/>
        </w:rPr>
        <w:t>本项目大气污染物包括硫化氢、氨，每一排放口或者没有排放口的应税大气污染物，按照污染当量数从大到小排序，对前三项污染物征收环境保护税。大气污染物每污染当量税额为1.2元~12元，本项目需缴纳的环境保护税见下表。</w:t>
      </w:r>
    </w:p>
    <w:p w14:paraId="34D77CE2">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r>
        <w:rPr>
          <w:rFonts w:hint="default" w:ascii="Times New Roman" w:hAnsi="Times New Roman" w:eastAsia="黑体" w:cs="Times New Roman"/>
          <w:snapToGrid w:val="0"/>
          <w:color w:val="auto"/>
          <w:kern w:val="0"/>
          <w:highlight w:val="none"/>
          <w:lang w:val="zh-CN"/>
        </w:rPr>
        <w:t>表7-4-1环境保护税情况一览表</w:t>
      </w:r>
    </w:p>
    <w:tbl>
      <w:tblPr>
        <w:tblStyle w:val="4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6"/>
        <w:gridCol w:w="1398"/>
        <w:gridCol w:w="1644"/>
        <w:gridCol w:w="1948"/>
        <w:gridCol w:w="1793"/>
      </w:tblGrid>
      <w:tr w14:paraId="3BECD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759" w:type="pct"/>
            <w:gridSpan w:val="2"/>
            <w:vAlign w:val="center"/>
          </w:tcPr>
          <w:p w14:paraId="50B0F8A9">
            <w:pPr>
              <w:pStyle w:val="146"/>
              <w:rPr>
                <w:rFonts w:hint="default" w:ascii="Times New Roman" w:hAnsi="Times New Roman" w:eastAsia="宋体" w:cs="Times New Roman"/>
                <w:snapToGrid w:val="0"/>
                <w:color w:val="auto"/>
                <w:highlight w:val="none"/>
              </w:rPr>
            </w:pPr>
            <w:bookmarkStart w:id="602" w:name="RANGE!C96"/>
            <w:r>
              <w:rPr>
                <w:rFonts w:hint="default" w:ascii="Times New Roman" w:hAnsi="Times New Roman" w:eastAsia="宋体" w:cs="Times New Roman"/>
                <w:snapToGrid w:val="0"/>
                <w:color w:val="auto"/>
                <w:highlight w:val="none"/>
              </w:rPr>
              <w:t>类别</w:t>
            </w:r>
            <w:bookmarkEnd w:id="602"/>
          </w:p>
        </w:tc>
        <w:tc>
          <w:tcPr>
            <w:tcW w:w="989" w:type="pct"/>
            <w:vAlign w:val="center"/>
          </w:tcPr>
          <w:p w14:paraId="45B2F2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w:t>
            </w:r>
          </w:p>
        </w:tc>
        <w:tc>
          <w:tcPr>
            <w:tcW w:w="1172" w:type="pct"/>
            <w:vAlign w:val="center"/>
          </w:tcPr>
          <w:p w14:paraId="3498EBF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w:t>
            </w:r>
          </w:p>
        </w:tc>
        <w:tc>
          <w:tcPr>
            <w:tcW w:w="1078" w:type="pct"/>
            <w:vAlign w:val="center"/>
          </w:tcPr>
          <w:p w14:paraId="18EEE7C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合计</w:t>
            </w:r>
          </w:p>
        </w:tc>
      </w:tr>
      <w:tr w14:paraId="3E952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59" w:type="pct"/>
            <w:gridSpan w:val="2"/>
            <w:vAlign w:val="center"/>
          </w:tcPr>
          <w:p w14:paraId="634DB87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污染物排放量（kg/a）</w:t>
            </w:r>
          </w:p>
        </w:tc>
        <w:tc>
          <w:tcPr>
            <w:tcW w:w="1644" w:type="dxa"/>
            <w:vAlign w:val="center"/>
          </w:tcPr>
          <w:p w14:paraId="546ED3B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1151</w:t>
            </w:r>
          </w:p>
        </w:tc>
        <w:tc>
          <w:tcPr>
            <w:tcW w:w="1948" w:type="dxa"/>
            <w:vAlign w:val="center"/>
          </w:tcPr>
          <w:p w14:paraId="0B40A725">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55.9</w:t>
            </w:r>
          </w:p>
        </w:tc>
        <w:tc>
          <w:tcPr>
            <w:tcW w:w="1793" w:type="dxa"/>
            <w:vAlign w:val="center"/>
          </w:tcPr>
          <w:p w14:paraId="1A458B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w:t>
            </w:r>
          </w:p>
        </w:tc>
      </w:tr>
      <w:tr w14:paraId="5FA25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59" w:type="pct"/>
            <w:gridSpan w:val="2"/>
            <w:vAlign w:val="center"/>
          </w:tcPr>
          <w:p w14:paraId="563DCE6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污染当量值（kg）</w:t>
            </w:r>
          </w:p>
        </w:tc>
        <w:tc>
          <w:tcPr>
            <w:tcW w:w="1644" w:type="dxa"/>
            <w:vAlign w:val="center"/>
          </w:tcPr>
          <w:p w14:paraId="3ACEB151">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9.09</w:t>
            </w:r>
          </w:p>
        </w:tc>
        <w:tc>
          <w:tcPr>
            <w:tcW w:w="1948" w:type="dxa"/>
            <w:vAlign w:val="center"/>
          </w:tcPr>
          <w:p w14:paraId="4B8DC22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0.29</w:t>
            </w:r>
          </w:p>
        </w:tc>
        <w:tc>
          <w:tcPr>
            <w:tcW w:w="1793" w:type="dxa"/>
            <w:vAlign w:val="center"/>
          </w:tcPr>
          <w:p w14:paraId="2379CA0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w:t>
            </w:r>
          </w:p>
        </w:tc>
      </w:tr>
      <w:tr w14:paraId="3A148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1759" w:type="pct"/>
            <w:gridSpan w:val="2"/>
            <w:vAlign w:val="center"/>
          </w:tcPr>
          <w:p w14:paraId="0C02833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污染当量数</w:t>
            </w:r>
          </w:p>
        </w:tc>
        <w:tc>
          <w:tcPr>
            <w:tcW w:w="1644" w:type="dxa"/>
            <w:vAlign w:val="center"/>
          </w:tcPr>
          <w:p w14:paraId="419AD41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10462.59</w:t>
            </w:r>
          </w:p>
        </w:tc>
        <w:tc>
          <w:tcPr>
            <w:tcW w:w="1948" w:type="dxa"/>
            <w:vAlign w:val="center"/>
          </w:tcPr>
          <w:p w14:paraId="06D4258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16.211</w:t>
            </w:r>
          </w:p>
        </w:tc>
        <w:tc>
          <w:tcPr>
            <w:tcW w:w="1793" w:type="dxa"/>
            <w:vAlign w:val="center"/>
          </w:tcPr>
          <w:p w14:paraId="6F579CD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w:t>
            </w:r>
          </w:p>
        </w:tc>
      </w:tr>
      <w:tr w14:paraId="20479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8" w:type="pct"/>
            <w:vMerge w:val="restart"/>
            <w:vAlign w:val="center"/>
          </w:tcPr>
          <w:p w14:paraId="4732AD9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税额（元）</w:t>
            </w:r>
          </w:p>
        </w:tc>
        <w:tc>
          <w:tcPr>
            <w:tcW w:w="841" w:type="pct"/>
            <w:vAlign w:val="center"/>
          </w:tcPr>
          <w:p w14:paraId="1E34233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1.2元计</w:t>
            </w:r>
          </w:p>
        </w:tc>
        <w:tc>
          <w:tcPr>
            <w:tcW w:w="1644" w:type="dxa"/>
            <w:vAlign w:val="center"/>
          </w:tcPr>
          <w:p w14:paraId="21CBDBD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12555.108</w:t>
            </w:r>
          </w:p>
        </w:tc>
        <w:tc>
          <w:tcPr>
            <w:tcW w:w="1948" w:type="dxa"/>
            <w:vAlign w:val="center"/>
          </w:tcPr>
          <w:p w14:paraId="2E7C6BB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19.4532</w:t>
            </w:r>
          </w:p>
        </w:tc>
        <w:tc>
          <w:tcPr>
            <w:tcW w:w="1793" w:type="dxa"/>
            <w:vAlign w:val="center"/>
          </w:tcPr>
          <w:p w14:paraId="1ED9FF9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12574.</w:t>
            </w:r>
            <w:r>
              <w:rPr>
                <w:rFonts w:hint="eastAsia" w:ascii="Times New Roman" w:hAnsi="Times New Roman" w:eastAsia="宋体" w:cs="Times New Roman"/>
                <w:snapToGrid w:val="0"/>
                <w:color w:val="auto"/>
                <w:highlight w:val="none"/>
                <w:lang w:val="en-US" w:eastAsia="zh-CN"/>
              </w:rPr>
              <w:t>6</w:t>
            </w:r>
          </w:p>
        </w:tc>
      </w:tr>
      <w:tr w14:paraId="4FDE9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18" w:type="pct"/>
            <w:vMerge w:val="continue"/>
            <w:vAlign w:val="center"/>
          </w:tcPr>
          <w:p w14:paraId="28C985EF">
            <w:pPr>
              <w:pStyle w:val="146"/>
              <w:rPr>
                <w:rFonts w:hint="default" w:ascii="Times New Roman" w:hAnsi="Times New Roman" w:eastAsia="宋体" w:cs="Times New Roman"/>
                <w:snapToGrid w:val="0"/>
                <w:color w:val="auto"/>
                <w:highlight w:val="none"/>
              </w:rPr>
            </w:pPr>
          </w:p>
        </w:tc>
        <w:tc>
          <w:tcPr>
            <w:tcW w:w="841" w:type="pct"/>
            <w:vAlign w:val="center"/>
          </w:tcPr>
          <w:p w14:paraId="3CE8801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12元计</w:t>
            </w:r>
          </w:p>
        </w:tc>
        <w:tc>
          <w:tcPr>
            <w:tcW w:w="1644" w:type="dxa"/>
            <w:vAlign w:val="center"/>
          </w:tcPr>
          <w:p w14:paraId="050748C3">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125551.08</w:t>
            </w:r>
          </w:p>
        </w:tc>
        <w:tc>
          <w:tcPr>
            <w:tcW w:w="1948" w:type="dxa"/>
            <w:vAlign w:val="center"/>
          </w:tcPr>
          <w:p w14:paraId="1ABF775C">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194.532</w:t>
            </w:r>
          </w:p>
        </w:tc>
        <w:tc>
          <w:tcPr>
            <w:tcW w:w="1793" w:type="dxa"/>
            <w:vAlign w:val="center"/>
          </w:tcPr>
          <w:p w14:paraId="76195B45">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125745.6</w:t>
            </w:r>
          </w:p>
        </w:tc>
      </w:tr>
    </w:tbl>
    <w:p w14:paraId="6D7F12EC">
      <w:pPr>
        <w:pStyle w:val="67"/>
        <w:ind w:firstLine="480"/>
        <w:rPr>
          <w:rFonts w:hint="default" w:ascii="Times New Roman" w:hAnsi="Times New Roman" w:cs="Times New Roman"/>
          <w:color w:val="auto"/>
          <w:szCs w:val="24"/>
          <w:highlight w:val="none"/>
        </w:rPr>
      </w:pPr>
      <w:r>
        <w:rPr>
          <w:rFonts w:hint="default" w:ascii="Times New Roman" w:hAnsi="Times New Roman" w:eastAsia="宋体" w:cs="Times New Roman"/>
          <w:color w:val="auto"/>
          <w:szCs w:val="24"/>
          <w:highlight w:val="none"/>
        </w:rPr>
        <w:t>由表7-4-1可知，本项目需缴纳的环境保护税最低为</w:t>
      </w:r>
      <w:r>
        <w:rPr>
          <w:rFonts w:hint="eastAsia" w:eastAsia="宋体" w:cs="Times New Roman"/>
          <w:color w:val="auto"/>
          <w:szCs w:val="24"/>
          <w:highlight w:val="none"/>
          <w:lang w:val="en-US" w:eastAsia="zh-CN"/>
        </w:rPr>
        <w:t>12574.6</w:t>
      </w:r>
      <w:r>
        <w:rPr>
          <w:rFonts w:hint="default" w:ascii="Times New Roman" w:hAnsi="Times New Roman" w:eastAsia="宋体" w:cs="Times New Roman"/>
          <w:color w:val="auto"/>
          <w:szCs w:val="24"/>
          <w:highlight w:val="none"/>
        </w:rPr>
        <w:t>元，最高为</w:t>
      </w:r>
      <w:r>
        <w:rPr>
          <w:rFonts w:hint="eastAsia" w:eastAsia="宋体" w:cs="Times New Roman"/>
          <w:color w:val="auto"/>
          <w:szCs w:val="24"/>
          <w:highlight w:val="none"/>
          <w:lang w:val="en-US" w:eastAsia="zh-CN"/>
        </w:rPr>
        <w:t>125745.6</w:t>
      </w:r>
      <w:r>
        <w:rPr>
          <w:rFonts w:hint="default" w:ascii="Times New Roman" w:hAnsi="Times New Roman" w:eastAsia="宋体" w:cs="Times New Roman"/>
          <w:color w:val="auto"/>
          <w:szCs w:val="24"/>
          <w:highlight w:val="none"/>
        </w:rPr>
        <w:t>元。</w:t>
      </w:r>
    </w:p>
    <w:p w14:paraId="57F94154">
      <w:pPr>
        <w:pStyle w:val="4"/>
        <w:rPr>
          <w:rFonts w:hint="default" w:ascii="Times New Roman" w:hAnsi="Times New Roman" w:cs="Times New Roman"/>
          <w:color w:val="auto"/>
          <w:highlight w:val="none"/>
        </w:rPr>
      </w:pPr>
      <w:bookmarkStart w:id="603" w:name="_Toc57713713"/>
      <w:bookmarkStart w:id="604" w:name="_Toc25414"/>
      <w:r>
        <w:rPr>
          <w:rFonts w:hint="default" w:ascii="Times New Roman" w:hAnsi="Times New Roman" w:cs="Times New Roman"/>
          <w:color w:val="auto"/>
          <w:highlight w:val="none"/>
        </w:rPr>
        <w:t>7.5结论</w:t>
      </w:r>
      <w:bookmarkEnd w:id="599"/>
      <w:bookmarkEnd w:id="600"/>
      <w:bookmarkEnd w:id="601"/>
      <w:bookmarkEnd w:id="603"/>
      <w:bookmarkEnd w:id="604"/>
    </w:p>
    <w:p w14:paraId="7AF7FEA7">
      <w:pPr>
        <w:pStyle w:val="67"/>
        <w:ind w:firstLine="480"/>
        <w:rPr>
          <w:rStyle w:val="85"/>
          <w:rFonts w:hint="default" w:ascii="Times New Roman" w:hAnsi="Times New Roman" w:cs="Times New Roman"/>
          <w:color w:val="auto"/>
          <w:highlight w:val="none"/>
        </w:rPr>
      </w:pPr>
      <w:r>
        <w:rPr>
          <w:rStyle w:val="85"/>
          <w:rFonts w:hint="default" w:ascii="Times New Roman" w:hAnsi="Times New Roman" w:eastAsia="宋体" w:cs="Times New Roman"/>
          <w:color w:val="auto"/>
          <w:highlight w:val="none"/>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bookmarkEnd w:id="567"/>
    <w:bookmarkEnd w:id="568"/>
    <w:bookmarkEnd w:id="569"/>
    <w:p w14:paraId="1ED8790F">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2FC1EC20">
      <w:pPr>
        <w:pStyle w:val="3"/>
        <w:spacing w:line="500" w:lineRule="exact"/>
        <w:rPr>
          <w:rFonts w:hint="default" w:ascii="Times New Roman" w:hAnsi="Times New Roman" w:cs="Times New Roman"/>
          <w:color w:val="auto"/>
          <w:highlight w:val="none"/>
        </w:rPr>
      </w:pPr>
      <w:bookmarkStart w:id="605" w:name="_Toc457030103"/>
      <w:bookmarkStart w:id="606" w:name="_Toc477368701"/>
      <w:bookmarkStart w:id="607" w:name="_Toc10817"/>
      <w:bookmarkStart w:id="608" w:name="_Toc57713714"/>
      <w:r>
        <w:rPr>
          <w:rFonts w:hint="default" w:ascii="Times New Roman" w:hAnsi="Times New Roman" w:cs="Times New Roman"/>
          <w:color w:val="auto"/>
          <w:highlight w:val="none"/>
        </w:rPr>
        <w:t>8环境管理与监测计划</w:t>
      </w:r>
      <w:bookmarkEnd w:id="605"/>
      <w:bookmarkEnd w:id="606"/>
      <w:bookmarkEnd w:id="607"/>
      <w:bookmarkEnd w:id="608"/>
    </w:p>
    <w:p w14:paraId="29DADF51">
      <w:pPr>
        <w:pStyle w:val="4"/>
        <w:rPr>
          <w:rFonts w:hint="default" w:ascii="Times New Roman" w:hAnsi="Times New Roman" w:cs="Times New Roman"/>
          <w:color w:val="auto"/>
          <w:highlight w:val="none"/>
        </w:rPr>
      </w:pPr>
      <w:bookmarkStart w:id="609" w:name="_Toc342462533"/>
      <w:bookmarkStart w:id="610" w:name="_Toc13520"/>
      <w:bookmarkStart w:id="611" w:name="_Toc57713715"/>
      <w:bookmarkStart w:id="612" w:name="_Toc477368702"/>
      <w:bookmarkStart w:id="613" w:name="_Toc457030104"/>
      <w:r>
        <w:rPr>
          <w:rFonts w:hint="default" w:ascii="Times New Roman" w:hAnsi="Times New Roman" w:cs="Times New Roman"/>
          <w:color w:val="auto"/>
          <w:highlight w:val="none"/>
        </w:rPr>
        <w:t>8.1环境管理</w:t>
      </w:r>
      <w:bookmarkEnd w:id="609"/>
      <w:bookmarkEnd w:id="610"/>
      <w:bookmarkEnd w:id="611"/>
      <w:bookmarkEnd w:id="612"/>
      <w:bookmarkEnd w:id="613"/>
    </w:p>
    <w:p w14:paraId="06A0843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环境管理是以环境科学理论为基础，运用经济、法律、技术、行政、教育等手段对经济、社会发展过程中施加给环境的污染和破坏影响进行调节控制，实现经济、社会和环境效益的和谐统一。</w:t>
      </w:r>
    </w:p>
    <w:p w14:paraId="40E573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为全面贯彻和落实国家及地方环保法律、法规，加强企业内部污染物排放监督控制，本项目将环境保护纳入企业管理和生产计划之中，企业内部必须建立相应的环境管理机构及监控计划。</w:t>
      </w:r>
    </w:p>
    <w:p w14:paraId="3D38BEE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1、管理机构</w:t>
      </w:r>
    </w:p>
    <w:p w14:paraId="1BAD956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14:paraId="7535D5A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根据本项目的污染特点，建设单位应有一名副经理负责环保工作，设立环境保护管理机构，配备专职环保管理人员两人。</w:t>
      </w:r>
    </w:p>
    <w:p w14:paraId="4557FC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2、企业环境管理机构的基本职能与职责</w:t>
      </w:r>
    </w:p>
    <w:p w14:paraId="3B77779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（1）基本职能</w:t>
      </w:r>
    </w:p>
    <w:p w14:paraId="3EA263C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企业环境管理机构是企业管理工作的职能部门，其基本职能有以下三方面：</w:t>
      </w:r>
    </w:p>
    <w:p w14:paraId="0AF3890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①组织编制环境计划（包括规划）；</w:t>
      </w:r>
    </w:p>
    <w:p w14:paraId="02B0C2E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②组织环境保护工作的协调；</w:t>
      </w:r>
    </w:p>
    <w:p w14:paraId="53324C3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③实施企业环境监督。</w:t>
      </w:r>
    </w:p>
    <w:p w14:paraId="4B5D8C5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（2）主要工作职责</w:t>
      </w:r>
    </w:p>
    <w:p w14:paraId="48906F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a、督促、检查本企业执行国家环境保护方针、政策、法规及本企业环境保护制度；</w:t>
      </w:r>
    </w:p>
    <w:p w14:paraId="6173FF8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b、拟定本企业环境管理办法，按照国家和地区的规定指定本企业污染物排放指标和污染综合防治的经济技术原则，做好企业升级环保考核工作；</w:t>
      </w:r>
    </w:p>
    <w:p w14:paraId="08E6EA8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c、负责组织污染源调查，填写环保报表；</w:t>
      </w:r>
    </w:p>
    <w:p w14:paraId="7074519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d、组织推动本企业在基本建设、技术改造中，贯彻执行“三同时”的规定，并参加有关方案的审定及竣工验收工作；</w:t>
      </w:r>
    </w:p>
    <w:p w14:paraId="697A8B9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e、加强与主管环保部们的联系，会同有关单位做好环境预测，制定企业环境保护长远规划和年度计划，并督促实施；</w:t>
      </w:r>
    </w:p>
    <w:p w14:paraId="099E760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f、组织有关部门和人员，检查企业环境质量状况及发展趋势；</w:t>
      </w:r>
    </w:p>
    <w:p w14:paraId="66D04A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g、监督全厂环境保护设施的运行与污染物的排放；</w:t>
      </w:r>
    </w:p>
    <w:p w14:paraId="079169A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h、会同有关单位组织和开展企业环境科研工作；</w:t>
      </w:r>
    </w:p>
    <w:p w14:paraId="136C415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i、负责组织本企业污染事故的调查与处理；</w:t>
      </w:r>
    </w:p>
    <w:p w14:paraId="76AE426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j、做好企业环境统计工作，建立环境保护档案；</w:t>
      </w:r>
    </w:p>
    <w:p w14:paraId="5F56B2D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k、会同有关单位组织开展清洁生产活动，负责广泛开展环境宣传教育活动，普及环境科学知识，推动清洁生产活动的深度开展。</w:t>
      </w:r>
    </w:p>
    <w:p w14:paraId="6175399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3、企业管理</w:t>
      </w:r>
    </w:p>
    <w:p w14:paraId="6F9446D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（1）确保各项环保设施的正常运转，负责日常维护，并制定事故的应急处理方法；</w:t>
      </w:r>
    </w:p>
    <w:p w14:paraId="06D4448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（2）加强生产原材料管理，提出清洁生产方案，降低了污染物的可能产生量；</w:t>
      </w:r>
    </w:p>
    <w:p w14:paraId="1E492DB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（3）加强对生产设备的管理和维护，杜绝跑、冒、滴、漏现象的发生；</w:t>
      </w:r>
    </w:p>
    <w:p w14:paraId="2B6B762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（4）负责企业的日常环境监测工作。</w:t>
      </w:r>
    </w:p>
    <w:p w14:paraId="2710BF4E">
      <w:pPr>
        <w:pStyle w:val="5"/>
        <w:spacing w:line="500" w:lineRule="exact"/>
        <w:rPr>
          <w:rFonts w:hint="default" w:ascii="Times New Roman" w:hAnsi="Times New Roman" w:cs="Times New Roman"/>
          <w:color w:val="auto"/>
          <w:highlight w:val="none"/>
        </w:rPr>
      </w:pPr>
      <w:bookmarkStart w:id="614" w:name="_Toc7634"/>
      <w:bookmarkStart w:id="615" w:name="_Toc57713716"/>
      <w:r>
        <w:rPr>
          <w:rFonts w:hint="default" w:ascii="Times New Roman" w:hAnsi="Times New Roman" w:cs="Times New Roman"/>
          <w:color w:val="auto"/>
          <w:highlight w:val="none"/>
        </w:rPr>
        <w:t>8.1.1施工期环境管理计划</w:t>
      </w:r>
      <w:bookmarkEnd w:id="614"/>
      <w:bookmarkEnd w:id="615"/>
    </w:p>
    <w:p w14:paraId="6849DE8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1、环境管理机构对施工期环境保护工作全面负责，履行施工期各阶段环境管理职责。</w:t>
      </w:r>
    </w:p>
    <w:p w14:paraId="3D69848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2、对施工队伍实行职责管理，要求施工队伍按要求文明施工，并做好监督、检查和教育工作。</w:t>
      </w:r>
    </w:p>
    <w:p w14:paraId="7D77D38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3、按照环保主管部门的要求和本报告书中有关环境保护对策措施对施工程序和场地布置实施统一安排。</w:t>
      </w:r>
    </w:p>
    <w:p w14:paraId="3368F84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4、土建工程需要土石方的挖掘与运输、管道挖沟、施工建材机械等占地，对产生的扬尘应及时洒水，及时清除弃土，避免二次扬尘。</w:t>
      </w:r>
    </w:p>
    <w:p w14:paraId="3EBEBD3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5、合理布置施工厂内的机械和设备，把噪声较大的机械设备布置到远离居民的地点。</w:t>
      </w:r>
    </w:p>
    <w:p w14:paraId="009DA1E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施工期环境保护管理及监理的主要内容见下表。</w:t>
      </w:r>
    </w:p>
    <w:p w14:paraId="414F7996">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表8-1-1施工期环境管理和监理的主要内容</w:t>
      </w:r>
    </w:p>
    <w:tbl>
      <w:tblPr>
        <w:tblStyle w:val="47"/>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76"/>
        <w:gridCol w:w="4000"/>
        <w:gridCol w:w="1348"/>
        <w:gridCol w:w="1888"/>
      </w:tblGrid>
      <w:tr w14:paraId="1499AE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Align w:val="center"/>
          </w:tcPr>
          <w:p w14:paraId="3355C00E">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防治对象</w:t>
            </w:r>
          </w:p>
        </w:tc>
        <w:tc>
          <w:tcPr>
            <w:tcW w:w="4110" w:type="dxa"/>
            <w:vAlign w:val="center"/>
          </w:tcPr>
          <w:p w14:paraId="1E288A0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防治措施</w:t>
            </w:r>
          </w:p>
        </w:tc>
        <w:tc>
          <w:tcPr>
            <w:tcW w:w="1381" w:type="dxa"/>
            <w:vAlign w:val="center"/>
          </w:tcPr>
          <w:p w14:paraId="266AC13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w:t>
            </w:r>
          </w:p>
        </w:tc>
        <w:tc>
          <w:tcPr>
            <w:tcW w:w="1936" w:type="dxa"/>
            <w:vAlign w:val="center"/>
          </w:tcPr>
          <w:p w14:paraId="68A9DCE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环境监理</w:t>
            </w:r>
          </w:p>
        </w:tc>
      </w:tr>
      <w:tr w14:paraId="331717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restart"/>
            <w:vAlign w:val="center"/>
          </w:tcPr>
          <w:p w14:paraId="5FF20E3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施工扬尘</w:t>
            </w:r>
          </w:p>
        </w:tc>
        <w:tc>
          <w:tcPr>
            <w:tcW w:w="4110" w:type="dxa"/>
            <w:vAlign w:val="center"/>
          </w:tcPr>
          <w:p w14:paraId="2CCB5A6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施工场地硬化，使用商品混凝土；</w:t>
            </w:r>
          </w:p>
        </w:tc>
        <w:tc>
          <w:tcPr>
            <w:tcW w:w="1381" w:type="dxa"/>
            <w:vMerge w:val="restart"/>
            <w:vAlign w:val="center"/>
          </w:tcPr>
          <w:p w14:paraId="32217F2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施工单位环保措施要落实到人，做好施工场地环境管理和保洁工作</w:t>
            </w:r>
          </w:p>
        </w:tc>
        <w:tc>
          <w:tcPr>
            <w:tcW w:w="1936" w:type="dxa"/>
            <w:vMerge w:val="restart"/>
            <w:vAlign w:val="center"/>
          </w:tcPr>
          <w:p w14:paraId="05591D71">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建设行政管理部门及环境管理部门进行定期检查。</w:t>
            </w:r>
          </w:p>
        </w:tc>
      </w:tr>
      <w:tr w14:paraId="15DF22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77E9F050">
            <w:pPr>
              <w:pStyle w:val="146"/>
              <w:rPr>
                <w:rFonts w:hint="default" w:ascii="Times New Roman" w:hAnsi="Times New Roman" w:eastAsia="宋体" w:cs="Times New Roman"/>
                <w:color w:val="auto"/>
                <w:highlight w:val="none"/>
              </w:rPr>
            </w:pPr>
          </w:p>
        </w:tc>
        <w:tc>
          <w:tcPr>
            <w:tcW w:w="4110" w:type="dxa"/>
            <w:vAlign w:val="center"/>
          </w:tcPr>
          <w:p w14:paraId="6E1E1F2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建筑垃圾及多余弃土及时清运；</w:t>
            </w:r>
          </w:p>
        </w:tc>
        <w:tc>
          <w:tcPr>
            <w:tcW w:w="1381" w:type="dxa"/>
            <w:vMerge w:val="continue"/>
            <w:vAlign w:val="center"/>
          </w:tcPr>
          <w:p w14:paraId="3C25B2F3">
            <w:pPr>
              <w:pStyle w:val="146"/>
              <w:rPr>
                <w:rFonts w:hint="default" w:ascii="Times New Roman" w:hAnsi="Times New Roman" w:eastAsia="宋体" w:cs="Times New Roman"/>
                <w:color w:val="auto"/>
                <w:highlight w:val="none"/>
              </w:rPr>
            </w:pPr>
          </w:p>
        </w:tc>
        <w:tc>
          <w:tcPr>
            <w:tcW w:w="1936" w:type="dxa"/>
            <w:vMerge w:val="continue"/>
            <w:vAlign w:val="center"/>
          </w:tcPr>
          <w:p w14:paraId="0196B24F">
            <w:pPr>
              <w:pStyle w:val="146"/>
              <w:rPr>
                <w:rFonts w:hint="default" w:ascii="Times New Roman" w:hAnsi="Times New Roman" w:eastAsia="宋体" w:cs="Times New Roman"/>
                <w:color w:val="auto"/>
                <w:highlight w:val="none"/>
              </w:rPr>
            </w:pPr>
          </w:p>
        </w:tc>
      </w:tr>
      <w:tr w14:paraId="0EC3B1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48CB20A0">
            <w:pPr>
              <w:pStyle w:val="146"/>
              <w:rPr>
                <w:rFonts w:hint="default" w:ascii="Times New Roman" w:hAnsi="Times New Roman" w:eastAsia="宋体" w:cs="Times New Roman"/>
                <w:color w:val="auto"/>
                <w:highlight w:val="none"/>
              </w:rPr>
            </w:pPr>
          </w:p>
        </w:tc>
        <w:tc>
          <w:tcPr>
            <w:tcW w:w="4110" w:type="dxa"/>
            <w:vAlign w:val="center"/>
          </w:tcPr>
          <w:p w14:paraId="6BA8DE1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施工场地车辆出入口设置车辆冲洗及沉淀设施；</w:t>
            </w:r>
          </w:p>
        </w:tc>
        <w:tc>
          <w:tcPr>
            <w:tcW w:w="1381" w:type="dxa"/>
            <w:vMerge w:val="continue"/>
            <w:vAlign w:val="center"/>
          </w:tcPr>
          <w:p w14:paraId="7952BF7D">
            <w:pPr>
              <w:pStyle w:val="146"/>
              <w:rPr>
                <w:rFonts w:hint="default" w:ascii="Times New Roman" w:hAnsi="Times New Roman" w:eastAsia="宋体" w:cs="Times New Roman"/>
                <w:color w:val="auto"/>
                <w:highlight w:val="none"/>
              </w:rPr>
            </w:pPr>
          </w:p>
        </w:tc>
        <w:tc>
          <w:tcPr>
            <w:tcW w:w="1936" w:type="dxa"/>
            <w:vMerge w:val="continue"/>
            <w:vAlign w:val="center"/>
          </w:tcPr>
          <w:p w14:paraId="57381163">
            <w:pPr>
              <w:pStyle w:val="146"/>
              <w:rPr>
                <w:rFonts w:hint="default" w:ascii="Times New Roman" w:hAnsi="Times New Roman" w:eastAsia="宋体" w:cs="Times New Roman"/>
                <w:color w:val="auto"/>
                <w:highlight w:val="none"/>
              </w:rPr>
            </w:pPr>
          </w:p>
        </w:tc>
      </w:tr>
      <w:tr w14:paraId="2E41FA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7AC7BAF1">
            <w:pPr>
              <w:pStyle w:val="146"/>
              <w:rPr>
                <w:rFonts w:hint="default" w:ascii="Times New Roman" w:hAnsi="Times New Roman" w:eastAsia="宋体" w:cs="Times New Roman"/>
                <w:color w:val="auto"/>
                <w:highlight w:val="none"/>
              </w:rPr>
            </w:pPr>
          </w:p>
        </w:tc>
        <w:tc>
          <w:tcPr>
            <w:tcW w:w="4110" w:type="dxa"/>
            <w:vAlign w:val="center"/>
          </w:tcPr>
          <w:p w14:paraId="00F3E55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对工地及进出口定期洒水抑尘、清扫，保持工地整齐干净；</w:t>
            </w:r>
          </w:p>
        </w:tc>
        <w:tc>
          <w:tcPr>
            <w:tcW w:w="1381" w:type="dxa"/>
            <w:vMerge w:val="continue"/>
            <w:vAlign w:val="center"/>
          </w:tcPr>
          <w:p w14:paraId="14064E2E">
            <w:pPr>
              <w:pStyle w:val="146"/>
              <w:rPr>
                <w:rFonts w:hint="default" w:ascii="Times New Roman" w:hAnsi="Times New Roman" w:eastAsia="宋体" w:cs="Times New Roman"/>
                <w:color w:val="auto"/>
                <w:highlight w:val="none"/>
              </w:rPr>
            </w:pPr>
          </w:p>
        </w:tc>
        <w:tc>
          <w:tcPr>
            <w:tcW w:w="1936" w:type="dxa"/>
            <w:vMerge w:val="continue"/>
            <w:vAlign w:val="center"/>
          </w:tcPr>
          <w:p w14:paraId="405BC6AA">
            <w:pPr>
              <w:pStyle w:val="146"/>
              <w:rPr>
                <w:rFonts w:hint="default" w:ascii="Times New Roman" w:hAnsi="Times New Roman" w:eastAsia="宋体" w:cs="Times New Roman"/>
                <w:color w:val="auto"/>
                <w:highlight w:val="none"/>
              </w:rPr>
            </w:pPr>
          </w:p>
        </w:tc>
      </w:tr>
      <w:tr w14:paraId="372D68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21A32680">
            <w:pPr>
              <w:pStyle w:val="146"/>
              <w:rPr>
                <w:rFonts w:hint="default" w:ascii="Times New Roman" w:hAnsi="Times New Roman" w:eastAsia="宋体" w:cs="Times New Roman"/>
                <w:color w:val="auto"/>
                <w:highlight w:val="none"/>
              </w:rPr>
            </w:pPr>
          </w:p>
        </w:tc>
        <w:tc>
          <w:tcPr>
            <w:tcW w:w="4110" w:type="dxa"/>
            <w:vAlign w:val="center"/>
          </w:tcPr>
          <w:p w14:paraId="47B5C78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禁止焚烧熔化沥青；</w:t>
            </w:r>
          </w:p>
        </w:tc>
        <w:tc>
          <w:tcPr>
            <w:tcW w:w="1381" w:type="dxa"/>
            <w:vMerge w:val="restart"/>
            <w:vAlign w:val="center"/>
          </w:tcPr>
          <w:p w14:paraId="6004800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施工单位环保措施要落实到人，做好施工场地环境管理和保洁工</w:t>
            </w:r>
          </w:p>
          <w:p w14:paraId="13AB523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不外排</w:t>
            </w:r>
          </w:p>
        </w:tc>
        <w:tc>
          <w:tcPr>
            <w:tcW w:w="1936" w:type="dxa"/>
            <w:vMerge w:val="restart"/>
            <w:vAlign w:val="center"/>
          </w:tcPr>
          <w:p w14:paraId="7A1C19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建设行政管理部门及环境管理部门进行定期检查</w:t>
            </w:r>
          </w:p>
        </w:tc>
      </w:tr>
      <w:tr w14:paraId="6746C9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18834587">
            <w:pPr>
              <w:pStyle w:val="146"/>
              <w:rPr>
                <w:rFonts w:hint="default" w:ascii="Times New Roman" w:hAnsi="Times New Roman" w:eastAsia="宋体" w:cs="Times New Roman"/>
                <w:color w:val="auto"/>
                <w:highlight w:val="none"/>
              </w:rPr>
            </w:pPr>
          </w:p>
        </w:tc>
        <w:tc>
          <w:tcPr>
            <w:tcW w:w="4110" w:type="dxa"/>
            <w:vAlign w:val="center"/>
          </w:tcPr>
          <w:p w14:paraId="7FB867E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对回填土方进行压实或喷覆盖剂处理；</w:t>
            </w:r>
          </w:p>
        </w:tc>
        <w:tc>
          <w:tcPr>
            <w:tcW w:w="1381" w:type="dxa"/>
            <w:vMerge w:val="continue"/>
            <w:vAlign w:val="center"/>
          </w:tcPr>
          <w:p w14:paraId="30DC16C4">
            <w:pPr>
              <w:pStyle w:val="146"/>
              <w:rPr>
                <w:rFonts w:hint="default" w:ascii="Times New Roman" w:hAnsi="Times New Roman" w:eastAsia="宋体" w:cs="Times New Roman"/>
                <w:color w:val="auto"/>
                <w:highlight w:val="none"/>
              </w:rPr>
            </w:pPr>
          </w:p>
        </w:tc>
        <w:tc>
          <w:tcPr>
            <w:tcW w:w="1936" w:type="dxa"/>
            <w:vMerge w:val="continue"/>
            <w:vAlign w:val="center"/>
          </w:tcPr>
          <w:p w14:paraId="51DC5EB8">
            <w:pPr>
              <w:pStyle w:val="146"/>
              <w:rPr>
                <w:rFonts w:hint="default" w:ascii="Times New Roman" w:hAnsi="Times New Roman" w:eastAsia="宋体" w:cs="Times New Roman"/>
                <w:color w:val="auto"/>
                <w:highlight w:val="none"/>
              </w:rPr>
            </w:pPr>
          </w:p>
        </w:tc>
      </w:tr>
      <w:tr w14:paraId="04345E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340F84F4">
            <w:pPr>
              <w:pStyle w:val="146"/>
              <w:rPr>
                <w:rFonts w:hint="default" w:ascii="Times New Roman" w:hAnsi="Times New Roman" w:eastAsia="宋体" w:cs="Times New Roman"/>
                <w:color w:val="auto"/>
                <w:highlight w:val="none"/>
              </w:rPr>
            </w:pPr>
          </w:p>
        </w:tc>
        <w:tc>
          <w:tcPr>
            <w:tcW w:w="4110" w:type="dxa"/>
            <w:vAlign w:val="center"/>
          </w:tcPr>
          <w:p w14:paraId="123E047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建筑工地按有关规定进行围挡。</w:t>
            </w:r>
          </w:p>
        </w:tc>
        <w:tc>
          <w:tcPr>
            <w:tcW w:w="1381" w:type="dxa"/>
            <w:vMerge w:val="continue"/>
            <w:vAlign w:val="center"/>
          </w:tcPr>
          <w:p w14:paraId="284F2E09">
            <w:pPr>
              <w:pStyle w:val="146"/>
              <w:rPr>
                <w:rFonts w:hint="default" w:ascii="Times New Roman" w:hAnsi="Times New Roman" w:eastAsia="宋体" w:cs="Times New Roman"/>
                <w:color w:val="auto"/>
                <w:highlight w:val="none"/>
              </w:rPr>
            </w:pPr>
          </w:p>
        </w:tc>
        <w:tc>
          <w:tcPr>
            <w:tcW w:w="1936" w:type="dxa"/>
            <w:vMerge w:val="continue"/>
            <w:vAlign w:val="center"/>
          </w:tcPr>
          <w:p w14:paraId="59A79646">
            <w:pPr>
              <w:pStyle w:val="146"/>
              <w:rPr>
                <w:rFonts w:hint="default" w:ascii="Times New Roman" w:hAnsi="Times New Roman" w:eastAsia="宋体" w:cs="Times New Roman"/>
                <w:color w:val="auto"/>
                <w:highlight w:val="none"/>
              </w:rPr>
            </w:pPr>
          </w:p>
        </w:tc>
      </w:tr>
      <w:tr w14:paraId="387109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1101" w:type="dxa"/>
            <w:vMerge w:val="restart"/>
            <w:vAlign w:val="center"/>
          </w:tcPr>
          <w:p w14:paraId="1721B83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施工噪声</w:t>
            </w:r>
          </w:p>
        </w:tc>
        <w:tc>
          <w:tcPr>
            <w:tcW w:w="4110" w:type="dxa"/>
            <w:vAlign w:val="center"/>
          </w:tcPr>
          <w:p w14:paraId="3B42D67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将投标方的低噪声施工设备和技术作为中标内容；</w:t>
            </w:r>
          </w:p>
        </w:tc>
        <w:tc>
          <w:tcPr>
            <w:tcW w:w="1381" w:type="dxa"/>
            <w:vMerge w:val="continue"/>
            <w:vAlign w:val="center"/>
          </w:tcPr>
          <w:p w14:paraId="1A4BABD3">
            <w:pPr>
              <w:pStyle w:val="146"/>
              <w:rPr>
                <w:rFonts w:hint="default" w:ascii="Times New Roman" w:hAnsi="Times New Roman" w:eastAsia="宋体" w:cs="Times New Roman"/>
                <w:color w:val="auto"/>
                <w:highlight w:val="none"/>
              </w:rPr>
            </w:pPr>
          </w:p>
        </w:tc>
        <w:tc>
          <w:tcPr>
            <w:tcW w:w="1936" w:type="dxa"/>
            <w:vMerge w:val="restart"/>
            <w:vAlign w:val="center"/>
          </w:tcPr>
          <w:p w14:paraId="7E82460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环保监理部门对夜间施工噪声进行监督检查</w:t>
            </w:r>
          </w:p>
        </w:tc>
      </w:tr>
      <w:tr w14:paraId="1A8FCC6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4B65DD4C">
            <w:pPr>
              <w:pStyle w:val="146"/>
              <w:rPr>
                <w:rFonts w:hint="default" w:ascii="Times New Roman" w:hAnsi="Times New Roman" w:eastAsia="宋体" w:cs="Times New Roman"/>
                <w:color w:val="auto"/>
                <w:highlight w:val="none"/>
              </w:rPr>
            </w:pPr>
          </w:p>
        </w:tc>
        <w:tc>
          <w:tcPr>
            <w:tcW w:w="4110" w:type="dxa"/>
            <w:vAlign w:val="center"/>
          </w:tcPr>
          <w:p w14:paraId="55952F2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施工单位开工15日前，携带施工资料等到当地环保部门申报《建设施工环保审批表》，经批准后方可施工；</w:t>
            </w:r>
          </w:p>
        </w:tc>
        <w:tc>
          <w:tcPr>
            <w:tcW w:w="1381" w:type="dxa"/>
            <w:vMerge w:val="continue"/>
            <w:vAlign w:val="center"/>
          </w:tcPr>
          <w:p w14:paraId="1A2C64AA">
            <w:pPr>
              <w:pStyle w:val="146"/>
              <w:rPr>
                <w:rFonts w:hint="default" w:ascii="Times New Roman" w:hAnsi="Times New Roman" w:eastAsia="宋体" w:cs="Times New Roman"/>
                <w:color w:val="auto"/>
                <w:highlight w:val="none"/>
              </w:rPr>
            </w:pPr>
          </w:p>
        </w:tc>
        <w:tc>
          <w:tcPr>
            <w:tcW w:w="1936" w:type="dxa"/>
            <w:vMerge w:val="continue"/>
            <w:vAlign w:val="center"/>
          </w:tcPr>
          <w:p w14:paraId="7A432F28">
            <w:pPr>
              <w:pStyle w:val="146"/>
              <w:rPr>
                <w:rFonts w:hint="default" w:ascii="Times New Roman" w:hAnsi="Times New Roman" w:eastAsia="宋体" w:cs="Times New Roman"/>
                <w:color w:val="auto"/>
                <w:highlight w:val="none"/>
              </w:rPr>
            </w:pPr>
          </w:p>
        </w:tc>
      </w:tr>
      <w:tr w14:paraId="5DEC14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6185EAED">
            <w:pPr>
              <w:pStyle w:val="146"/>
              <w:rPr>
                <w:rFonts w:hint="default" w:ascii="Times New Roman" w:hAnsi="Times New Roman" w:eastAsia="宋体" w:cs="Times New Roman"/>
                <w:color w:val="auto"/>
                <w:highlight w:val="none"/>
              </w:rPr>
            </w:pPr>
          </w:p>
        </w:tc>
        <w:tc>
          <w:tcPr>
            <w:tcW w:w="4110" w:type="dxa"/>
            <w:vAlign w:val="center"/>
          </w:tcPr>
          <w:p w14:paraId="610A479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禁止在22：00～6：00进行产生噪声污染的施工作业；</w:t>
            </w:r>
          </w:p>
        </w:tc>
        <w:tc>
          <w:tcPr>
            <w:tcW w:w="1381" w:type="dxa"/>
            <w:vMerge w:val="continue"/>
            <w:vAlign w:val="center"/>
          </w:tcPr>
          <w:p w14:paraId="5CF6915A">
            <w:pPr>
              <w:pStyle w:val="146"/>
              <w:rPr>
                <w:rFonts w:hint="default" w:ascii="Times New Roman" w:hAnsi="Times New Roman" w:eastAsia="宋体" w:cs="Times New Roman"/>
                <w:color w:val="auto"/>
                <w:highlight w:val="none"/>
              </w:rPr>
            </w:pPr>
          </w:p>
        </w:tc>
        <w:tc>
          <w:tcPr>
            <w:tcW w:w="1936" w:type="dxa"/>
            <w:vMerge w:val="continue"/>
            <w:vAlign w:val="center"/>
          </w:tcPr>
          <w:p w14:paraId="049305E9">
            <w:pPr>
              <w:pStyle w:val="146"/>
              <w:rPr>
                <w:rFonts w:hint="default" w:ascii="Times New Roman" w:hAnsi="Times New Roman" w:eastAsia="宋体" w:cs="Times New Roman"/>
                <w:color w:val="auto"/>
                <w:highlight w:val="none"/>
              </w:rPr>
            </w:pPr>
          </w:p>
        </w:tc>
      </w:tr>
      <w:tr w14:paraId="0C3B28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06D59585">
            <w:pPr>
              <w:pStyle w:val="146"/>
              <w:rPr>
                <w:rFonts w:hint="default" w:ascii="Times New Roman" w:hAnsi="Times New Roman" w:eastAsia="宋体" w:cs="Times New Roman"/>
                <w:color w:val="auto"/>
                <w:highlight w:val="none"/>
              </w:rPr>
            </w:pPr>
          </w:p>
        </w:tc>
        <w:tc>
          <w:tcPr>
            <w:tcW w:w="4110" w:type="dxa"/>
            <w:vAlign w:val="center"/>
          </w:tcPr>
          <w:p w14:paraId="36FB0EB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因施工浇筑需要连续作业的施工前3天内，由施工单位报环保部门审批。</w:t>
            </w:r>
          </w:p>
        </w:tc>
        <w:tc>
          <w:tcPr>
            <w:tcW w:w="1381" w:type="dxa"/>
            <w:vMerge w:val="continue"/>
            <w:vAlign w:val="center"/>
          </w:tcPr>
          <w:p w14:paraId="11AD2883">
            <w:pPr>
              <w:pStyle w:val="146"/>
              <w:rPr>
                <w:rFonts w:hint="default" w:ascii="Times New Roman" w:hAnsi="Times New Roman" w:eastAsia="宋体" w:cs="Times New Roman"/>
                <w:color w:val="auto"/>
                <w:highlight w:val="none"/>
              </w:rPr>
            </w:pPr>
          </w:p>
        </w:tc>
        <w:tc>
          <w:tcPr>
            <w:tcW w:w="1936" w:type="dxa"/>
            <w:vMerge w:val="continue"/>
            <w:vAlign w:val="center"/>
          </w:tcPr>
          <w:p w14:paraId="50A76F70">
            <w:pPr>
              <w:pStyle w:val="146"/>
              <w:rPr>
                <w:rFonts w:hint="default" w:ascii="Times New Roman" w:hAnsi="Times New Roman" w:eastAsia="宋体" w:cs="Times New Roman"/>
                <w:color w:val="auto"/>
                <w:highlight w:val="none"/>
              </w:rPr>
            </w:pPr>
          </w:p>
        </w:tc>
      </w:tr>
      <w:tr w14:paraId="6031F8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1" w:hRule="atLeast"/>
          <w:jc w:val="center"/>
        </w:trPr>
        <w:tc>
          <w:tcPr>
            <w:tcW w:w="1101" w:type="dxa"/>
            <w:vMerge w:val="restart"/>
            <w:vAlign w:val="center"/>
          </w:tcPr>
          <w:p w14:paraId="5E59699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4110" w:type="dxa"/>
            <w:vAlign w:val="center"/>
          </w:tcPr>
          <w:p w14:paraId="4F79A04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施工人员生活污水应集中排入防渗旱厕；</w:t>
            </w:r>
          </w:p>
        </w:tc>
        <w:tc>
          <w:tcPr>
            <w:tcW w:w="1381" w:type="dxa"/>
            <w:vMerge w:val="continue"/>
            <w:vAlign w:val="center"/>
          </w:tcPr>
          <w:p w14:paraId="146EEC0C">
            <w:pPr>
              <w:pStyle w:val="146"/>
              <w:rPr>
                <w:rFonts w:hint="default" w:ascii="Times New Roman" w:hAnsi="Times New Roman" w:eastAsia="宋体" w:cs="Times New Roman"/>
                <w:color w:val="auto"/>
                <w:highlight w:val="none"/>
              </w:rPr>
            </w:pPr>
          </w:p>
        </w:tc>
        <w:tc>
          <w:tcPr>
            <w:tcW w:w="1936" w:type="dxa"/>
            <w:vMerge w:val="restart"/>
            <w:vAlign w:val="center"/>
          </w:tcPr>
          <w:p w14:paraId="0653924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对于污水收集设施进行认真检查</w:t>
            </w:r>
          </w:p>
        </w:tc>
      </w:tr>
      <w:tr w14:paraId="5D73E3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jc w:val="center"/>
        </w:trPr>
        <w:tc>
          <w:tcPr>
            <w:tcW w:w="1101" w:type="dxa"/>
            <w:vMerge w:val="continue"/>
            <w:vAlign w:val="center"/>
          </w:tcPr>
          <w:p w14:paraId="3D6FC5FA">
            <w:pPr>
              <w:pStyle w:val="146"/>
              <w:rPr>
                <w:rFonts w:hint="default" w:ascii="Times New Roman" w:hAnsi="Times New Roman" w:eastAsia="宋体" w:cs="Times New Roman"/>
                <w:color w:val="auto"/>
                <w:highlight w:val="none"/>
              </w:rPr>
            </w:pPr>
          </w:p>
        </w:tc>
        <w:tc>
          <w:tcPr>
            <w:tcW w:w="4110" w:type="dxa"/>
            <w:vAlign w:val="center"/>
          </w:tcPr>
          <w:p w14:paraId="765CB46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避免在雨季进行基础开挖施工</w:t>
            </w:r>
          </w:p>
        </w:tc>
        <w:tc>
          <w:tcPr>
            <w:tcW w:w="1381" w:type="dxa"/>
            <w:vMerge w:val="continue"/>
            <w:vAlign w:val="center"/>
          </w:tcPr>
          <w:p w14:paraId="1A88A349">
            <w:pPr>
              <w:pStyle w:val="146"/>
              <w:rPr>
                <w:rFonts w:hint="default" w:ascii="Times New Roman" w:hAnsi="Times New Roman" w:eastAsia="宋体" w:cs="Times New Roman"/>
                <w:color w:val="auto"/>
                <w:highlight w:val="none"/>
              </w:rPr>
            </w:pPr>
          </w:p>
        </w:tc>
        <w:tc>
          <w:tcPr>
            <w:tcW w:w="1936" w:type="dxa"/>
            <w:vMerge w:val="continue"/>
            <w:vAlign w:val="center"/>
          </w:tcPr>
          <w:p w14:paraId="4342BF6F">
            <w:pPr>
              <w:pStyle w:val="146"/>
              <w:rPr>
                <w:rFonts w:hint="default" w:ascii="Times New Roman" w:hAnsi="Times New Roman" w:eastAsia="宋体" w:cs="Times New Roman"/>
                <w:color w:val="auto"/>
                <w:highlight w:val="none"/>
              </w:rPr>
            </w:pPr>
          </w:p>
        </w:tc>
      </w:tr>
      <w:tr w14:paraId="7EE9EF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6" w:hRule="atLeast"/>
          <w:jc w:val="center"/>
        </w:trPr>
        <w:tc>
          <w:tcPr>
            <w:tcW w:w="1101" w:type="dxa"/>
            <w:vAlign w:val="center"/>
          </w:tcPr>
          <w:p w14:paraId="1C57A46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建筑垃圾</w:t>
            </w:r>
          </w:p>
        </w:tc>
        <w:tc>
          <w:tcPr>
            <w:tcW w:w="4110" w:type="dxa"/>
            <w:vAlign w:val="center"/>
          </w:tcPr>
          <w:p w14:paraId="0E39F3D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建筑垃圾及多余弃土及时用于场地平整，及时压实</w:t>
            </w:r>
          </w:p>
        </w:tc>
        <w:tc>
          <w:tcPr>
            <w:tcW w:w="1381" w:type="dxa"/>
            <w:vMerge w:val="continue"/>
            <w:vAlign w:val="center"/>
          </w:tcPr>
          <w:p w14:paraId="5B7B3F66">
            <w:pPr>
              <w:pStyle w:val="146"/>
              <w:rPr>
                <w:rFonts w:hint="default" w:ascii="Times New Roman" w:hAnsi="Times New Roman" w:eastAsia="宋体" w:cs="Times New Roman"/>
                <w:color w:val="auto"/>
                <w:highlight w:val="none"/>
              </w:rPr>
            </w:pPr>
          </w:p>
        </w:tc>
        <w:tc>
          <w:tcPr>
            <w:tcW w:w="1936" w:type="dxa"/>
            <w:vAlign w:val="center"/>
          </w:tcPr>
          <w:p w14:paraId="7EDE538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不外排</w:t>
            </w:r>
          </w:p>
        </w:tc>
      </w:tr>
    </w:tbl>
    <w:p w14:paraId="7E8BB8BB">
      <w:pPr>
        <w:pStyle w:val="5"/>
        <w:spacing w:line="500" w:lineRule="exact"/>
        <w:rPr>
          <w:rFonts w:hint="default" w:ascii="Times New Roman" w:hAnsi="Times New Roman" w:cs="Times New Roman"/>
          <w:color w:val="auto"/>
          <w:highlight w:val="none"/>
        </w:rPr>
      </w:pPr>
      <w:bookmarkStart w:id="616" w:name="_Toc57713717"/>
      <w:bookmarkStart w:id="617" w:name="_Toc4909"/>
      <w:r>
        <w:rPr>
          <w:rFonts w:hint="default" w:ascii="Times New Roman" w:hAnsi="Times New Roman" w:cs="Times New Roman"/>
          <w:color w:val="auto"/>
          <w:highlight w:val="none"/>
        </w:rPr>
        <w:t>8.1.2运行期环境管理计划</w:t>
      </w:r>
      <w:bookmarkEnd w:id="616"/>
      <w:bookmarkEnd w:id="617"/>
    </w:p>
    <w:p w14:paraId="5569BA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1、环保管理机构应对厂内环保实行统一管理，并对厂区的环境质量全面进行监测。</w:t>
      </w:r>
    </w:p>
    <w:p w14:paraId="56E3DA3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2、环保管理机构应做好日常环保设施与生产主体设备的统一管理，加强维护、定期检查，确保污染治理设施与主体设备正常运行。当治理设施及</w:t>
      </w:r>
      <w:r>
        <w:rPr>
          <w:rFonts w:hint="eastAsia" w:eastAsia="宋体" w:cs="Times New Roman"/>
          <w:color w:val="auto"/>
          <w:highlight w:val="none"/>
          <w:lang w:val="en-US" w:eastAsia="zh-CN"/>
        </w:rPr>
        <w:t>渗滤液收集池</w:t>
      </w:r>
      <w:r>
        <w:rPr>
          <w:rFonts w:hint="default" w:ascii="Times New Roman" w:hAnsi="Times New Roman" w:eastAsia="宋体" w:cs="Times New Roman"/>
          <w:color w:val="auto"/>
          <w:highlight w:val="none"/>
        </w:rPr>
        <w:t>发生故障时，应启动应急预案，防止污染事故的发生。</w:t>
      </w:r>
    </w:p>
    <w:p w14:paraId="3D77E4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3、定期对各项环保工作情况进行考核，制定考核与奖惩的具体办法，将环保考核纳入生产考核的主要部分。</w:t>
      </w:r>
    </w:p>
    <w:p w14:paraId="3663139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4、对主要污染源进行定期监测，建立污染源档案。发现污染物非正常排放时，应分析原因，并及时采取相应措施，以控制污染，使污染物满足达标排放要求。</w:t>
      </w:r>
    </w:p>
    <w:p w14:paraId="47D543F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5、接受省市环保部门的检查、指导，参加有关会议及经验交流活动。</w:t>
      </w:r>
    </w:p>
    <w:p w14:paraId="641CC94E">
      <w:pPr>
        <w:pStyle w:val="5"/>
        <w:spacing w:line="500" w:lineRule="exact"/>
        <w:rPr>
          <w:rFonts w:hint="default" w:ascii="Times New Roman" w:hAnsi="Times New Roman" w:cs="Times New Roman"/>
          <w:color w:val="auto"/>
          <w:highlight w:val="none"/>
        </w:rPr>
      </w:pPr>
      <w:bookmarkStart w:id="618" w:name="_Toc57713718"/>
      <w:bookmarkStart w:id="619" w:name="_Toc527121434"/>
      <w:bookmarkStart w:id="620" w:name="_Toc683"/>
      <w:r>
        <w:rPr>
          <w:rFonts w:hint="default" w:ascii="Times New Roman" w:hAnsi="Times New Roman" w:cs="Times New Roman"/>
          <w:color w:val="auto"/>
          <w:highlight w:val="none"/>
        </w:rPr>
        <w:t>8.1.3污染物排放清单及管理要求</w:t>
      </w:r>
      <w:bookmarkEnd w:id="618"/>
      <w:bookmarkEnd w:id="619"/>
      <w:bookmarkEnd w:id="620"/>
    </w:p>
    <w:p w14:paraId="7295C6D2">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8.1.3.1污染物排放清单</w:t>
      </w:r>
    </w:p>
    <w:p w14:paraId="2C86722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本项目污染物排放清单及管理要求详见下表。</w:t>
      </w:r>
    </w:p>
    <w:p w14:paraId="1C02E2DF">
      <w:pPr>
        <w:adjustRightInd/>
        <w:snapToGrid/>
        <w:spacing w:line="500" w:lineRule="exact"/>
        <w:rPr>
          <w:rFonts w:hint="default" w:ascii="Times New Roman" w:hAnsi="Times New Roman" w:cs="Times New Roman"/>
          <w:snapToGrid w:val="0"/>
          <w:color w:val="auto"/>
          <w:kern w:val="0"/>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p w14:paraId="568D32F1">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bookmarkStart w:id="621" w:name="_Hlk480431254"/>
      <w:r>
        <w:rPr>
          <w:rFonts w:hint="default" w:ascii="Times New Roman" w:hAnsi="Times New Roman" w:eastAsia="黑体" w:cs="Times New Roman"/>
          <w:snapToGrid w:val="0"/>
          <w:color w:val="auto"/>
          <w:kern w:val="0"/>
          <w:highlight w:val="none"/>
          <w:lang w:val="zh-CN"/>
        </w:rPr>
        <w:t>表8-1-2污染物排放清单一览表</w:t>
      </w:r>
    </w:p>
    <w:tbl>
      <w:tblPr>
        <w:tblStyle w:val="47"/>
        <w:tblW w:w="484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820"/>
        <w:gridCol w:w="964"/>
        <w:gridCol w:w="961"/>
        <w:gridCol w:w="3566"/>
        <w:gridCol w:w="1097"/>
        <w:gridCol w:w="1513"/>
        <w:gridCol w:w="3075"/>
      </w:tblGrid>
      <w:tr w14:paraId="4BE45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shd w:val="clear" w:color="auto" w:fill="auto"/>
            <w:vAlign w:val="center"/>
          </w:tcPr>
          <w:p w14:paraId="6D8C04B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p>
          <w:p w14:paraId="678F0C4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要素</w:t>
            </w:r>
          </w:p>
        </w:tc>
        <w:tc>
          <w:tcPr>
            <w:tcW w:w="1071" w:type="pct"/>
            <w:gridSpan w:val="3"/>
            <w:shd w:val="clear" w:color="auto" w:fill="auto"/>
            <w:vAlign w:val="center"/>
          </w:tcPr>
          <w:p w14:paraId="1CAAF4A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管理项目</w:t>
            </w:r>
          </w:p>
        </w:tc>
        <w:tc>
          <w:tcPr>
            <w:tcW w:w="1391" w:type="pct"/>
            <w:shd w:val="clear" w:color="auto" w:fill="auto"/>
            <w:vAlign w:val="center"/>
          </w:tcPr>
          <w:p w14:paraId="07926E6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污染防治措施</w:t>
            </w:r>
          </w:p>
        </w:tc>
        <w:tc>
          <w:tcPr>
            <w:tcW w:w="428" w:type="pct"/>
            <w:shd w:val="clear" w:color="auto" w:fill="auto"/>
            <w:vAlign w:val="center"/>
          </w:tcPr>
          <w:p w14:paraId="1BACE21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w:t>
            </w:r>
          </w:p>
          <w:p w14:paraId="10B4011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w:t>
            </w:r>
          </w:p>
        </w:tc>
        <w:tc>
          <w:tcPr>
            <w:tcW w:w="590" w:type="pct"/>
            <w:shd w:val="clear" w:color="auto" w:fill="auto"/>
            <w:vAlign w:val="center"/>
          </w:tcPr>
          <w:p w14:paraId="40CAB46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排放量</w:t>
            </w:r>
          </w:p>
        </w:tc>
        <w:tc>
          <w:tcPr>
            <w:tcW w:w="1199" w:type="pct"/>
            <w:shd w:val="clear" w:color="auto" w:fill="auto"/>
            <w:vAlign w:val="center"/>
          </w:tcPr>
          <w:p w14:paraId="5D0F7E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执行标准</w:t>
            </w:r>
          </w:p>
        </w:tc>
      </w:tr>
      <w:tr w14:paraId="677E4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restart"/>
            <w:shd w:val="clear" w:color="auto" w:fill="auto"/>
            <w:vAlign w:val="center"/>
          </w:tcPr>
          <w:p w14:paraId="21978C5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地表水环境</w:t>
            </w:r>
          </w:p>
        </w:tc>
        <w:tc>
          <w:tcPr>
            <w:tcW w:w="696" w:type="pct"/>
            <w:gridSpan w:val="2"/>
            <w:vMerge w:val="restart"/>
            <w:shd w:val="clear" w:color="auto" w:fill="auto"/>
            <w:vAlign w:val="center"/>
          </w:tcPr>
          <w:p w14:paraId="547898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养殖废水</w:t>
            </w:r>
          </w:p>
        </w:tc>
        <w:tc>
          <w:tcPr>
            <w:tcW w:w="375" w:type="pct"/>
            <w:shd w:val="clear" w:color="auto" w:fill="auto"/>
            <w:vAlign w:val="center"/>
          </w:tcPr>
          <w:p w14:paraId="326C3BC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1391" w:type="pct"/>
            <w:vMerge w:val="restart"/>
            <w:shd w:val="clear" w:color="auto" w:fill="auto"/>
            <w:vAlign w:val="center"/>
          </w:tcPr>
          <w:p w14:paraId="2D20CAC2">
            <w:pPr>
              <w:pStyle w:val="146"/>
              <w:ind w:left="0" w:leftChars="0" w:firstLine="0" w:firstLineChars="0"/>
              <w:jc w:val="center"/>
              <w:rPr>
                <w:rFonts w:hint="default" w:ascii="Times New Roman" w:hAnsi="Times New Roman" w:eastAsia="仿宋" w:cs="Times New Roman"/>
                <w:snapToGrid w:val="0"/>
                <w:color w:val="auto"/>
                <w:highlight w:val="none"/>
                <w:lang w:val="en-US" w:eastAsia="zh-CN"/>
              </w:rPr>
            </w:pPr>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default" w:ascii="Times New Roman" w:hAnsi="Times New Roman" w:eastAsia="宋体" w:cs="Times New Roman"/>
                <w:color w:val="auto"/>
                <w:sz w:val="21"/>
                <w:szCs w:val="21"/>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sz w:val="21"/>
                <w:szCs w:val="21"/>
                <w:highlight w:val="none"/>
                <w:lang w:val="en-US" w:eastAsia="zh-CN"/>
              </w:rPr>
              <w:t>生物发酵床技术</w:t>
            </w:r>
            <w:r>
              <w:rPr>
                <w:rFonts w:hint="default" w:ascii="Times New Roman" w:hAnsi="Times New Roman" w:eastAsia="宋体" w:cs="Times New Roman"/>
                <w:color w:val="auto"/>
                <w:sz w:val="21"/>
                <w:szCs w:val="21"/>
                <w:highlight w:val="none"/>
                <w:lang w:val="en-US" w:eastAsia="zh-CN"/>
              </w:rPr>
              <w:t>，牛</w:t>
            </w:r>
            <w:r>
              <w:rPr>
                <w:rFonts w:hint="eastAsia" w:ascii="Times New Roman" w:hAnsi="Times New Roman" w:eastAsia="宋体" w:cs="Times New Roman"/>
                <w:color w:val="auto"/>
                <w:sz w:val="21"/>
                <w:szCs w:val="21"/>
                <w:highlight w:val="none"/>
                <w:lang w:val="en-US" w:eastAsia="zh-CN"/>
              </w:rPr>
              <w:t>粪污</w:t>
            </w:r>
            <w:r>
              <w:rPr>
                <w:rFonts w:hint="default" w:ascii="Times New Roman" w:hAnsi="Times New Roman" w:eastAsia="宋体" w:cs="Times New Roman"/>
                <w:color w:val="auto"/>
                <w:sz w:val="21"/>
                <w:szCs w:val="21"/>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sz w:val="21"/>
                <w:szCs w:val="21"/>
                <w:highlight w:val="none"/>
                <w:lang w:val="en-US" w:eastAsia="zh-CN"/>
              </w:rPr>
              <w:t>料</w:t>
            </w:r>
            <w:r>
              <w:rPr>
                <w:rFonts w:hint="default" w:ascii="Times New Roman" w:hAnsi="Times New Roman" w:eastAsia="宋体" w:cs="Times New Roman"/>
                <w:color w:val="auto"/>
                <w:sz w:val="21"/>
                <w:szCs w:val="21"/>
                <w:highlight w:val="none"/>
                <w:lang w:val="en-US" w:eastAsia="zh-CN"/>
              </w:rPr>
              <w:t>吸收，牛</w:t>
            </w:r>
            <w:r>
              <w:rPr>
                <w:rFonts w:hint="eastAsia" w:ascii="Times New Roman" w:hAnsi="Times New Roman" w:eastAsia="宋体" w:cs="Times New Roman"/>
                <w:color w:val="auto"/>
                <w:sz w:val="21"/>
                <w:szCs w:val="21"/>
                <w:highlight w:val="none"/>
                <w:lang w:val="en-US" w:eastAsia="zh-CN"/>
              </w:rPr>
              <w:t>粪污</w:t>
            </w:r>
            <w:r>
              <w:rPr>
                <w:rFonts w:hint="default" w:ascii="Times New Roman" w:hAnsi="Times New Roman" w:eastAsia="宋体" w:cs="Times New Roman"/>
                <w:color w:val="auto"/>
                <w:sz w:val="21"/>
                <w:szCs w:val="21"/>
                <w:highlight w:val="none"/>
                <w:lang w:val="en-US" w:eastAsia="zh-CN"/>
              </w:rPr>
              <w:t>可实现零排放。</w:t>
            </w:r>
            <w:r>
              <w:rPr>
                <w:rFonts w:hint="default" w:ascii="Times New Roman" w:hAnsi="Times New Roman" w:eastAsia="宋体" w:cs="Times New Roman"/>
                <w:color w:val="auto"/>
                <w:highlight w:val="none"/>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rPr>
              <w:t>渗滤液与精料按比例配合饲喂肉牛，其味道酸甜，可促进食欲，但须随配随用，以免发霉。冬季不进行玉米秸秆青贮发酵生产，无渗滤液产生。</w:t>
            </w:r>
            <w:r>
              <w:rPr>
                <w:rFonts w:hint="eastAsia" w:ascii="Times New Roman" w:hAnsi="Times New Roman" w:eastAsia="宋体" w:cs="Times New Roman"/>
                <w:color w:val="auto"/>
                <w:highlight w:val="none"/>
                <w:lang w:val="en-US" w:eastAsia="zh-CN"/>
              </w:rPr>
              <w:t>养殖废水均能妥善处置，不外排</w:t>
            </w:r>
            <w:r>
              <w:rPr>
                <w:rFonts w:hint="eastAsia" w:eastAsia="宋体" w:cs="Times New Roman"/>
                <w:color w:val="auto"/>
                <w:highlight w:val="none"/>
                <w:lang w:val="en-US" w:eastAsia="zh-CN"/>
              </w:rPr>
              <w:t>。</w:t>
            </w:r>
          </w:p>
        </w:tc>
        <w:tc>
          <w:tcPr>
            <w:tcW w:w="428" w:type="pct"/>
            <w:shd w:val="clear" w:color="auto" w:fill="auto"/>
            <w:vAlign w:val="center"/>
          </w:tcPr>
          <w:p w14:paraId="5F638EA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184AAD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199" w:type="pct"/>
            <w:vMerge w:val="restart"/>
            <w:shd w:val="clear" w:color="auto" w:fill="auto"/>
            <w:vAlign w:val="center"/>
          </w:tcPr>
          <w:p w14:paraId="76F57BB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091D8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468244F0">
            <w:pPr>
              <w:pStyle w:val="146"/>
              <w:rPr>
                <w:rFonts w:hint="default" w:ascii="Times New Roman" w:hAnsi="Times New Roman" w:eastAsia="宋体" w:cs="Times New Roman"/>
                <w:snapToGrid w:val="0"/>
                <w:color w:val="auto"/>
                <w:highlight w:val="none"/>
              </w:rPr>
            </w:pPr>
          </w:p>
        </w:tc>
        <w:tc>
          <w:tcPr>
            <w:tcW w:w="696" w:type="pct"/>
            <w:gridSpan w:val="2"/>
            <w:vMerge w:val="continue"/>
            <w:shd w:val="clear" w:color="auto" w:fill="auto"/>
            <w:vAlign w:val="center"/>
          </w:tcPr>
          <w:p w14:paraId="47632C9A">
            <w:pPr>
              <w:pStyle w:val="146"/>
              <w:rPr>
                <w:rFonts w:hint="default" w:ascii="Times New Roman" w:hAnsi="Times New Roman" w:eastAsia="宋体" w:cs="Times New Roman"/>
                <w:snapToGrid w:val="0"/>
                <w:color w:val="auto"/>
                <w:highlight w:val="none"/>
              </w:rPr>
            </w:pPr>
          </w:p>
        </w:tc>
        <w:tc>
          <w:tcPr>
            <w:tcW w:w="375" w:type="pct"/>
            <w:shd w:val="clear" w:color="auto" w:fill="auto"/>
            <w:vAlign w:val="center"/>
          </w:tcPr>
          <w:p w14:paraId="574BEF9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391" w:type="pct"/>
            <w:vMerge w:val="continue"/>
            <w:shd w:val="clear" w:color="auto" w:fill="auto"/>
            <w:vAlign w:val="center"/>
          </w:tcPr>
          <w:p w14:paraId="52A8CC68">
            <w:pPr>
              <w:pStyle w:val="146"/>
              <w:rPr>
                <w:rFonts w:hint="default" w:ascii="Times New Roman" w:hAnsi="Times New Roman" w:eastAsia="宋体" w:cs="Times New Roman"/>
                <w:snapToGrid w:val="0"/>
                <w:color w:val="auto"/>
                <w:highlight w:val="none"/>
              </w:rPr>
            </w:pPr>
          </w:p>
        </w:tc>
        <w:tc>
          <w:tcPr>
            <w:tcW w:w="428" w:type="pct"/>
            <w:shd w:val="clear" w:color="auto" w:fill="auto"/>
            <w:vAlign w:val="center"/>
          </w:tcPr>
          <w:p w14:paraId="442AFAA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133B241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199" w:type="pct"/>
            <w:vMerge w:val="continue"/>
            <w:shd w:val="clear" w:color="auto" w:fill="auto"/>
            <w:vAlign w:val="center"/>
          </w:tcPr>
          <w:p w14:paraId="4D9D4291">
            <w:pPr>
              <w:pStyle w:val="146"/>
              <w:rPr>
                <w:rFonts w:hint="default" w:ascii="Times New Roman" w:hAnsi="Times New Roman" w:eastAsia="宋体" w:cs="Times New Roman"/>
                <w:snapToGrid w:val="0"/>
                <w:color w:val="auto"/>
                <w:highlight w:val="none"/>
              </w:rPr>
            </w:pPr>
          </w:p>
        </w:tc>
      </w:tr>
      <w:tr w14:paraId="2FD2D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restart"/>
            <w:shd w:val="clear" w:color="auto" w:fill="auto"/>
            <w:vAlign w:val="center"/>
          </w:tcPr>
          <w:p w14:paraId="5485C7D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w:t>
            </w:r>
          </w:p>
          <w:p w14:paraId="2A313EE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w:t>
            </w:r>
          </w:p>
        </w:tc>
        <w:tc>
          <w:tcPr>
            <w:tcW w:w="696" w:type="pct"/>
            <w:gridSpan w:val="2"/>
            <w:vMerge w:val="restart"/>
            <w:shd w:val="clear" w:color="auto" w:fill="auto"/>
            <w:vAlign w:val="center"/>
          </w:tcPr>
          <w:p w14:paraId="5D50FF8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w:t>
            </w:r>
          </w:p>
        </w:tc>
        <w:tc>
          <w:tcPr>
            <w:tcW w:w="375" w:type="pct"/>
            <w:shd w:val="clear" w:color="auto" w:fill="auto"/>
            <w:vAlign w:val="center"/>
          </w:tcPr>
          <w:p w14:paraId="40E9F08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391" w:type="pct"/>
            <w:vMerge w:val="restart"/>
            <w:shd w:val="clear" w:color="auto" w:fill="auto"/>
            <w:vAlign w:val="center"/>
          </w:tcPr>
          <w:p w14:paraId="5C100644">
            <w:pPr>
              <w:pStyle w:val="146"/>
              <w:rPr>
                <w:rFonts w:hint="default" w:ascii="Times New Roman" w:hAnsi="Times New Roman" w:eastAsia="宋体" w:cs="Times New Roman"/>
                <w:snapToGrid w:val="0"/>
                <w:color w:val="auto"/>
                <w:highlight w:val="none"/>
              </w:rPr>
            </w:pPr>
            <w:r>
              <w:rPr>
                <w:rFonts w:hint="eastAsia" w:eastAsia="宋体" w:cs="Times New Roman"/>
                <w:color w:val="auto"/>
                <w:highlight w:val="none"/>
                <w:lang w:val="en-US" w:eastAsia="zh-CN"/>
              </w:rPr>
              <w:t>采用生物菌床垫料、</w:t>
            </w:r>
            <w:r>
              <w:rPr>
                <w:rFonts w:hint="default" w:ascii="Times New Roman" w:hAnsi="Times New Roman" w:eastAsia="宋体" w:cs="Times New Roman"/>
                <w:color w:val="auto"/>
                <w:highlight w:val="none"/>
              </w:rPr>
              <w:t>加强牛舍通风、喷洒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除臭剂、微生物菌剂</w:t>
            </w:r>
          </w:p>
        </w:tc>
        <w:tc>
          <w:tcPr>
            <w:tcW w:w="428" w:type="pct"/>
            <w:shd w:val="clear" w:color="auto" w:fill="auto"/>
            <w:vAlign w:val="center"/>
          </w:tcPr>
          <w:p w14:paraId="6F33F6C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74F9A5DE">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0.631</w:t>
            </w:r>
            <w:r>
              <w:rPr>
                <w:rFonts w:hint="default" w:ascii="Times New Roman" w:hAnsi="Times New Roman" w:eastAsia="宋体" w:cs="Times New Roman"/>
                <w:color w:val="auto"/>
                <w:highlight w:val="none"/>
              </w:rPr>
              <w:t>t/a</w:t>
            </w:r>
          </w:p>
        </w:tc>
        <w:tc>
          <w:tcPr>
            <w:tcW w:w="1199" w:type="pct"/>
            <w:vMerge w:val="restart"/>
            <w:shd w:val="clear" w:color="auto" w:fill="auto"/>
            <w:vAlign w:val="center"/>
          </w:tcPr>
          <w:p w14:paraId="30B5103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无组织排放臭气浓度《畜禽养殖业污染物排放标准》表7中集约化畜禽养殖业恶臭污染物排放标准值，硫化氢、氨在场界浓度满足《恶臭污染物排放标准》（GB14554-93）表1中二级新扩改建标准。</w:t>
            </w:r>
          </w:p>
        </w:tc>
      </w:tr>
      <w:tr w14:paraId="79227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6EC19C18">
            <w:pPr>
              <w:pStyle w:val="146"/>
              <w:rPr>
                <w:rFonts w:hint="default" w:ascii="Times New Roman" w:hAnsi="Times New Roman" w:eastAsia="宋体" w:cs="Times New Roman"/>
                <w:snapToGrid w:val="0"/>
                <w:color w:val="auto"/>
                <w:highlight w:val="none"/>
              </w:rPr>
            </w:pPr>
          </w:p>
        </w:tc>
        <w:tc>
          <w:tcPr>
            <w:tcW w:w="696" w:type="pct"/>
            <w:gridSpan w:val="2"/>
            <w:vMerge w:val="continue"/>
            <w:shd w:val="clear" w:color="auto" w:fill="auto"/>
            <w:vAlign w:val="center"/>
          </w:tcPr>
          <w:p w14:paraId="538F5C53">
            <w:pPr>
              <w:pStyle w:val="146"/>
              <w:rPr>
                <w:rFonts w:hint="default" w:ascii="Times New Roman" w:hAnsi="Times New Roman" w:eastAsia="宋体" w:cs="Times New Roman"/>
                <w:snapToGrid w:val="0"/>
                <w:color w:val="auto"/>
                <w:highlight w:val="none"/>
              </w:rPr>
            </w:pPr>
          </w:p>
        </w:tc>
        <w:tc>
          <w:tcPr>
            <w:tcW w:w="375" w:type="pct"/>
            <w:shd w:val="clear" w:color="auto" w:fill="auto"/>
            <w:vAlign w:val="center"/>
          </w:tcPr>
          <w:p w14:paraId="4FA7498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391" w:type="pct"/>
            <w:vMerge w:val="continue"/>
            <w:shd w:val="clear" w:color="auto" w:fill="auto"/>
            <w:vAlign w:val="center"/>
          </w:tcPr>
          <w:p w14:paraId="4B47418B">
            <w:pPr>
              <w:pStyle w:val="146"/>
              <w:rPr>
                <w:rFonts w:hint="default" w:ascii="Times New Roman" w:hAnsi="Times New Roman" w:eastAsia="宋体" w:cs="Times New Roman"/>
                <w:snapToGrid w:val="0"/>
                <w:color w:val="auto"/>
                <w:highlight w:val="none"/>
              </w:rPr>
            </w:pPr>
          </w:p>
        </w:tc>
        <w:tc>
          <w:tcPr>
            <w:tcW w:w="428" w:type="pct"/>
            <w:shd w:val="clear" w:color="auto" w:fill="auto"/>
            <w:vAlign w:val="center"/>
          </w:tcPr>
          <w:p w14:paraId="110798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69895120">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0.014</w:t>
            </w:r>
            <w:r>
              <w:rPr>
                <w:rFonts w:hint="default" w:ascii="Times New Roman" w:hAnsi="Times New Roman" w:eastAsia="宋体" w:cs="Times New Roman"/>
                <w:color w:val="auto"/>
                <w:highlight w:val="none"/>
              </w:rPr>
              <w:t>t/a</w:t>
            </w:r>
          </w:p>
        </w:tc>
        <w:tc>
          <w:tcPr>
            <w:tcW w:w="1199" w:type="pct"/>
            <w:vMerge w:val="continue"/>
            <w:shd w:val="clear" w:color="auto" w:fill="auto"/>
            <w:vAlign w:val="center"/>
          </w:tcPr>
          <w:p w14:paraId="7ECAFA96">
            <w:pPr>
              <w:pStyle w:val="146"/>
              <w:rPr>
                <w:rFonts w:hint="default" w:ascii="Times New Roman" w:hAnsi="Times New Roman" w:eastAsia="宋体" w:cs="Times New Roman"/>
                <w:snapToGrid w:val="0"/>
                <w:color w:val="auto"/>
                <w:highlight w:val="none"/>
              </w:rPr>
            </w:pPr>
          </w:p>
        </w:tc>
      </w:tr>
      <w:tr w14:paraId="0C4F7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2B7B064A">
            <w:pPr>
              <w:pStyle w:val="146"/>
              <w:rPr>
                <w:rFonts w:hint="default" w:ascii="Times New Roman" w:hAnsi="Times New Roman" w:eastAsia="宋体" w:cs="Times New Roman"/>
                <w:snapToGrid w:val="0"/>
                <w:color w:val="auto"/>
                <w:highlight w:val="none"/>
              </w:rPr>
            </w:pPr>
          </w:p>
        </w:tc>
        <w:tc>
          <w:tcPr>
            <w:tcW w:w="320" w:type="pct"/>
            <w:vMerge w:val="restart"/>
            <w:shd w:val="clear" w:color="auto" w:fill="auto"/>
            <w:vAlign w:val="center"/>
          </w:tcPr>
          <w:p w14:paraId="19F3B6A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堆肥间</w:t>
            </w:r>
          </w:p>
        </w:tc>
        <w:tc>
          <w:tcPr>
            <w:tcW w:w="375" w:type="pct"/>
            <w:vMerge w:val="restart"/>
            <w:shd w:val="clear" w:color="auto" w:fill="auto"/>
            <w:vAlign w:val="center"/>
          </w:tcPr>
          <w:p w14:paraId="011FE37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有组织</w:t>
            </w:r>
          </w:p>
        </w:tc>
        <w:tc>
          <w:tcPr>
            <w:tcW w:w="375" w:type="pct"/>
            <w:shd w:val="clear" w:color="auto" w:fill="auto"/>
            <w:vAlign w:val="center"/>
          </w:tcPr>
          <w:p w14:paraId="2B52311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391" w:type="pct"/>
            <w:vMerge w:val="restart"/>
            <w:shd w:val="clear" w:color="auto" w:fill="auto"/>
            <w:vAlign w:val="center"/>
          </w:tcPr>
          <w:p w14:paraId="2526808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堆肥间设置</w:t>
            </w:r>
            <w:r>
              <w:rPr>
                <w:rFonts w:hint="default" w:ascii="Times New Roman" w:hAnsi="Times New Roman" w:eastAsia="宋体" w:cs="Times New Roman"/>
                <w:snapToGrid w:val="0"/>
                <w:color w:val="auto"/>
                <w:highlight w:val="none"/>
                <w:lang w:val="en-US" w:eastAsia="zh-CN"/>
              </w:rPr>
              <w:t>负压收集装置</w:t>
            </w:r>
            <w:r>
              <w:rPr>
                <w:rFonts w:hint="default" w:ascii="Times New Roman" w:hAnsi="Times New Roman" w:eastAsia="宋体" w:cs="Times New Roman"/>
                <w:snapToGrid w:val="0"/>
                <w:color w:val="auto"/>
                <w:highlight w:val="none"/>
              </w:rPr>
              <w:t>，恶臭气体经活性炭吸附装置</w:t>
            </w:r>
            <w:r>
              <w:rPr>
                <w:rFonts w:hint="default" w:ascii="Times New Roman" w:hAnsi="Times New Roman" w:eastAsia="宋体" w:cs="Times New Roman"/>
                <w:snapToGrid w:val="0"/>
                <w:color w:val="auto"/>
                <w:highlight w:val="none"/>
                <w:lang w:val="en-US" w:eastAsia="zh-CN"/>
              </w:rPr>
              <w:t>TA00</w:t>
            </w:r>
            <w:r>
              <w:rPr>
                <w:rFonts w:hint="eastAsia"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处理后由15m高排气筒DA00</w:t>
            </w:r>
            <w:r>
              <w:rPr>
                <w:rFonts w:hint="eastAsia"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排放。</w:t>
            </w:r>
          </w:p>
        </w:tc>
        <w:tc>
          <w:tcPr>
            <w:tcW w:w="428" w:type="pct"/>
            <w:shd w:val="clear" w:color="auto" w:fill="auto"/>
            <w:vAlign w:val="center"/>
          </w:tcPr>
          <w:p w14:paraId="6D68E9B8">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590" w:type="pct"/>
            <w:shd w:val="clear" w:color="auto" w:fill="auto"/>
            <w:vAlign w:val="center"/>
          </w:tcPr>
          <w:p w14:paraId="49942FCC">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0.394</w:t>
            </w:r>
            <w:r>
              <w:rPr>
                <w:rFonts w:hint="default" w:ascii="Times New Roman" w:hAnsi="Times New Roman" w:eastAsia="宋体" w:cs="Times New Roman"/>
                <w:color w:val="auto"/>
                <w:highlight w:val="none"/>
              </w:rPr>
              <w:t>t/a</w:t>
            </w:r>
          </w:p>
        </w:tc>
        <w:tc>
          <w:tcPr>
            <w:tcW w:w="1199" w:type="pct"/>
            <w:vMerge w:val="restart"/>
            <w:shd w:val="clear" w:color="auto" w:fill="auto"/>
            <w:vAlign w:val="center"/>
          </w:tcPr>
          <w:p w14:paraId="5C2FDB9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氨排放速率执行《恶臭污染物排放标准》（GB14554-93）表2中15m高排气筒标准要求、臭气浓度执行《恶臭污染物排放标准》（GB14554-93）表2中15m高排气筒标准要求。无组织排放臭气浓度《畜禽养殖业污染物排放标准》表7中集约化畜禽养殖业恶臭污染物排放标准值，硫化氢、氨在场界浓度满足《恶臭污染物排放标准》（GB14554-93）表1中二级新扩改建标准。</w:t>
            </w:r>
          </w:p>
        </w:tc>
      </w:tr>
      <w:tr w14:paraId="6C917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4B618CAE">
            <w:pPr>
              <w:pStyle w:val="146"/>
              <w:rPr>
                <w:rFonts w:hint="default" w:ascii="Times New Roman" w:hAnsi="Times New Roman" w:eastAsia="宋体" w:cs="Times New Roman"/>
                <w:snapToGrid w:val="0"/>
                <w:color w:val="auto"/>
                <w:highlight w:val="none"/>
              </w:rPr>
            </w:pPr>
          </w:p>
        </w:tc>
        <w:tc>
          <w:tcPr>
            <w:tcW w:w="320" w:type="pct"/>
            <w:vMerge w:val="continue"/>
            <w:shd w:val="clear" w:color="auto" w:fill="auto"/>
            <w:vAlign w:val="center"/>
          </w:tcPr>
          <w:p w14:paraId="37E236B3">
            <w:pPr>
              <w:pStyle w:val="146"/>
              <w:rPr>
                <w:rFonts w:hint="default" w:ascii="Times New Roman" w:hAnsi="Times New Roman" w:eastAsia="宋体" w:cs="Times New Roman"/>
                <w:snapToGrid w:val="0"/>
                <w:color w:val="auto"/>
                <w:highlight w:val="none"/>
              </w:rPr>
            </w:pPr>
          </w:p>
        </w:tc>
        <w:tc>
          <w:tcPr>
            <w:tcW w:w="375" w:type="pct"/>
            <w:vMerge w:val="continue"/>
            <w:shd w:val="clear" w:color="auto" w:fill="auto"/>
            <w:vAlign w:val="center"/>
          </w:tcPr>
          <w:p w14:paraId="6D692B88">
            <w:pPr>
              <w:pStyle w:val="146"/>
              <w:rPr>
                <w:rFonts w:hint="default" w:ascii="Times New Roman" w:hAnsi="Times New Roman" w:eastAsia="宋体" w:cs="Times New Roman"/>
                <w:snapToGrid w:val="0"/>
                <w:color w:val="auto"/>
                <w:highlight w:val="none"/>
              </w:rPr>
            </w:pPr>
          </w:p>
        </w:tc>
        <w:tc>
          <w:tcPr>
            <w:tcW w:w="375" w:type="pct"/>
            <w:shd w:val="clear" w:color="auto" w:fill="auto"/>
            <w:vAlign w:val="center"/>
          </w:tcPr>
          <w:p w14:paraId="2A7D19E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391" w:type="pct"/>
            <w:vMerge w:val="continue"/>
            <w:shd w:val="clear" w:color="auto" w:fill="auto"/>
            <w:vAlign w:val="center"/>
          </w:tcPr>
          <w:p w14:paraId="78C39085">
            <w:pPr>
              <w:pStyle w:val="146"/>
              <w:rPr>
                <w:rFonts w:hint="default" w:ascii="Times New Roman" w:hAnsi="Times New Roman" w:eastAsia="宋体" w:cs="Times New Roman"/>
                <w:color w:val="auto"/>
                <w:highlight w:val="none"/>
              </w:rPr>
            </w:pPr>
          </w:p>
        </w:tc>
        <w:tc>
          <w:tcPr>
            <w:tcW w:w="428" w:type="pct"/>
            <w:shd w:val="clear" w:color="auto" w:fill="auto"/>
            <w:vAlign w:val="center"/>
          </w:tcPr>
          <w:p w14:paraId="0F3BBFAB">
            <w:pPr>
              <w:pStyle w:val="146"/>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w:t>
            </w:r>
          </w:p>
        </w:tc>
        <w:tc>
          <w:tcPr>
            <w:tcW w:w="590" w:type="pct"/>
            <w:shd w:val="clear" w:color="auto" w:fill="auto"/>
            <w:vAlign w:val="center"/>
          </w:tcPr>
          <w:p w14:paraId="6B81146B">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0.040</w:t>
            </w:r>
            <w:r>
              <w:rPr>
                <w:rFonts w:hint="default" w:ascii="Times New Roman" w:hAnsi="Times New Roman" w:eastAsia="宋体" w:cs="Times New Roman"/>
                <w:color w:val="auto"/>
                <w:highlight w:val="none"/>
              </w:rPr>
              <w:t>t/a</w:t>
            </w:r>
          </w:p>
        </w:tc>
        <w:tc>
          <w:tcPr>
            <w:tcW w:w="1199" w:type="pct"/>
            <w:vMerge w:val="continue"/>
            <w:shd w:val="clear" w:color="auto" w:fill="auto"/>
            <w:vAlign w:val="center"/>
          </w:tcPr>
          <w:p w14:paraId="7FC5CCE9">
            <w:pPr>
              <w:pStyle w:val="146"/>
              <w:rPr>
                <w:rFonts w:hint="default" w:ascii="Times New Roman" w:hAnsi="Times New Roman" w:eastAsia="宋体" w:cs="Times New Roman"/>
                <w:snapToGrid w:val="0"/>
                <w:color w:val="auto"/>
                <w:highlight w:val="none"/>
              </w:rPr>
            </w:pPr>
          </w:p>
        </w:tc>
      </w:tr>
      <w:tr w14:paraId="7A4A9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4D5A016F">
            <w:pPr>
              <w:pStyle w:val="146"/>
              <w:rPr>
                <w:rFonts w:hint="default" w:ascii="Times New Roman" w:hAnsi="Times New Roman" w:eastAsia="宋体" w:cs="Times New Roman"/>
                <w:snapToGrid w:val="0"/>
                <w:color w:val="auto"/>
                <w:highlight w:val="none"/>
              </w:rPr>
            </w:pPr>
          </w:p>
        </w:tc>
        <w:tc>
          <w:tcPr>
            <w:tcW w:w="320" w:type="pct"/>
            <w:vMerge w:val="continue"/>
            <w:shd w:val="clear" w:color="auto" w:fill="auto"/>
            <w:vAlign w:val="center"/>
          </w:tcPr>
          <w:p w14:paraId="1271F4B0">
            <w:pPr>
              <w:pStyle w:val="146"/>
              <w:rPr>
                <w:rFonts w:hint="default" w:ascii="Times New Roman" w:hAnsi="Times New Roman" w:eastAsia="宋体" w:cs="Times New Roman"/>
                <w:snapToGrid w:val="0"/>
                <w:color w:val="auto"/>
                <w:highlight w:val="none"/>
              </w:rPr>
            </w:pPr>
          </w:p>
        </w:tc>
        <w:tc>
          <w:tcPr>
            <w:tcW w:w="375" w:type="pct"/>
            <w:vMerge w:val="restart"/>
            <w:shd w:val="clear" w:color="auto" w:fill="auto"/>
            <w:vAlign w:val="center"/>
          </w:tcPr>
          <w:p w14:paraId="5B7DEE1F">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无组织</w:t>
            </w:r>
          </w:p>
        </w:tc>
        <w:tc>
          <w:tcPr>
            <w:tcW w:w="375" w:type="pct"/>
            <w:shd w:val="clear" w:color="auto" w:fill="auto"/>
            <w:vAlign w:val="center"/>
          </w:tcPr>
          <w:p w14:paraId="7C971C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391" w:type="pct"/>
            <w:vMerge w:val="restart"/>
            <w:shd w:val="clear" w:color="auto" w:fill="auto"/>
            <w:vAlign w:val="center"/>
          </w:tcPr>
          <w:p w14:paraId="3535DDDE">
            <w:pPr>
              <w:pStyle w:val="146"/>
              <w:rPr>
                <w:rFonts w:hint="eastAsia" w:ascii="Times New Roman" w:hAnsi="Times New Roman" w:eastAsia="仿宋" w:cs="Times New Roman"/>
                <w:color w:val="auto"/>
                <w:highlight w:val="none"/>
                <w:lang w:eastAsia="zh-CN"/>
              </w:rPr>
            </w:pPr>
            <w:r>
              <w:rPr>
                <w:rFonts w:hint="default" w:ascii="Times New Roman" w:hAnsi="Times New Roman" w:eastAsia="宋体" w:cs="Times New Roman"/>
                <w:color w:val="auto"/>
                <w:highlight w:val="none"/>
              </w:rPr>
              <w:t>牛舍采用畜禽养殖生物发酵床技术</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及时清粪、保持牛舍清洁、合理调配饲料、饲料中添加EM菌、定期喷洒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除臭剂、绿化措施</w:t>
            </w:r>
          </w:p>
        </w:tc>
        <w:tc>
          <w:tcPr>
            <w:tcW w:w="428" w:type="pct"/>
            <w:vMerge w:val="restart"/>
            <w:shd w:val="clear" w:color="auto" w:fill="auto"/>
            <w:vAlign w:val="center"/>
          </w:tcPr>
          <w:p w14:paraId="1BF3EFD6">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305C51C8">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0.126</w:t>
            </w:r>
            <w:r>
              <w:rPr>
                <w:rFonts w:hint="default" w:ascii="Times New Roman" w:hAnsi="Times New Roman" w:eastAsia="宋体" w:cs="Times New Roman"/>
                <w:color w:val="auto"/>
                <w:highlight w:val="none"/>
              </w:rPr>
              <w:t>t/a</w:t>
            </w:r>
          </w:p>
        </w:tc>
        <w:tc>
          <w:tcPr>
            <w:tcW w:w="1199" w:type="pct"/>
            <w:vMerge w:val="continue"/>
            <w:shd w:val="clear" w:color="auto" w:fill="auto"/>
            <w:vAlign w:val="center"/>
          </w:tcPr>
          <w:p w14:paraId="7B2F7F56">
            <w:pPr>
              <w:pStyle w:val="146"/>
              <w:rPr>
                <w:rFonts w:hint="default" w:ascii="Times New Roman" w:hAnsi="Times New Roman" w:eastAsia="宋体" w:cs="Times New Roman"/>
                <w:snapToGrid w:val="0"/>
                <w:color w:val="auto"/>
                <w:highlight w:val="none"/>
              </w:rPr>
            </w:pPr>
          </w:p>
        </w:tc>
      </w:tr>
      <w:tr w14:paraId="04C06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3E45C205">
            <w:pPr>
              <w:pStyle w:val="146"/>
              <w:rPr>
                <w:rFonts w:hint="default" w:ascii="Times New Roman" w:hAnsi="Times New Roman" w:eastAsia="宋体" w:cs="Times New Roman"/>
                <w:snapToGrid w:val="0"/>
                <w:color w:val="auto"/>
                <w:highlight w:val="none"/>
              </w:rPr>
            </w:pPr>
          </w:p>
        </w:tc>
        <w:tc>
          <w:tcPr>
            <w:tcW w:w="320" w:type="pct"/>
            <w:vMerge w:val="continue"/>
            <w:shd w:val="clear" w:color="auto" w:fill="auto"/>
            <w:vAlign w:val="center"/>
          </w:tcPr>
          <w:p w14:paraId="3A78D9D5">
            <w:pPr>
              <w:pStyle w:val="146"/>
              <w:rPr>
                <w:rFonts w:hint="default" w:ascii="Times New Roman" w:hAnsi="Times New Roman" w:eastAsia="宋体" w:cs="Times New Roman"/>
                <w:snapToGrid w:val="0"/>
                <w:color w:val="auto"/>
                <w:highlight w:val="none"/>
              </w:rPr>
            </w:pPr>
          </w:p>
        </w:tc>
        <w:tc>
          <w:tcPr>
            <w:tcW w:w="375" w:type="pct"/>
            <w:vMerge w:val="continue"/>
            <w:shd w:val="clear" w:color="auto" w:fill="auto"/>
            <w:vAlign w:val="center"/>
          </w:tcPr>
          <w:p w14:paraId="5E50470E">
            <w:pPr>
              <w:pStyle w:val="146"/>
              <w:rPr>
                <w:rFonts w:hint="default" w:ascii="Times New Roman" w:hAnsi="Times New Roman" w:eastAsia="宋体" w:cs="Times New Roman"/>
                <w:snapToGrid w:val="0"/>
                <w:color w:val="auto"/>
                <w:highlight w:val="none"/>
              </w:rPr>
            </w:pPr>
          </w:p>
        </w:tc>
        <w:tc>
          <w:tcPr>
            <w:tcW w:w="375" w:type="pct"/>
            <w:shd w:val="clear" w:color="auto" w:fill="auto"/>
            <w:vAlign w:val="center"/>
          </w:tcPr>
          <w:p w14:paraId="3220B9F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391" w:type="pct"/>
            <w:vMerge w:val="continue"/>
            <w:shd w:val="clear" w:color="auto" w:fill="auto"/>
            <w:vAlign w:val="center"/>
          </w:tcPr>
          <w:p w14:paraId="750B069A">
            <w:pPr>
              <w:pStyle w:val="146"/>
              <w:rPr>
                <w:rFonts w:hint="default" w:ascii="Times New Roman" w:hAnsi="Times New Roman" w:eastAsia="宋体" w:cs="Times New Roman"/>
                <w:color w:val="auto"/>
                <w:highlight w:val="none"/>
              </w:rPr>
            </w:pPr>
          </w:p>
        </w:tc>
        <w:tc>
          <w:tcPr>
            <w:tcW w:w="428" w:type="pct"/>
            <w:vMerge w:val="continue"/>
            <w:shd w:val="clear" w:color="auto" w:fill="auto"/>
            <w:vAlign w:val="center"/>
          </w:tcPr>
          <w:p w14:paraId="33C3E49E">
            <w:pPr>
              <w:pStyle w:val="146"/>
              <w:rPr>
                <w:rFonts w:hint="default" w:ascii="Times New Roman" w:hAnsi="Times New Roman" w:eastAsia="宋体" w:cs="Times New Roman"/>
                <w:snapToGrid w:val="0"/>
                <w:color w:val="auto"/>
                <w:highlight w:val="none"/>
              </w:rPr>
            </w:pPr>
          </w:p>
        </w:tc>
        <w:tc>
          <w:tcPr>
            <w:tcW w:w="590" w:type="pct"/>
            <w:shd w:val="clear" w:color="auto" w:fill="auto"/>
            <w:vAlign w:val="center"/>
          </w:tcPr>
          <w:p w14:paraId="5BD507EB">
            <w:pPr>
              <w:pStyle w:val="146"/>
              <w:rPr>
                <w:rFonts w:hint="default" w:ascii="Times New Roman" w:hAnsi="Times New Roman" w:eastAsia="宋体" w:cs="Times New Roman"/>
                <w:color w:val="auto"/>
                <w:highlight w:val="none"/>
              </w:rPr>
            </w:pPr>
            <w:r>
              <w:rPr>
                <w:rFonts w:hint="eastAsia" w:eastAsia="宋体" w:cs="Times New Roman"/>
                <w:color w:val="auto"/>
                <w:highlight w:val="none"/>
                <w:lang w:val="en-US" w:eastAsia="zh-CN"/>
              </w:rPr>
              <w:t>0.0019</w:t>
            </w:r>
            <w:r>
              <w:rPr>
                <w:rFonts w:hint="default" w:ascii="Times New Roman" w:hAnsi="Times New Roman" w:eastAsia="宋体" w:cs="Times New Roman"/>
                <w:color w:val="auto"/>
                <w:highlight w:val="none"/>
              </w:rPr>
              <w:t>t/a</w:t>
            </w:r>
          </w:p>
        </w:tc>
        <w:tc>
          <w:tcPr>
            <w:tcW w:w="1199" w:type="pct"/>
            <w:vMerge w:val="continue"/>
            <w:shd w:val="clear" w:color="auto" w:fill="auto"/>
            <w:vAlign w:val="center"/>
          </w:tcPr>
          <w:p w14:paraId="50450AA3">
            <w:pPr>
              <w:pStyle w:val="146"/>
              <w:rPr>
                <w:rFonts w:hint="default" w:ascii="Times New Roman" w:hAnsi="Times New Roman" w:eastAsia="宋体" w:cs="Times New Roman"/>
                <w:snapToGrid w:val="0"/>
                <w:color w:val="auto"/>
                <w:highlight w:val="none"/>
              </w:rPr>
            </w:pPr>
          </w:p>
        </w:tc>
      </w:tr>
      <w:tr w14:paraId="31B88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shd w:val="clear" w:color="auto" w:fill="auto"/>
            <w:vAlign w:val="center"/>
          </w:tcPr>
          <w:p w14:paraId="3A8F7B4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1071" w:type="pct"/>
            <w:gridSpan w:val="3"/>
            <w:shd w:val="clear" w:color="auto" w:fill="auto"/>
            <w:vAlign w:val="center"/>
          </w:tcPr>
          <w:p w14:paraId="7AC3534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场界噪声</w:t>
            </w:r>
          </w:p>
        </w:tc>
        <w:tc>
          <w:tcPr>
            <w:tcW w:w="1391" w:type="pct"/>
            <w:shd w:val="clear" w:color="auto" w:fill="auto"/>
            <w:vAlign w:val="center"/>
          </w:tcPr>
          <w:p w14:paraId="7AF7847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隔声、减振，加强场区绿化</w:t>
            </w:r>
          </w:p>
        </w:tc>
        <w:tc>
          <w:tcPr>
            <w:tcW w:w="428" w:type="pct"/>
            <w:shd w:val="clear" w:color="auto" w:fill="auto"/>
            <w:vAlign w:val="center"/>
          </w:tcPr>
          <w:p w14:paraId="2FD7E12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2EF586C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昼间≤</w:t>
            </w:r>
            <w:r>
              <w:rPr>
                <w:rFonts w:hint="default" w:ascii="Times New Roman" w:hAnsi="Times New Roman" w:eastAsia="宋体" w:cs="Times New Roman"/>
                <w:snapToGrid w:val="0"/>
                <w:color w:val="auto"/>
                <w:highlight w:val="none"/>
                <w:lang w:val="en-US" w:eastAsia="zh-CN"/>
              </w:rPr>
              <w:t>55</w:t>
            </w:r>
            <w:r>
              <w:rPr>
                <w:rFonts w:hint="default" w:ascii="Times New Roman" w:hAnsi="Times New Roman" w:eastAsia="宋体" w:cs="Times New Roman"/>
                <w:snapToGrid w:val="0"/>
                <w:color w:val="auto"/>
                <w:highlight w:val="none"/>
              </w:rPr>
              <w:t>dB(A)</w:t>
            </w:r>
          </w:p>
          <w:p w14:paraId="20CC25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夜间≤</w:t>
            </w:r>
            <w:r>
              <w:rPr>
                <w:rFonts w:hint="default" w:ascii="Times New Roman" w:hAnsi="Times New Roman" w:eastAsia="宋体" w:cs="Times New Roman"/>
                <w:snapToGrid w:val="0"/>
                <w:color w:val="auto"/>
                <w:highlight w:val="none"/>
                <w:lang w:val="en-US" w:eastAsia="zh-CN"/>
              </w:rPr>
              <w:t>45</w:t>
            </w:r>
            <w:r>
              <w:rPr>
                <w:rFonts w:hint="default" w:ascii="Times New Roman" w:hAnsi="Times New Roman" w:eastAsia="宋体" w:cs="Times New Roman"/>
                <w:snapToGrid w:val="0"/>
                <w:color w:val="auto"/>
                <w:highlight w:val="none"/>
              </w:rPr>
              <w:t>dB(A)</w:t>
            </w:r>
          </w:p>
        </w:tc>
        <w:tc>
          <w:tcPr>
            <w:tcW w:w="1199" w:type="pct"/>
            <w:shd w:val="clear" w:color="auto" w:fill="auto"/>
            <w:vAlign w:val="center"/>
          </w:tcPr>
          <w:p w14:paraId="5021CBF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满足《工业企业厂界环境噪声排放标准》表1中的</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类标准。</w:t>
            </w:r>
          </w:p>
        </w:tc>
      </w:tr>
      <w:tr w14:paraId="01E05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restart"/>
            <w:shd w:val="clear" w:color="auto" w:fill="auto"/>
            <w:vAlign w:val="center"/>
          </w:tcPr>
          <w:p w14:paraId="56B744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1071" w:type="pct"/>
            <w:gridSpan w:val="3"/>
            <w:shd w:val="clear" w:color="auto" w:fill="auto"/>
            <w:vAlign w:val="center"/>
          </w:tcPr>
          <w:p w14:paraId="1223B597">
            <w:pPr>
              <w:pStyle w:val="146"/>
              <w:rPr>
                <w:rFonts w:hint="eastAsia" w:ascii="Times New Roman" w:hAnsi="Times New Roman" w:eastAsia="宋体" w:cs="Times New Roman"/>
                <w:snapToGrid w:val="0"/>
                <w:color w:val="auto"/>
                <w:highlight w:val="none"/>
                <w:lang w:eastAsia="zh-CN"/>
              </w:rPr>
            </w:pPr>
            <w:r>
              <w:rPr>
                <w:rFonts w:hint="eastAsia" w:eastAsia="宋体" w:cs="Times New Roman"/>
                <w:snapToGrid w:val="0"/>
                <w:color w:val="auto"/>
                <w:highlight w:val="none"/>
                <w:lang w:val="en-US" w:eastAsia="zh-CN"/>
              </w:rPr>
              <w:t>含粪污废垫料</w:t>
            </w:r>
          </w:p>
        </w:tc>
        <w:tc>
          <w:tcPr>
            <w:tcW w:w="1391" w:type="pct"/>
            <w:shd w:val="clear" w:color="auto" w:fill="auto"/>
            <w:vAlign w:val="center"/>
          </w:tcPr>
          <w:p w14:paraId="4095D947">
            <w:pPr>
              <w:pStyle w:val="146"/>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运至堆肥</w:t>
            </w:r>
            <w:r>
              <w:rPr>
                <w:rFonts w:hint="default" w:ascii="Times New Roman" w:hAnsi="Times New Roman" w:eastAsia="宋体" w:cs="Times New Roman"/>
                <w:snapToGrid w:val="0"/>
                <w:color w:val="auto"/>
                <w:highlight w:val="none"/>
                <w:lang w:val="en-US" w:eastAsia="zh-CN"/>
              </w:rPr>
              <w:t>间</w:t>
            </w:r>
            <w:r>
              <w:rPr>
                <w:rFonts w:hint="default" w:ascii="Times New Roman" w:hAnsi="Times New Roman" w:eastAsia="宋体" w:cs="Times New Roman"/>
                <w:snapToGrid w:val="0"/>
                <w:color w:val="auto"/>
                <w:highlight w:val="none"/>
              </w:rPr>
              <w:t>生产</w:t>
            </w:r>
            <w:r>
              <w:rPr>
                <w:rFonts w:hint="default" w:ascii="Times New Roman" w:hAnsi="Times New Roman" w:eastAsia="宋体" w:cs="Times New Roman"/>
                <w:snapToGrid w:val="0"/>
                <w:color w:val="auto"/>
                <w:highlight w:val="none"/>
                <w:lang w:eastAsia="zh-CN"/>
              </w:rPr>
              <w:t>固体粪肥</w:t>
            </w:r>
          </w:p>
        </w:tc>
        <w:tc>
          <w:tcPr>
            <w:tcW w:w="428" w:type="pct"/>
            <w:shd w:val="clear" w:color="auto" w:fill="auto"/>
            <w:vAlign w:val="center"/>
          </w:tcPr>
          <w:p w14:paraId="790810A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154D339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99" w:type="pct"/>
            <w:vMerge w:val="restart"/>
            <w:shd w:val="clear" w:color="auto" w:fill="auto"/>
            <w:vAlign w:val="center"/>
          </w:tcPr>
          <w:p w14:paraId="46AFC87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固废处置率100%</w:t>
            </w:r>
          </w:p>
        </w:tc>
      </w:tr>
      <w:tr w14:paraId="0EC1C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1EC80CC9">
            <w:pPr>
              <w:pStyle w:val="146"/>
              <w:rPr>
                <w:rFonts w:hint="default" w:ascii="Times New Roman" w:hAnsi="Times New Roman" w:eastAsia="宋体" w:cs="Times New Roman"/>
                <w:snapToGrid w:val="0"/>
                <w:color w:val="auto"/>
                <w:highlight w:val="none"/>
              </w:rPr>
            </w:pPr>
          </w:p>
        </w:tc>
        <w:tc>
          <w:tcPr>
            <w:tcW w:w="1071" w:type="pct"/>
            <w:gridSpan w:val="3"/>
            <w:shd w:val="clear" w:color="auto" w:fill="auto"/>
            <w:vAlign w:val="center"/>
          </w:tcPr>
          <w:p w14:paraId="55F764B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c>
          <w:tcPr>
            <w:tcW w:w="1391" w:type="pct"/>
            <w:shd w:val="clear" w:color="auto" w:fill="auto"/>
            <w:vAlign w:val="center"/>
          </w:tcPr>
          <w:p w14:paraId="021F02F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由市政环卫部门统一清运处理</w:t>
            </w:r>
          </w:p>
        </w:tc>
        <w:tc>
          <w:tcPr>
            <w:tcW w:w="428" w:type="pct"/>
            <w:shd w:val="clear" w:color="auto" w:fill="auto"/>
            <w:vAlign w:val="center"/>
          </w:tcPr>
          <w:p w14:paraId="0BE0A7C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46AF773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99" w:type="pct"/>
            <w:vMerge w:val="continue"/>
            <w:shd w:val="clear" w:color="auto" w:fill="auto"/>
            <w:vAlign w:val="center"/>
          </w:tcPr>
          <w:p w14:paraId="585A695B">
            <w:pPr>
              <w:pStyle w:val="146"/>
              <w:rPr>
                <w:rFonts w:hint="default" w:ascii="Times New Roman" w:hAnsi="Times New Roman" w:eastAsia="宋体" w:cs="Times New Roman"/>
                <w:snapToGrid w:val="0"/>
                <w:color w:val="auto"/>
                <w:highlight w:val="none"/>
              </w:rPr>
            </w:pPr>
          </w:p>
        </w:tc>
      </w:tr>
      <w:tr w14:paraId="48D3F0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7FF31AFE">
            <w:pPr>
              <w:pStyle w:val="146"/>
              <w:rPr>
                <w:rFonts w:hint="default" w:ascii="Times New Roman" w:hAnsi="Times New Roman" w:eastAsia="宋体" w:cs="Times New Roman"/>
                <w:snapToGrid w:val="0"/>
                <w:color w:val="auto"/>
                <w:highlight w:val="none"/>
              </w:rPr>
            </w:pPr>
          </w:p>
        </w:tc>
        <w:tc>
          <w:tcPr>
            <w:tcW w:w="1071" w:type="pct"/>
            <w:gridSpan w:val="3"/>
            <w:shd w:val="clear" w:color="auto" w:fill="auto"/>
            <w:vAlign w:val="center"/>
          </w:tcPr>
          <w:p w14:paraId="7E2915B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病死牛</w:t>
            </w:r>
          </w:p>
        </w:tc>
        <w:tc>
          <w:tcPr>
            <w:tcW w:w="1391" w:type="pct"/>
            <w:shd w:val="clear" w:color="auto" w:fill="auto"/>
            <w:vAlign w:val="center"/>
          </w:tcPr>
          <w:p w14:paraId="6B7A0BE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委托有资质单位进行无害化处理</w:t>
            </w:r>
          </w:p>
        </w:tc>
        <w:tc>
          <w:tcPr>
            <w:tcW w:w="428" w:type="pct"/>
            <w:shd w:val="clear" w:color="auto" w:fill="auto"/>
            <w:vAlign w:val="center"/>
          </w:tcPr>
          <w:p w14:paraId="03A78FF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2E9E609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99" w:type="pct"/>
            <w:vMerge w:val="continue"/>
            <w:shd w:val="clear" w:color="auto" w:fill="auto"/>
            <w:vAlign w:val="center"/>
          </w:tcPr>
          <w:p w14:paraId="143600A9">
            <w:pPr>
              <w:pStyle w:val="146"/>
              <w:rPr>
                <w:rFonts w:hint="default" w:ascii="Times New Roman" w:hAnsi="Times New Roman" w:eastAsia="宋体" w:cs="Times New Roman"/>
                <w:snapToGrid w:val="0"/>
                <w:color w:val="auto"/>
                <w:highlight w:val="none"/>
              </w:rPr>
            </w:pPr>
          </w:p>
        </w:tc>
      </w:tr>
      <w:tr w14:paraId="49A82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3C22BAD2">
            <w:pPr>
              <w:pStyle w:val="146"/>
              <w:rPr>
                <w:rFonts w:hint="default" w:ascii="Times New Roman" w:hAnsi="Times New Roman" w:eastAsia="宋体" w:cs="Times New Roman"/>
                <w:snapToGrid w:val="0"/>
                <w:color w:val="auto"/>
                <w:highlight w:val="none"/>
              </w:rPr>
            </w:pPr>
          </w:p>
        </w:tc>
        <w:tc>
          <w:tcPr>
            <w:tcW w:w="1071" w:type="pct"/>
            <w:gridSpan w:val="3"/>
            <w:shd w:val="clear" w:color="auto" w:fill="auto"/>
            <w:vAlign w:val="center"/>
          </w:tcPr>
          <w:p w14:paraId="3291CE8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废活性炭</w:t>
            </w:r>
          </w:p>
        </w:tc>
        <w:tc>
          <w:tcPr>
            <w:tcW w:w="1391" w:type="pct"/>
            <w:shd w:val="clear" w:color="auto" w:fill="auto"/>
            <w:vAlign w:val="center"/>
          </w:tcPr>
          <w:p w14:paraId="1C76AA6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厂家回收处理</w:t>
            </w:r>
          </w:p>
        </w:tc>
        <w:tc>
          <w:tcPr>
            <w:tcW w:w="428" w:type="pct"/>
            <w:shd w:val="clear" w:color="auto" w:fill="auto"/>
            <w:vAlign w:val="center"/>
          </w:tcPr>
          <w:p w14:paraId="6077243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029A2EB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99" w:type="pct"/>
            <w:vMerge w:val="continue"/>
            <w:shd w:val="clear" w:color="auto" w:fill="auto"/>
            <w:vAlign w:val="center"/>
          </w:tcPr>
          <w:p w14:paraId="5E213B59">
            <w:pPr>
              <w:pStyle w:val="146"/>
              <w:rPr>
                <w:rFonts w:hint="default" w:ascii="Times New Roman" w:hAnsi="Times New Roman" w:eastAsia="宋体" w:cs="Times New Roman"/>
                <w:snapToGrid w:val="0"/>
                <w:color w:val="auto"/>
                <w:highlight w:val="none"/>
              </w:rPr>
            </w:pPr>
          </w:p>
        </w:tc>
      </w:tr>
      <w:tr w14:paraId="34997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9" w:type="pct"/>
            <w:vMerge w:val="continue"/>
            <w:shd w:val="clear" w:color="auto" w:fill="auto"/>
            <w:vAlign w:val="center"/>
          </w:tcPr>
          <w:p w14:paraId="318F957C">
            <w:pPr>
              <w:pStyle w:val="146"/>
              <w:rPr>
                <w:rFonts w:hint="default" w:ascii="Times New Roman" w:hAnsi="Times New Roman" w:eastAsia="宋体" w:cs="Times New Roman"/>
                <w:snapToGrid w:val="0"/>
                <w:color w:val="auto"/>
                <w:highlight w:val="none"/>
              </w:rPr>
            </w:pPr>
          </w:p>
        </w:tc>
        <w:tc>
          <w:tcPr>
            <w:tcW w:w="1071" w:type="pct"/>
            <w:gridSpan w:val="3"/>
            <w:shd w:val="clear" w:color="auto" w:fill="auto"/>
            <w:vAlign w:val="center"/>
          </w:tcPr>
          <w:p w14:paraId="651EA06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w:t>
            </w:r>
          </w:p>
        </w:tc>
        <w:tc>
          <w:tcPr>
            <w:tcW w:w="1391" w:type="pct"/>
            <w:shd w:val="clear" w:color="auto" w:fill="auto"/>
            <w:vAlign w:val="center"/>
          </w:tcPr>
          <w:p w14:paraId="7DADF5D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为危险废物，类别HW01，代码900-001-01，交由有资质单位处置</w:t>
            </w:r>
          </w:p>
        </w:tc>
        <w:tc>
          <w:tcPr>
            <w:tcW w:w="428" w:type="pct"/>
            <w:shd w:val="clear" w:color="auto" w:fill="auto"/>
            <w:vAlign w:val="center"/>
          </w:tcPr>
          <w:p w14:paraId="218FDD2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590" w:type="pct"/>
            <w:shd w:val="clear" w:color="auto" w:fill="auto"/>
            <w:vAlign w:val="center"/>
          </w:tcPr>
          <w:p w14:paraId="31B60C2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199" w:type="pct"/>
            <w:vMerge w:val="continue"/>
            <w:shd w:val="clear" w:color="auto" w:fill="auto"/>
            <w:vAlign w:val="center"/>
          </w:tcPr>
          <w:p w14:paraId="2F88D0E2">
            <w:pPr>
              <w:pStyle w:val="146"/>
              <w:rPr>
                <w:rFonts w:hint="default" w:ascii="Times New Roman" w:hAnsi="Times New Roman" w:eastAsia="宋体" w:cs="Times New Roman"/>
                <w:snapToGrid w:val="0"/>
                <w:color w:val="auto"/>
                <w:highlight w:val="none"/>
              </w:rPr>
            </w:pPr>
          </w:p>
        </w:tc>
      </w:tr>
    </w:tbl>
    <w:p w14:paraId="7BE068E3">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p>
    <w:p w14:paraId="0BD1CA87">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AndChars" w:linePitch="326" w:charSpace="0"/>
        </w:sectPr>
      </w:pPr>
    </w:p>
    <w:bookmarkEnd w:id="621"/>
    <w:p w14:paraId="7FEA3A5E">
      <w:pPr>
        <w:pStyle w:val="6"/>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8.1.3.2排放管理要求</w:t>
      </w:r>
    </w:p>
    <w:p w14:paraId="3292FD22">
      <w:pPr>
        <w:pStyle w:val="67"/>
        <w:ind w:firstLine="480"/>
        <w:rPr>
          <w:rFonts w:hint="default" w:ascii="Times New Roman" w:hAnsi="Times New Roman" w:eastAsia="宋体" w:cs="Times New Roman"/>
          <w:color w:val="auto"/>
          <w:highlight w:val="none"/>
        </w:rPr>
      </w:pPr>
      <w:bookmarkStart w:id="622" w:name="_Toc477368703"/>
      <w:bookmarkStart w:id="623" w:name="_Toc457030105"/>
      <w:bookmarkStart w:id="624" w:name="_Toc342462534"/>
      <w:r>
        <w:rPr>
          <w:rFonts w:hint="default" w:ascii="Times New Roman" w:hAnsi="Times New Roman" w:eastAsia="宋体" w:cs="Times New Roman"/>
          <w:color w:val="auto"/>
          <w:highlight w:val="none"/>
          <w:lang w:val="zh-CN"/>
        </w:rPr>
        <w:t>（1）</w:t>
      </w:r>
      <w:r>
        <w:rPr>
          <w:rFonts w:hint="default" w:ascii="Times New Roman" w:hAnsi="Times New Roman" w:eastAsia="宋体" w:cs="Times New Roman"/>
          <w:color w:val="auto"/>
          <w:highlight w:val="none"/>
        </w:rPr>
        <w:t>工程组成及原辅材料组分要求</w:t>
      </w:r>
    </w:p>
    <w:p w14:paraId="27A1745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①选用优良新品种，采取适度规模的集约化养殖方式，采用能耗物耗小，污染物排放量少的清洁生产工艺。</w:t>
      </w:r>
    </w:p>
    <w:p w14:paraId="0E20973A">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养殖场设施完善，牛舍结构合理。</w:t>
      </w:r>
    </w:p>
    <w:p w14:paraId="58DC9A3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牛粪堆肥发酵生产</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用于农业生产。</w:t>
      </w:r>
    </w:p>
    <w:p w14:paraId="5FEC5F3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坚持农牧结合、种养平衡原则，做到畜禽养殖废水资源化利用，不向地表水体排放，以控制对环境的污染。</w:t>
      </w:r>
    </w:p>
    <w:p w14:paraId="5A7B7B7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设备选型力求与生产能力相匹配，电器设备均选用节能型设备，包括水泵、电机、灯具等，力求做到用电及电力系统合理匹配，从而降低能耗。</w:t>
      </w:r>
    </w:p>
    <w:p w14:paraId="1ABBA17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（2）建设项目拟采取的环境保护措施及主要运行参数</w:t>
      </w:r>
    </w:p>
    <w:p w14:paraId="14F981A5">
      <w:pPr>
        <w:pStyle w:val="67"/>
        <w:ind w:firstLine="480"/>
        <w:rPr>
          <w:rFonts w:hint="default" w:ascii="Times New Roman" w:hAnsi="Times New Roman" w:eastAsia="宋体" w:cs="Times New Roman"/>
          <w:color w:val="auto"/>
          <w:highlight w:val="none"/>
        </w:rPr>
      </w:pPr>
      <w:bookmarkStart w:id="625" w:name="_Toc57713719"/>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eastAsia" w:eastAsia="宋体" w:cs="Times New Roman"/>
          <w:color w:val="auto"/>
          <w:highlight w:val="none"/>
          <w:lang w:val="en-US" w:eastAsia="zh-CN"/>
        </w:rPr>
        <w:t>废垫料</w:t>
      </w:r>
      <w:r>
        <w:rPr>
          <w:rFonts w:hint="default" w:ascii="Times New Roman" w:hAnsi="Times New Roman" w:eastAsia="宋体" w:cs="Times New Roman"/>
          <w:color w:val="auto"/>
          <w:highlight w:val="none"/>
        </w:rPr>
        <w:t>进行统一收集，作为固体粪肥生产原料，在场区内建设堆肥间，将</w:t>
      </w:r>
      <w:r>
        <w:rPr>
          <w:rFonts w:hint="eastAsia" w:eastAsia="宋体" w:cs="Times New Roman"/>
          <w:color w:val="auto"/>
          <w:highlight w:val="none"/>
          <w:lang w:val="en-US" w:eastAsia="zh-CN"/>
        </w:rPr>
        <w:t>含粪污废垫料</w:t>
      </w:r>
      <w:r>
        <w:rPr>
          <w:rFonts w:hint="default" w:ascii="Times New Roman" w:hAnsi="Times New Roman" w:eastAsia="宋体" w:cs="Times New Roman"/>
          <w:color w:val="auto"/>
          <w:highlight w:val="none"/>
        </w:rPr>
        <w:t>直接堆肥发酵生产</w:t>
      </w:r>
      <w:r>
        <w:rPr>
          <w:rFonts w:hint="default" w:ascii="Times New Roman" w:hAnsi="Times New Roman" w:eastAsia="宋体" w:cs="Times New Roman"/>
          <w:color w:val="auto"/>
          <w:highlight w:val="none"/>
          <w:lang w:eastAsia="zh-CN"/>
        </w:rPr>
        <w:t>固体粪肥</w:t>
      </w:r>
      <w:r>
        <w:rPr>
          <w:rFonts w:hint="default" w:ascii="Times New Roman" w:hAnsi="Times New Roman" w:eastAsia="宋体" w:cs="Times New Roman"/>
          <w:color w:val="auto"/>
          <w:highlight w:val="none"/>
        </w:rPr>
        <w:t>用于农业生产，实现固废100%综合利用。</w:t>
      </w:r>
    </w:p>
    <w:p w14:paraId="1389E1C9">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fldChar w:fldCharType="begin"/>
      </w:r>
      <w:r>
        <w:rPr>
          <w:rFonts w:hint="default" w:ascii="Times New Roman" w:hAnsi="Times New Roman" w:eastAsia="宋体" w:cs="Times New Roman"/>
          <w:color w:val="auto"/>
          <w:highlight w:val="none"/>
          <w:lang w:val="zh-CN"/>
        </w:rPr>
        <w:instrText xml:space="preserve"> = 2 \* GB3 </w:instrText>
      </w:r>
      <w:r>
        <w:rPr>
          <w:rFonts w:hint="default" w:ascii="Times New Roman" w:hAnsi="Times New Roman" w:eastAsia="宋体" w:cs="Times New Roman"/>
          <w:color w:val="auto"/>
          <w:highlight w:val="none"/>
          <w:lang w:val="zh-CN"/>
        </w:rPr>
        <w:fldChar w:fldCharType="separate"/>
      </w:r>
      <w:r>
        <w:rPr>
          <w:rFonts w:hint="default" w:ascii="Times New Roman" w:hAnsi="Times New Roman" w:eastAsia="宋体" w:cs="Times New Roman"/>
          <w:color w:val="auto"/>
          <w:highlight w:val="none"/>
          <w:lang w:val="zh-CN"/>
        </w:rPr>
        <w:t>②</w:t>
      </w:r>
      <w:r>
        <w:rPr>
          <w:rFonts w:hint="default" w:ascii="Times New Roman" w:hAnsi="Times New Roman" w:eastAsia="宋体" w:cs="Times New Roman"/>
          <w:color w:val="auto"/>
          <w:highlight w:val="none"/>
          <w:lang w:val="zh-CN"/>
        </w:rPr>
        <w:fldChar w:fldCharType="end"/>
      </w:r>
      <w:r>
        <w:rPr>
          <w:rFonts w:hint="default" w:ascii="Times New Roman" w:hAnsi="Times New Roman" w:eastAsia="宋体" w:cs="Times New Roman"/>
          <w:color w:val="auto"/>
          <w:highlight w:val="none"/>
          <w:lang w:val="zh-CN"/>
        </w:rPr>
        <w:t>牛舍采用加强通风、日粮中添加EM菌、喷洒除臭剂、绿化等措施，</w:t>
      </w:r>
      <w:r>
        <w:rPr>
          <w:rFonts w:hint="default" w:ascii="Times New Roman" w:hAnsi="Times New Roman" w:eastAsia="宋体" w:cs="Times New Roman"/>
          <w:color w:val="auto"/>
          <w:highlight w:val="none"/>
        </w:rPr>
        <w:t>养殖场恶臭污染物中臭气浓度排放标准执行《畜禽养殖业污染物排放标准》（GB18596-2001）中表7标准，硫化氢、氨在场界浓度执行《恶臭污染物排放标准》（GB14554-93）表1中二级新扩改建标准。</w:t>
      </w:r>
    </w:p>
    <w:p w14:paraId="452F42A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地下水防渗：</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堆肥间按重点防渗区采取防渗措施；牛舍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highlight w:val="none"/>
        </w:rPr>
        <w:t>采取一般防渗措施；其他建筑物及厂内道路采取简单防渗，对其地面采用混凝土进行一般地面硬化。</w:t>
      </w:r>
    </w:p>
    <w:p w14:paraId="33A9C90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（3）社会公开的信息内容</w:t>
      </w:r>
    </w:p>
    <w:p w14:paraId="459B539D">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rPr>
        <w:t>企业应积极主动对污染物定期监测信息进行公开，采用张贴公示版等形式对污染物排放情况、污染防治措施运行情况进行公开，保证公众知情权。</w:t>
      </w:r>
    </w:p>
    <w:p w14:paraId="1D16E7C6">
      <w:pPr>
        <w:pStyle w:val="4"/>
        <w:rPr>
          <w:rFonts w:hint="default" w:ascii="Times New Roman" w:hAnsi="Times New Roman" w:cs="Times New Roman"/>
          <w:color w:val="auto"/>
          <w:highlight w:val="none"/>
        </w:rPr>
      </w:pPr>
      <w:bookmarkStart w:id="626" w:name="_Toc25459"/>
      <w:r>
        <w:rPr>
          <w:rFonts w:hint="default" w:ascii="Times New Roman" w:hAnsi="Times New Roman" w:cs="Times New Roman"/>
          <w:color w:val="auto"/>
          <w:highlight w:val="none"/>
        </w:rPr>
        <w:t>8.2环境监测</w:t>
      </w:r>
      <w:bookmarkEnd w:id="622"/>
      <w:bookmarkEnd w:id="623"/>
      <w:bookmarkEnd w:id="624"/>
      <w:bookmarkEnd w:id="625"/>
      <w:bookmarkEnd w:id="626"/>
    </w:p>
    <w:p w14:paraId="255E47A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14:paraId="555E0C91">
      <w:pPr>
        <w:pStyle w:val="5"/>
        <w:spacing w:line="500" w:lineRule="exact"/>
        <w:rPr>
          <w:rFonts w:hint="default" w:ascii="Times New Roman" w:hAnsi="Times New Roman" w:cs="Times New Roman"/>
          <w:color w:val="auto"/>
          <w:highlight w:val="none"/>
        </w:rPr>
      </w:pPr>
      <w:bookmarkStart w:id="627" w:name="_Toc6527"/>
      <w:bookmarkStart w:id="628" w:name="_Toc57713720"/>
      <w:r>
        <w:rPr>
          <w:rFonts w:hint="default" w:ascii="Times New Roman" w:hAnsi="Times New Roman" w:cs="Times New Roman"/>
          <w:color w:val="auto"/>
          <w:highlight w:val="none"/>
        </w:rPr>
        <w:t>8.2.1环境监测的必要性</w:t>
      </w:r>
      <w:bookmarkEnd w:id="627"/>
      <w:bookmarkEnd w:id="628"/>
    </w:p>
    <w:p w14:paraId="371A106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14:paraId="05A6FCE1">
      <w:pPr>
        <w:pStyle w:val="5"/>
        <w:spacing w:line="500" w:lineRule="exact"/>
        <w:rPr>
          <w:rFonts w:hint="default" w:ascii="Times New Roman" w:hAnsi="Times New Roman" w:cs="Times New Roman"/>
          <w:color w:val="auto"/>
          <w:highlight w:val="none"/>
        </w:rPr>
      </w:pPr>
      <w:bookmarkStart w:id="629" w:name="_Toc31646"/>
      <w:bookmarkStart w:id="630" w:name="_Toc57713721"/>
      <w:r>
        <w:rPr>
          <w:rFonts w:hint="default" w:ascii="Times New Roman" w:hAnsi="Times New Roman" w:cs="Times New Roman"/>
          <w:color w:val="auto"/>
          <w:highlight w:val="none"/>
        </w:rPr>
        <w:t>8.2.2环境监测机构设置</w:t>
      </w:r>
      <w:bookmarkEnd w:id="629"/>
      <w:bookmarkEnd w:id="630"/>
    </w:p>
    <w:p w14:paraId="50600D9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为了及时准确地了解项目的污染物排放情况和污染物治理设施的运行状况，企业应委托有资质的监测机构进行常规监测。</w:t>
      </w:r>
    </w:p>
    <w:p w14:paraId="2C1BAFAF">
      <w:pPr>
        <w:pStyle w:val="5"/>
        <w:spacing w:line="500" w:lineRule="exact"/>
        <w:rPr>
          <w:rFonts w:hint="default" w:ascii="Times New Roman" w:hAnsi="Times New Roman" w:cs="Times New Roman"/>
          <w:color w:val="auto"/>
          <w:highlight w:val="none"/>
        </w:rPr>
      </w:pPr>
      <w:bookmarkStart w:id="631" w:name="_Toc57713722"/>
      <w:bookmarkStart w:id="632" w:name="_Toc24620"/>
      <w:r>
        <w:rPr>
          <w:rFonts w:hint="default" w:ascii="Times New Roman" w:hAnsi="Times New Roman" w:cs="Times New Roman"/>
          <w:color w:val="auto"/>
          <w:highlight w:val="none"/>
        </w:rPr>
        <w:t>8.2.3环境监测职责</w:t>
      </w:r>
      <w:bookmarkEnd w:id="631"/>
      <w:bookmarkEnd w:id="632"/>
    </w:p>
    <w:p w14:paraId="366011B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根据国家和主管部门颁布的环保法规、污染物排放标准以及企业内部的要求，制订监测站的工作计划和实施方案。</w:t>
      </w:r>
    </w:p>
    <w:p w14:paraId="116D016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对生产过程中污染物的排放状况和污染治理设施的处理效果进行定期监测，为设施的运行控制提供依据。</w:t>
      </w:r>
    </w:p>
    <w:p w14:paraId="1F8D0E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监督排污口污染物排放的达标情况。</w:t>
      </w:r>
    </w:p>
    <w:p w14:paraId="12FFB74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对监测仪器设备进行维护和校验，确保监测数据的准确性、可靠性。</w:t>
      </w:r>
    </w:p>
    <w:p w14:paraId="3C47D6A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作好监测数据的整理记录工作，作好企业污染物排放情况动态变化的档案记载工作。</w:t>
      </w:r>
    </w:p>
    <w:p w14:paraId="317EF8C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努力学习，不断提高站内工作人员的业务素质和工作能力。</w:t>
      </w:r>
    </w:p>
    <w:p w14:paraId="35C97BBB">
      <w:pPr>
        <w:pStyle w:val="5"/>
        <w:spacing w:line="500" w:lineRule="exact"/>
        <w:rPr>
          <w:rFonts w:hint="default" w:ascii="Times New Roman" w:hAnsi="Times New Roman" w:cs="Times New Roman"/>
          <w:color w:val="auto"/>
          <w:highlight w:val="none"/>
        </w:rPr>
      </w:pPr>
      <w:bookmarkStart w:id="633" w:name="_Toc57713723"/>
      <w:bookmarkStart w:id="634" w:name="_Toc2740"/>
      <w:r>
        <w:rPr>
          <w:rFonts w:hint="default" w:ascii="Times New Roman" w:hAnsi="Times New Roman" w:cs="Times New Roman"/>
          <w:color w:val="auto"/>
          <w:highlight w:val="none"/>
        </w:rPr>
        <w:t>8.2.4设立排放口（源）标识</w:t>
      </w:r>
      <w:bookmarkEnd w:id="633"/>
      <w:bookmarkEnd w:id="634"/>
    </w:p>
    <w:p w14:paraId="4DE1E30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各排污口按照环境管理要求，必须进行规范化建设，在本项目的大气排放源、噪声排放源、固体废物源设立规范的环境保护图形标志，按照《环境保护图形标志―排放口（源）》（GB15562.1-1995、1996-07-11实施）、《环境保护图形标志—固体废物贮存（处置）场》（GB 15562.2-1995）修改单执行，以利于环境保护行政主管部门对各排放口的监督管理。标志牌制作由国家环境保护总局统一监制，标志牌应设置在与之功能相应的醒目处。</w:t>
      </w:r>
    </w:p>
    <w:p w14:paraId="4AC6305B">
      <w:pPr>
        <w:pStyle w:val="210"/>
        <w:rPr>
          <w:rFonts w:hint="default" w:ascii="Times New Roman" w:hAnsi="Times New Roman" w:cs="Times New Roman"/>
          <w:color w:val="auto"/>
          <w:highlight w:val="none"/>
        </w:rPr>
      </w:pPr>
      <w:bookmarkStart w:id="635" w:name="_Hlk44604106"/>
      <w:r>
        <w:rPr>
          <w:rFonts w:hint="default" w:ascii="Times New Roman" w:hAnsi="Times New Roman" w:cs="Times New Roman"/>
          <w:color w:val="auto"/>
          <w:highlight w:val="none"/>
        </w:rPr>
        <w:t>表</w:t>
      </w:r>
      <w:r>
        <w:rPr>
          <w:rFonts w:hint="default" w:ascii="Times New Roman" w:hAnsi="Times New Roman" w:eastAsia="Times New Roman" w:cs="Times New Roman"/>
          <w:bCs/>
          <w:color w:val="auto"/>
          <w:spacing w:val="-1"/>
          <w:highlight w:val="none"/>
        </w:rPr>
        <w:t>8-2-1</w:t>
      </w:r>
      <w:r>
        <w:rPr>
          <w:rFonts w:hint="default" w:ascii="Times New Roman" w:hAnsi="Times New Roman" w:cs="Times New Roman"/>
          <w:color w:val="auto"/>
          <w:highlight w:val="none"/>
        </w:rPr>
        <w:t>排</w:t>
      </w:r>
      <w:r>
        <w:rPr>
          <w:rFonts w:hint="default" w:ascii="Times New Roman" w:hAnsi="Times New Roman" w:cs="Times New Roman"/>
          <w:color w:val="auto"/>
          <w:spacing w:val="2"/>
          <w:highlight w:val="none"/>
        </w:rPr>
        <w:t>污</w:t>
      </w:r>
      <w:r>
        <w:rPr>
          <w:rFonts w:hint="default" w:ascii="Times New Roman" w:hAnsi="Times New Roman" w:cs="Times New Roman"/>
          <w:color w:val="auto"/>
          <w:highlight w:val="none"/>
        </w:rPr>
        <w:t>口</w:t>
      </w:r>
      <w:r>
        <w:rPr>
          <w:rFonts w:hint="default" w:ascii="Times New Roman" w:hAnsi="Times New Roman" w:cs="Times New Roman"/>
          <w:color w:val="auto"/>
          <w:spacing w:val="2"/>
          <w:highlight w:val="none"/>
        </w:rPr>
        <w:t>图</w:t>
      </w:r>
      <w:r>
        <w:rPr>
          <w:rFonts w:hint="default" w:ascii="Times New Roman" w:hAnsi="Times New Roman" w:cs="Times New Roman"/>
          <w:color w:val="auto"/>
          <w:highlight w:val="none"/>
        </w:rPr>
        <w:t>形标</w:t>
      </w:r>
      <w:r>
        <w:rPr>
          <w:rFonts w:hint="default" w:ascii="Times New Roman" w:hAnsi="Times New Roman" w:cs="Times New Roman"/>
          <w:color w:val="auto"/>
          <w:spacing w:val="2"/>
          <w:highlight w:val="none"/>
        </w:rPr>
        <w:t>志</w:t>
      </w:r>
      <w:r>
        <w:rPr>
          <w:rFonts w:hint="default" w:ascii="Times New Roman" w:hAnsi="Times New Roman" w:cs="Times New Roman"/>
          <w:color w:val="auto"/>
          <w:highlight w:val="none"/>
        </w:rPr>
        <w:t>示例一览表</w:t>
      </w:r>
    </w:p>
    <w:tbl>
      <w:tblPr>
        <w:tblStyle w:val="47"/>
        <w:tblW w:w="831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61"/>
        <w:gridCol w:w="1573"/>
        <w:gridCol w:w="2019"/>
        <w:gridCol w:w="1578"/>
        <w:gridCol w:w="2481"/>
      </w:tblGrid>
      <w:tr w14:paraId="7F71C9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jc w:val="center"/>
        </w:trPr>
        <w:tc>
          <w:tcPr>
            <w:tcW w:w="661" w:type="dxa"/>
            <w:vAlign w:val="center"/>
          </w:tcPr>
          <w:p w14:paraId="530DA2E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573" w:type="dxa"/>
            <w:vAlign w:val="center"/>
          </w:tcPr>
          <w:p w14:paraId="5C5A766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提示图像符号</w:t>
            </w:r>
          </w:p>
        </w:tc>
        <w:tc>
          <w:tcPr>
            <w:tcW w:w="2019" w:type="dxa"/>
            <w:vAlign w:val="center"/>
          </w:tcPr>
          <w:p w14:paraId="36AB19F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警告图像符号</w:t>
            </w:r>
          </w:p>
        </w:tc>
        <w:tc>
          <w:tcPr>
            <w:tcW w:w="1578" w:type="dxa"/>
            <w:vAlign w:val="center"/>
          </w:tcPr>
          <w:p w14:paraId="6D4058F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2481" w:type="dxa"/>
            <w:vAlign w:val="center"/>
          </w:tcPr>
          <w:p w14:paraId="683C908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功能及作用</w:t>
            </w:r>
          </w:p>
        </w:tc>
      </w:tr>
      <w:tr w14:paraId="790E4E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jc w:val="center"/>
        </w:trPr>
        <w:tc>
          <w:tcPr>
            <w:tcW w:w="661" w:type="dxa"/>
            <w:vAlign w:val="center"/>
          </w:tcPr>
          <w:p w14:paraId="38810FE6">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573" w:type="dxa"/>
            <w:vAlign w:val="center"/>
          </w:tcPr>
          <w:p w14:paraId="71B84C0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675640" cy="663575"/>
                  <wp:effectExtent l="0" t="0" r="0" b="3175"/>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86"/>
                          <a:stretch>
                            <a:fillRect/>
                          </a:stretch>
                        </pic:blipFill>
                        <pic:spPr>
                          <a:xfrm>
                            <a:off x="0" y="0"/>
                            <a:ext cx="682839" cy="670607"/>
                          </a:xfrm>
                          <a:prstGeom prst="rect">
                            <a:avLst/>
                          </a:prstGeom>
                        </pic:spPr>
                      </pic:pic>
                    </a:graphicData>
                  </a:graphic>
                </wp:inline>
              </w:drawing>
            </w:r>
          </w:p>
        </w:tc>
        <w:tc>
          <w:tcPr>
            <w:tcW w:w="2019" w:type="dxa"/>
            <w:vAlign w:val="center"/>
          </w:tcPr>
          <w:p w14:paraId="35729BB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901700" cy="802640"/>
                  <wp:effectExtent l="0" t="0" r="0" b="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87"/>
                          <a:stretch>
                            <a:fillRect/>
                          </a:stretch>
                        </pic:blipFill>
                        <pic:spPr>
                          <a:xfrm>
                            <a:off x="0" y="0"/>
                            <a:ext cx="906141" cy="806312"/>
                          </a:xfrm>
                          <a:prstGeom prst="rect">
                            <a:avLst/>
                          </a:prstGeom>
                        </pic:spPr>
                      </pic:pic>
                    </a:graphicData>
                  </a:graphic>
                </wp:inline>
              </w:drawing>
            </w:r>
          </w:p>
        </w:tc>
        <w:tc>
          <w:tcPr>
            <w:tcW w:w="1578" w:type="dxa"/>
            <w:vAlign w:val="center"/>
          </w:tcPr>
          <w:p w14:paraId="515B7A2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废气排放口</w:t>
            </w:r>
          </w:p>
        </w:tc>
        <w:tc>
          <w:tcPr>
            <w:tcW w:w="2481" w:type="dxa"/>
            <w:vAlign w:val="center"/>
          </w:tcPr>
          <w:p w14:paraId="0E0F3330">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表示废气向外环境排放</w:t>
            </w:r>
          </w:p>
        </w:tc>
      </w:tr>
      <w:tr w14:paraId="34EED4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jc w:val="center"/>
        </w:trPr>
        <w:tc>
          <w:tcPr>
            <w:tcW w:w="661" w:type="dxa"/>
            <w:vAlign w:val="center"/>
          </w:tcPr>
          <w:p w14:paraId="310EC0B3">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573" w:type="dxa"/>
            <w:vAlign w:val="center"/>
          </w:tcPr>
          <w:p w14:paraId="173E8FC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676275" cy="681990"/>
                  <wp:effectExtent l="0" t="0" r="0" b="3810"/>
                  <wp:docPr id="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pic:cNvPicPr>
                            <a:picLocks noChangeAspect="1" noChangeArrowheads="1"/>
                          </pic:cNvPicPr>
                        </pic:nvPicPr>
                        <pic:blipFill>
                          <a:blip r:embed="rId88">
                            <a:extLst>
                              <a:ext uri="{28A0092B-C50C-407E-A947-70E740481C1C}">
                                <a14:useLocalDpi xmlns:a14="http://schemas.microsoft.com/office/drawing/2010/main" val="0"/>
                              </a:ext>
                            </a:extLst>
                          </a:blip>
                          <a:srcRect b="23785"/>
                          <a:stretch>
                            <a:fillRect/>
                          </a:stretch>
                        </pic:blipFill>
                        <pic:spPr>
                          <a:xfrm>
                            <a:off x="0" y="0"/>
                            <a:ext cx="676275" cy="682388"/>
                          </a:xfrm>
                          <a:prstGeom prst="rect">
                            <a:avLst/>
                          </a:prstGeom>
                          <a:noFill/>
                          <a:ln>
                            <a:noFill/>
                          </a:ln>
                        </pic:spPr>
                      </pic:pic>
                    </a:graphicData>
                  </a:graphic>
                </wp:inline>
              </w:drawing>
            </w:r>
          </w:p>
        </w:tc>
        <w:tc>
          <w:tcPr>
            <w:tcW w:w="2019" w:type="dxa"/>
            <w:vAlign w:val="center"/>
          </w:tcPr>
          <w:p w14:paraId="6F4DC85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845820" cy="775335"/>
                  <wp:effectExtent l="0" t="0" r="0" b="5715"/>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pic:cNvPicPr>
                        </pic:nvPicPr>
                        <pic:blipFill>
                          <a:blip r:embed="rId89"/>
                          <a:stretch>
                            <a:fillRect/>
                          </a:stretch>
                        </pic:blipFill>
                        <pic:spPr>
                          <a:xfrm>
                            <a:off x="0" y="0"/>
                            <a:ext cx="851084" cy="780161"/>
                          </a:xfrm>
                          <a:prstGeom prst="rect">
                            <a:avLst/>
                          </a:prstGeom>
                        </pic:spPr>
                      </pic:pic>
                    </a:graphicData>
                  </a:graphic>
                </wp:inline>
              </w:drawing>
            </w:r>
          </w:p>
        </w:tc>
        <w:tc>
          <w:tcPr>
            <w:tcW w:w="1578" w:type="dxa"/>
            <w:vAlign w:val="center"/>
          </w:tcPr>
          <w:p w14:paraId="52EA9D94">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噪声排放源</w:t>
            </w:r>
          </w:p>
        </w:tc>
        <w:tc>
          <w:tcPr>
            <w:tcW w:w="2481" w:type="dxa"/>
            <w:vAlign w:val="center"/>
          </w:tcPr>
          <w:p w14:paraId="5C34FEE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表示噪声向外环境排放</w:t>
            </w:r>
          </w:p>
        </w:tc>
      </w:tr>
      <w:tr w14:paraId="775978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jc w:val="center"/>
        </w:trPr>
        <w:tc>
          <w:tcPr>
            <w:tcW w:w="661" w:type="dxa"/>
            <w:vAlign w:val="center"/>
          </w:tcPr>
          <w:p w14:paraId="3CDF4839">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573" w:type="dxa"/>
            <w:vAlign w:val="center"/>
          </w:tcPr>
          <w:p w14:paraId="3538D2BA">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762000" cy="743585"/>
                  <wp:effectExtent l="0" t="0" r="0" b="0"/>
                  <wp:docPr id="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6"/>
                          <pic:cNvPicPr>
                            <a:picLocks noChangeAspect="1" noChangeArrowheads="1"/>
                          </pic:cNvPicPr>
                        </pic:nvPicPr>
                        <pic:blipFill>
                          <a:blip r:embed="rId90">
                            <a:extLst>
                              <a:ext uri="{28A0092B-C50C-407E-A947-70E740481C1C}">
                                <a14:useLocalDpi xmlns:a14="http://schemas.microsoft.com/office/drawing/2010/main" val="0"/>
                              </a:ext>
                            </a:extLst>
                          </a:blip>
                          <a:srcRect b="23442"/>
                          <a:stretch>
                            <a:fillRect/>
                          </a:stretch>
                        </pic:blipFill>
                        <pic:spPr>
                          <a:xfrm>
                            <a:off x="0" y="0"/>
                            <a:ext cx="762000" cy="743803"/>
                          </a:xfrm>
                          <a:prstGeom prst="rect">
                            <a:avLst/>
                          </a:prstGeom>
                          <a:noFill/>
                          <a:ln>
                            <a:noFill/>
                          </a:ln>
                        </pic:spPr>
                      </pic:pic>
                    </a:graphicData>
                  </a:graphic>
                </wp:inline>
              </w:drawing>
            </w:r>
          </w:p>
        </w:tc>
        <w:tc>
          <w:tcPr>
            <w:tcW w:w="2019" w:type="dxa"/>
            <w:vAlign w:val="center"/>
          </w:tcPr>
          <w:p w14:paraId="495186C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742950" cy="719455"/>
                  <wp:effectExtent l="0" t="0" r="0" b="4445"/>
                  <wp:docPr id="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5"/>
                          <pic:cNvPicPr>
                            <a:picLocks noChangeAspect="1" noChangeArrowheads="1"/>
                          </pic:cNvPicPr>
                        </pic:nvPicPr>
                        <pic:blipFill>
                          <a:blip r:embed="rId91">
                            <a:extLst>
                              <a:ext uri="{28A0092B-C50C-407E-A947-70E740481C1C}">
                                <a14:useLocalDpi xmlns:a14="http://schemas.microsoft.com/office/drawing/2010/main" val="0"/>
                              </a:ext>
                            </a:extLst>
                          </a:blip>
                          <a:srcRect l="7174" t="5519" r="7708" b="31114"/>
                          <a:stretch>
                            <a:fillRect/>
                          </a:stretch>
                        </pic:blipFill>
                        <pic:spPr>
                          <a:xfrm>
                            <a:off x="0" y="0"/>
                            <a:ext cx="746254" cy="722221"/>
                          </a:xfrm>
                          <a:prstGeom prst="rect">
                            <a:avLst/>
                          </a:prstGeom>
                          <a:noFill/>
                          <a:ln>
                            <a:noFill/>
                          </a:ln>
                        </pic:spPr>
                      </pic:pic>
                    </a:graphicData>
                  </a:graphic>
                </wp:inline>
              </w:drawing>
            </w:r>
          </w:p>
        </w:tc>
        <w:tc>
          <w:tcPr>
            <w:tcW w:w="1578" w:type="dxa"/>
            <w:vAlign w:val="center"/>
          </w:tcPr>
          <w:p w14:paraId="0141C80C">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一般固体废物</w:t>
            </w:r>
          </w:p>
        </w:tc>
        <w:tc>
          <w:tcPr>
            <w:tcW w:w="2481" w:type="dxa"/>
            <w:vAlign w:val="center"/>
          </w:tcPr>
          <w:p w14:paraId="1443EE2F">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表示固废贮存、处置场</w:t>
            </w:r>
          </w:p>
        </w:tc>
      </w:tr>
      <w:tr w14:paraId="77C6F1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jc w:val="center"/>
        </w:trPr>
        <w:tc>
          <w:tcPr>
            <w:tcW w:w="661" w:type="dxa"/>
            <w:vAlign w:val="center"/>
          </w:tcPr>
          <w:p w14:paraId="3A32B5B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573" w:type="dxa"/>
            <w:vAlign w:val="center"/>
          </w:tcPr>
          <w:p w14:paraId="69D7F59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019" w:type="dxa"/>
            <w:vAlign w:val="center"/>
          </w:tcPr>
          <w:p w14:paraId="54AD55FA">
            <w:pPr>
              <w:pStyle w:val="146"/>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1271905" cy="1154430"/>
                  <wp:effectExtent l="0" t="0" r="4445" b="7620"/>
                  <wp:docPr id="30" name="图片 30" descr="c658b8e282f2d39dcf9b9cc294ba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658b8e282f2d39dcf9b9cc294bac9b"/>
                          <pic:cNvPicPr>
                            <a:picLocks noChangeAspect="1"/>
                          </pic:cNvPicPr>
                        </pic:nvPicPr>
                        <pic:blipFill>
                          <a:blip r:embed="rId92"/>
                          <a:stretch>
                            <a:fillRect/>
                          </a:stretch>
                        </pic:blipFill>
                        <pic:spPr>
                          <a:xfrm>
                            <a:off x="0" y="0"/>
                            <a:ext cx="1271905" cy="1154430"/>
                          </a:xfrm>
                          <a:prstGeom prst="rect">
                            <a:avLst/>
                          </a:prstGeom>
                        </pic:spPr>
                      </pic:pic>
                    </a:graphicData>
                  </a:graphic>
                </wp:inline>
              </w:drawing>
            </w:r>
          </w:p>
        </w:tc>
        <w:tc>
          <w:tcPr>
            <w:tcW w:w="1578" w:type="dxa"/>
            <w:vAlign w:val="center"/>
          </w:tcPr>
          <w:p w14:paraId="357E9182">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w:t>
            </w:r>
          </w:p>
        </w:tc>
        <w:tc>
          <w:tcPr>
            <w:tcW w:w="2481" w:type="dxa"/>
            <w:vAlign w:val="center"/>
          </w:tcPr>
          <w:p w14:paraId="1DA308F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表示危险贮存、处置场</w:t>
            </w:r>
          </w:p>
        </w:tc>
      </w:tr>
      <w:bookmarkEnd w:id="635"/>
    </w:tbl>
    <w:p w14:paraId="2B00D67C">
      <w:pPr>
        <w:pStyle w:val="5"/>
        <w:spacing w:line="500" w:lineRule="exact"/>
        <w:rPr>
          <w:rFonts w:hint="default" w:ascii="Times New Roman" w:hAnsi="Times New Roman" w:cs="Times New Roman"/>
          <w:color w:val="auto"/>
          <w:highlight w:val="none"/>
        </w:rPr>
      </w:pPr>
      <w:bookmarkStart w:id="636" w:name="_Toc57713724"/>
      <w:bookmarkStart w:id="637" w:name="_Toc22449"/>
      <w:r>
        <w:rPr>
          <w:rFonts w:hint="default" w:ascii="Times New Roman" w:hAnsi="Times New Roman" w:cs="Times New Roman"/>
          <w:color w:val="auto"/>
          <w:highlight w:val="none"/>
        </w:rPr>
        <w:t>8.2.5环境监测计划</w:t>
      </w:r>
      <w:bookmarkEnd w:id="636"/>
      <w:bookmarkEnd w:id="637"/>
    </w:p>
    <w:p w14:paraId="2F0A51A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法》第四十二条明确提出“重点排污单位应当按照国家有关规定和监测规范安装使用监测设备，保证监测设备正常运行，保存原始监测记录”；第五十五条要求“重点排污单位应当如实向社会公开其主要污染物的名称、排放方式、排放浓度和总量、超标排放情况，以及防治污染设施的建设和运行情况，接受社会监督”。</w:t>
      </w:r>
      <w:bookmarkStart w:id="638" w:name="_Hlk9587283"/>
      <w:r>
        <w:rPr>
          <w:rFonts w:hint="default" w:ascii="Times New Roman" w:hAnsi="Times New Roman" w:eastAsia="宋体" w:cs="Times New Roman"/>
          <w:color w:val="auto"/>
          <w:highlight w:val="none"/>
        </w:rPr>
        <w:t>根据《排污单位自行监测技术指南 总则》（HJ819-2017）、</w:t>
      </w:r>
      <w:bookmarkStart w:id="639" w:name="_Hlk44604138"/>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"http://www.baidu.com/link?url=Rdyq40qwZcPFp0EB17D7UDWogcB5n20GvW2sSSw9M6gJbVIMvTVhYYo0dKf0fYaDEa0jzpKklQ7uN6FsuqFWy_"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排污许可证申请与核发技术规范 畜禽养殖行业》（HJ1029-2019）</w:t>
      </w:r>
      <w:r>
        <w:rPr>
          <w:rFonts w:hint="default" w:ascii="Times New Roman" w:hAnsi="Times New Roman" w:eastAsia="宋体" w:cs="Times New Roman"/>
          <w:color w:val="auto"/>
          <w:highlight w:val="none"/>
        </w:rPr>
        <w:fldChar w:fldCharType="end"/>
      </w:r>
      <w:bookmarkEnd w:id="639"/>
      <w:r>
        <w:rPr>
          <w:rFonts w:hint="default" w:ascii="Times New Roman" w:hAnsi="Times New Roman" w:eastAsia="宋体" w:cs="Times New Roman"/>
          <w:color w:val="auto"/>
          <w:highlight w:val="none"/>
        </w:rPr>
        <w:t>，并参考</w:t>
      </w:r>
      <w:bookmarkStart w:id="640" w:name="_Hlk1316776"/>
      <w:r>
        <w:rPr>
          <w:rFonts w:hint="default" w:ascii="Times New Roman" w:hAnsi="Times New Roman" w:eastAsia="宋体" w:cs="Times New Roman"/>
          <w:color w:val="auto"/>
          <w:highlight w:val="none"/>
        </w:rPr>
        <w:t>《排污许可证申请与核发技术规范 总则》（HJ942-2018）</w:t>
      </w:r>
      <w:bookmarkEnd w:id="640"/>
      <w:r>
        <w:rPr>
          <w:rFonts w:hint="default" w:ascii="Times New Roman" w:hAnsi="Times New Roman" w:eastAsia="宋体" w:cs="Times New Roman"/>
          <w:color w:val="auto"/>
          <w:highlight w:val="none"/>
        </w:rPr>
        <w:t>、《排污单位自行监测技术指南 畜禽养殖行业》（HJ1252-2022），排污单位应掌握本单位的污染排放状况及其对周边环境质量的影响，对污染物排放、周边环境质量影响进行监测。</w:t>
      </w:r>
    </w:p>
    <w:bookmarkEnd w:id="638"/>
    <w:p w14:paraId="5DE3E5A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（1）污染物排放监测</w:t>
      </w:r>
    </w:p>
    <w:p w14:paraId="6666CDF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本项目污染源监测计划见表8-2-2。</w:t>
      </w:r>
    </w:p>
    <w:p w14:paraId="6D839CBE">
      <w:pPr>
        <w:pStyle w:val="67"/>
        <w:ind w:firstLine="480"/>
        <w:rPr>
          <w:rFonts w:hint="default" w:ascii="Times New Roman" w:hAnsi="Times New Roman" w:eastAsia="宋体"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eastAsia="宋体" w:cs="Times New Roman"/>
          <w:color w:val="auto"/>
          <w:highlight w:val="none"/>
        </w:rPr>
        <w:t>企业委托有资质的监测单位进行污染源监测，并将监测报告存档。</w:t>
      </w:r>
    </w:p>
    <w:p w14:paraId="084C7996">
      <w:pPr>
        <w:spacing w:line="500" w:lineRule="exact"/>
        <w:ind w:firstLine="0" w:firstLineChars="0"/>
        <w:jc w:val="center"/>
        <w:rPr>
          <w:rFonts w:hint="default" w:ascii="Times New Roman" w:hAnsi="Times New Roman" w:eastAsia="黑体" w:cs="Times New Roman"/>
          <w:snapToGrid w:val="0"/>
          <w:color w:val="auto"/>
          <w:kern w:val="0"/>
          <w:highlight w:val="none"/>
          <w:lang w:val="zh-CN"/>
        </w:rPr>
      </w:pPr>
      <w:bookmarkStart w:id="641" w:name="_Toc477368704"/>
      <w:bookmarkStart w:id="642" w:name="_Toc457030106"/>
      <w:bookmarkStart w:id="643" w:name="_Toc342462535"/>
      <w:r>
        <w:rPr>
          <w:rFonts w:hint="default" w:ascii="Times New Roman" w:hAnsi="Times New Roman" w:eastAsia="黑体" w:cs="Times New Roman"/>
          <w:snapToGrid w:val="0"/>
          <w:color w:val="auto"/>
          <w:kern w:val="0"/>
          <w:highlight w:val="none"/>
          <w:lang w:val="zh-CN"/>
        </w:rPr>
        <w:t>表8-2-2污染源监测计划一览表</w:t>
      </w:r>
    </w:p>
    <w:tbl>
      <w:tblPr>
        <w:tblStyle w:val="47"/>
        <w:tblW w:w="491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5"/>
        <w:gridCol w:w="406"/>
        <w:gridCol w:w="1569"/>
        <w:gridCol w:w="2867"/>
        <w:gridCol w:w="898"/>
        <w:gridCol w:w="1984"/>
        <w:gridCol w:w="923"/>
        <w:gridCol w:w="664"/>
        <w:gridCol w:w="1309"/>
        <w:gridCol w:w="1867"/>
      </w:tblGrid>
      <w:tr w14:paraId="70A0C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shd w:val="clear" w:color="auto" w:fill="auto"/>
            <w:vAlign w:val="center"/>
          </w:tcPr>
          <w:p w14:paraId="1ABF4F8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项目</w:t>
            </w:r>
          </w:p>
        </w:tc>
        <w:tc>
          <w:tcPr>
            <w:tcW w:w="413" w:type="dxa"/>
            <w:shd w:val="clear" w:color="auto" w:fill="auto"/>
            <w:vAlign w:val="center"/>
          </w:tcPr>
          <w:p w14:paraId="0FFE59A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污染源</w:t>
            </w:r>
          </w:p>
        </w:tc>
        <w:tc>
          <w:tcPr>
            <w:tcW w:w="1595" w:type="dxa"/>
            <w:shd w:val="clear" w:color="auto" w:fill="auto"/>
            <w:vAlign w:val="center"/>
          </w:tcPr>
          <w:p w14:paraId="4994699A">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监测指标</w:t>
            </w:r>
          </w:p>
        </w:tc>
        <w:tc>
          <w:tcPr>
            <w:tcW w:w="2914" w:type="dxa"/>
            <w:shd w:val="clear" w:color="auto" w:fill="auto"/>
            <w:vAlign w:val="center"/>
          </w:tcPr>
          <w:p w14:paraId="2220C16C">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环境保护措施</w:t>
            </w:r>
          </w:p>
        </w:tc>
        <w:tc>
          <w:tcPr>
            <w:tcW w:w="913" w:type="dxa"/>
            <w:shd w:val="clear" w:color="auto" w:fill="auto"/>
            <w:vAlign w:val="center"/>
          </w:tcPr>
          <w:p w14:paraId="27BA23B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监测点位</w:t>
            </w:r>
          </w:p>
        </w:tc>
        <w:tc>
          <w:tcPr>
            <w:tcW w:w="2017" w:type="dxa"/>
            <w:shd w:val="clear" w:color="auto" w:fill="auto"/>
            <w:vAlign w:val="center"/>
          </w:tcPr>
          <w:p w14:paraId="3F8F15E4">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执行标准</w:t>
            </w:r>
          </w:p>
        </w:tc>
        <w:tc>
          <w:tcPr>
            <w:tcW w:w="938" w:type="dxa"/>
            <w:shd w:val="clear" w:color="auto" w:fill="auto"/>
            <w:vAlign w:val="center"/>
          </w:tcPr>
          <w:p w14:paraId="57784F2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监测频次</w:t>
            </w:r>
          </w:p>
        </w:tc>
        <w:tc>
          <w:tcPr>
            <w:tcW w:w="675" w:type="dxa"/>
            <w:shd w:val="clear" w:color="auto" w:fill="auto"/>
            <w:vAlign w:val="center"/>
          </w:tcPr>
          <w:p w14:paraId="3978DD9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监测技术</w:t>
            </w:r>
          </w:p>
        </w:tc>
        <w:tc>
          <w:tcPr>
            <w:tcW w:w="1331" w:type="dxa"/>
            <w:shd w:val="clear" w:color="auto" w:fill="auto"/>
            <w:vAlign w:val="center"/>
          </w:tcPr>
          <w:p w14:paraId="10326A77">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采样方法</w:t>
            </w:r>
          </w:p>
        </w:tc>
        <w:tc>
          <w:tcPr>
            <w:tcW w:w="1898" w:type="dxa"/>
            <w:shd w:val="clear" w:color="auto" w:fill="auto"/>
            <w:vAlign w:val="center"/>
          </w:tcPr>
          <w:p w14:paraId="0FBA0E09">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监测分析方法</w:t>
            </w:r>
          </w:p>
        </w:tc>
      </w:tr>
      <w:tr w14:paraId="20A92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restart"/>
            <w:shd w:val="clear" w:color="auto" w:fill="auto"/>
            <w:vAlign w:val="center"/>
          </w:tcPr>
          <w:p w14:paraId="7CFE9C7E">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废气</w:t>
            </w:r>
          </w:p>
        </w:tc>
        <w:tc>
          <w:tcPr>
            <w:tcW w:w="413" w:type="dxa"/>
            <w:vMerge w:val="restart"/>
            <w:shd w:val="clear" w:color="auto" w:fill="auto"/>
            <w:vAlign w:val="center"/>
          </w:tcPr>
          <w:p w14:paraId="09FFE9FC">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牛舍、</w:t>
            </w:r>
            <w:r>
              <w:rPr>
                <w:rFonts w:hint="eastAsia" w:cs="Times New Roman"/>
                <w:snapToGrid w:val="0"/>
                <w:color w:val="auto"/>
                <w:kern w:val="0"/>
                <w:sz w:val="21"/>
                <w:szCs w:val="21"/>
                <w:highlight w:val="none"/>
                <w:lang w:val="en-US" w:eastAsia="zh-CN"/>
              </w:rPr>
              <w:t>储粪间</w:t>
            </w:r>
            <w:r>
              <w:rPr>
                <w:rFonts w:hint="default" w:ascii="Times New Roman" w:hAnsi="Times New Roman" w:eastAsia="宋体" w:cs="Times New Roman"/>
                <w:snapToGrid w:val="0"/>
                <w:color w:val="auto"/>
                <w:kern w:val="0"/>
                <w:sz w:val="21"/>
                <w:szCs w:val="21"/>
                <w:highlight w:val="none"/>
                <w:lang w:val="zh-CN"/>
              </w:rPr>
              <w:t>恶臭</w:t>
            </w:r>
          </w:p>
        </w:tc>
        <w:tc>
          <w:tcPr>
            <w:tcW w:w="1595" w:type="dxa"/>
            <w:shd w:val="clear" w:color="auto" w:fill="auto"/>
            <w:vAlign w:val="center"/>
          </w:tcPr>
          <w:p w14:paraId="466B058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2914" w:type="dxa"/>
            <w:vMerge w:val="restart"/>
            <w:shd w:val="clear" w:color="auto" w:fill="auto"/>
            <w:vAlign w:val="center"/>
          </w:tcPr>
          <w:p w14:paraId="21967EA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eastAsia" w:cs="Times New Roman"/>
                <w:snapToGrid w:val="0"/>
                <w:color w:val="auto"/>
                <w:kern w:val="0"/>
                <w:sz w:val="21"/>
                <w:szCs w:val="21"/>
                <w:highlight w:val="none"/>
                <w:lang w:val="en-US" w:eastAsia="zh-CN"/>
              </w:rPr>
              <w:t>采用生物菌床垫料、</w:t>
            </w:r>
            <w:r>
              <w:rPr>
                <w:rFonts w:hint="default" w:ascii="Times New Roman" w:hAnsi="Times New Roman" w:eastAsia="宋体" w:cs="Times New Roman"/>
                <w:snapToGrid w:val="0"/>
                <w:color w:val="auto"/>
                <w:kern w:val="0"/>
                <w:sz w:val="21"/>
                <w:szCs w:val="21"/>
                <w:highlight w:val="none"/>
                <w:lang w:val="zh-CN"/>
              </w:rPr>
              <w:t>日粮中添加EM菌、定期喷洒植物除臭剂</w:t>
            </w:r>
          </w:p>
        </w:tc>
        <w:tc>
          <w:tcPr>
            <w:tcW w:w="913" w:type="dxa"/>
            <w:vMerge w:val="restart"/>
            <w:shd w:val="clear" w:color="auto" w:fill="auto"/>
            <w:vAlign w:val="center"/>
          </w:tcPr>
          <w:p w14:paraId="31C8FBC7">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场界</w:t>
            </w:r>
          </w:p>
        </w:tc>
        <w:tc>
          <w:tcPr>
            <w:tcW w:w="2017" w:type="dxa"/>
            <w:vMerge w:val="restart"/>
            <w:shd w:val="clear" w:color="auto" w:fill="auto"/>
            <w:vAlign w:val="center"/>
          </w:tcPr>
          <w:p w14:paraId="401FC416">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《畜禽养殖业污染物排放标准》（GB18596-2001）中表7标准，硫化氢、氨在场界浓度满足《恶臭污染物排放标准》（GB14554-93）表1中二级新扩改建标准</w:t>
            </w:r>
          </w:p>
        </w:tc>
        <w:tc>
          <w:tcPr>
            <w:tcW w:w="938" w:type="dxa"/>
            <w:shd w:val="clear" w:color="auto" w:fill="auto"/>
            <w:vAlign w:val="center"/>
          </w:tcPr>
          <w:p w14:paraId="44D7C93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restart"/>
            <w:shd w:val="clear" w:color="auto" w:fill="auto"/>
            <w:vAlign w:val="center"/>
          </w:tcPr>
          <w:p w14:paraId="03A82E58">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1331" w:type="dxa"/>
            <w:shd w:val="clear" w:color="auto" w:fill="auto"/>
            <w:vAlign w:val="center"/>
          </w:tcPr>
          <w:p w14:paraId="1E7B0F61">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参照《畜禽养殖业污染物排放标准》（GB18596-2001）及HJ/T55、HJ733等执行</w:t>
            </w:r>
          </w:p>
        </w:tc>
        <w:tc>
          <w:tcPr>
            <w:tcW w:w="1898" w:type="dxa"/>
            <w:shd w:val="clear" w:color="auto" w:fill="auto"/>
            <w:vAlign w:val="center"/>
          </w:tcPr>
          <w:p w14:paraId="4B8E0085">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《空气质量 恶臭的测定 三点比较式臭袋法》（GB/T 14675-1993）</w:t>
            </w:r>
          </w:p>
        </w:tc>
      </w:tr>
      <w:tr w14:paraId="0E6D8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continue"/>
            <w:shd w:val="clear" w:color="auto" w:fill="auto"/>
            <w:vAlign w:val="center"/>
          </w:tcPr>
          <w:p w14:paraId="3BAFDD07">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413" w:type="dxa"/>
            <w:vMerge w:val="continue"/>
            <w:shd w:val="clear" w:color="auto" w:fill="auto"/>
            <w:vAlign w:val="center"/>
          </w:tcPr>
          <w:p w14:paraId="7523A614">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595" w:type="dxa"/>
            <w:shd w:val="clear" w:color="auto" w:fill="auto"/>
            <w:vAlign w:val="center"/>
          </w:tcPr>
          <w:p w14:paraId="081FEA61">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2914" w:type="dxa"/>
            <w:vMerge w:val="continue"/>
            <w:shd w:val="clear" w:color="auto" w:fill="auto"/>
            <w:vAlign w:val="center"/>
          </w:tcPr>
          <w:p w14:paraId="5AC0427A">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913" w:type="dxa"/>
            <w:vMerge w:val="continue"/>
            <w:shd w:val="clear" w:color="auto" w:fill="auto"/>
            <w:vAlign w:val="center"/>
          </w:tcPr>
          <w:p w14:paraId="1E6B94BA">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2017" w:type="dxa"/>
            <w:vMerge w:val="continue"/>
            <w:shd w:val="clear" w:color="auto" w:fill="auto"/>
            <w:vAlign w:val="center"/>
          </w:tcPr>
          <w:p w14:paraId="40C500C3">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p>
        </w:tc>
        <w:tc>
          <w:tcPr>
            <w:tcW w:w="938" w:type="dxa"/>
            <w:shd w:val="clear" w:color="auto" w:fill="auto"/>
            <w:vAlign w:val="center"/>
          </w:tcPr>
          <w:p w14:paraId="50238C1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continue"/>
            <w:shd w:val="clear" w:color="auto" w:fill="auto"/>
            <w:vAlign w:val="center"/>
          </w:tcPr>
          <w:p w14:paraId="7873B02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331" w:type="dxa"/>
            <w:vMerge w:val="restart"/>
            <w:shd w:val="clear" w:color="auto" w:fill="auto"/>
            <w:vAlign w:val="center"/>
          </w:tcPr>
          <w:p w14:paraId="7B539878">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参照《恶臭污染物排放标准》(GB14554-93)及GB/T16157、HJ/T397等执行</w:t>
            </w:r>
          </w:p>
        </w:tc>
        <w:tc>
          <w:tcPr>
            <w:tcW w:w="1898" w:type="dxa"/>
            <w:shd w:val="clear" w:color="auto" w:fill="auto"/>
            <w:vAlign w:val="center"/>
          </w:tcPr>
          <w:p w14:paraId="5A2BB46C">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亚甲蓝分光光度法《空气和废气监测分析方法》(第四版增补版)国家环保总局(2003) P171</w:t>
            </w:r>
          </w:p>
        </w:tc>
      </w:tr>
      <w:tr w14:paraId="2E783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continue"/>
            <w:shd w:val="clear" w:color="auto" w:fill="auto"/>
            <w:vAlign w:val="center"/>
          </w:tcPr>
          <w:p w14:paraId="5D417FF6">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413" w:type="dxa"/>
            <w:vMerge w:val="continue"/>
            <w:shd w:val="clear" w:color="auto" w:fill="auto"/>
            <w:vAlign w:val="center"/>
          </w:tcPr>
          <w:p w14:paraId="408CE05C">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595" w:type="dxa"/>
            <w:shd w:val="clear" w:color="auto" w:fill="auto"/>
            <w:vAlign w:val="center"/>
          </w:tcPr>
          <w:p w14:paraId="0F7AB971">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2914" w:type="dxa"/>
            <w:vMerge w:val="continue"/>
            <w:shd w:val="clear" w:color="auto" w:fill="auto"/>
            <w:vAlign w:val="center"/>
          </w:tcPr>
          <w:p w14:paraId="6CDC3BA6">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913" w:type="dxa"/>
            <w:vMerge w:val="continue"/>
            <w:shd w:val="clear" w:color="auto" w:fill="auto"/>
            <w:vAlign w:val="center"/>
          </w:tcPr>
          <w:p w14:paraId="3230FEE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2017" w:type="dxa"/>
            <w:vMerge w:val="continue"/>
            <w:shd w:val="clear" w:color="auto" w:fill="auto"/>
            <w:vAlign w:val="center"/>
          </w:tcPr>
          <w:p w14:paraId="6BDFF3D4">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p>
        </w:tc>
        <w:tc>
          <w:tcPr>
            <w:tcW w:w="938" w:type="dxa"/>
            <w:shd w:val="clear" w:color="auto" w:fill="auto"/>
            <w:vAlign w:val="center"/>
          </w:tcPr>
          <w:p w14:paraId="39E8E4CE">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continue"/>
            <w:shd w:val="clear" w:color="auto" w:fill="auto"/>
            <w:vAlign w:val="center"/>
          </w:tcPr>
          <w:p w14:paraId="71731A3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331" w:type="dxa"/>
            <w:vMerge w:val="continue"/>
            <w:shd w:val="clear" w:color="auto" w:fill="auto"/>
            <w:vAlign w:val="center"/>
          </w:tcPr>
          <w:p w14:paraId="12F49213">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p>
        </w:tc>
        <w:tc>
          <w:tcPr>
            <w:tcW w:w="1898" w:type="dxa"/>
            <w:shd w:val="clear" w:color="auto" w:fill="auto"/>
            <w:vAlign w:val="center"/>
          </w:tcPr>
          <w:p w14:paraId="7026061C">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环境空气和废气 氨的测定 纳氏试剂分光光度法</w:t>
            </w:r>
          </w:p>
        </w:tc>
      </w:tr>
      <w:tr w14:paraId="4E990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continue"/>
            <w:shd w:val="clear" w:color="auto" w:fill="auto"/>
            <w:vAlign w:val="center"/>
          </w:tcPr>
          <w:p w14:paraId="1324A872">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413" w:type="dxa"/>
            <w:vMerge w:val="restart"/>
            <w:shd w:val="clear" w:color="auto" w:fill="auto"/>
            <w:vAlign w:val="center"/>
          </w:tcPr>
          <w:p w14:paraId="53F8D34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en-US" w:eastAsia="zh-CN"/>
              </w:rPr>
              <w:t>堆肥间</w:t>
            </w:r>
            <w:r>
              <w:rPr>
                <w:rFonts w:hint="default" w:ascii="Times New Roman" w:hAnsi="Times New Roman" w:eastAsia="宋体" w:cs="Times New Roman"/>
                <w:snapToGrid w:val="0"/>
                <w:color w:val="auto"/>
                <w:kern w:val="0"/>
                <w:sz w:val="21"/>
                <w:szCs w:val="21"/>
                <w:highlight w:val="none"/>
                <w:lang w:val="zh-CN"/>
              </w:rPr>
              <w:t>恶臭</w:t>
            </w:r>
          </w:p>
        </w:tc>
        <w:tc>
          <w:tcPr>
            <w:tcW w:w="1595" w:type="dxa"/>
            <w:shd w:val="clear" w:color="auto" w:fill="auto"/>
            <w:vAlign w:val="center"/>
          </w:tcPr>
          <w:p w14:paraId="1EC063C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氨</w:t>
            </w:r>
          </w:p>
        </w:tc>
        <w:tc>
          <w:tcPr>
            <w:tcW w:w="2914" w:type="dxa"/>
            <w:vMerge w:val="restart"/>
            <w:shd w:val="clear" w:color="auto" w:fill="auto"/>
            <w:vAlign w:val="center"/>
          </w:tcPr>
          <w:p w14:paraId="1B39C5BE">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恶臭气体经活性炭吸附装置处理后由15m高排气筒DA001、</w:t>
            </w:r>
            <w:r>
              <w:rPr>
                <w:rFonts w:hint="default" w:ascii="Times New Roman" w:hAnsi="Times New Roman" w:eastAsia="宋体" w:cs="Times New Roman"/>
                <w:snapToGrid w:val="0"/>
                <w:color w:val="auto"/>
                <w:kern w:val="0"/>
                <w:sz w:val="21"/>
                <w:szCs w:val="21"/>
                <w:highlight w:val="none"/>
                <w:lang w:val="en-US" w:eastAsia="zh-CN"/>
              </w:rPr>
              <w:t>DA002</w:t>
            </w:r>
            <w:r>
              <w:rPr>
                <w:rFonts w:hint="default" w:ascii="Times New Roman" w:hAnsi="Times New Roman" w:eastAsia="宋体" w:cs="Times New Roman"/>
                <w:snapToGrid w:val="0"/>
                <w:color w:val="auto"/>
                <w:kern w:val="0"/>
                <w:sz w:val="21"/>
                <w:szCs w:val="21"/>
                <w:highlight w:val="none"/>
                <w:lang w:val="zh-CN"/>
              </w:rPr>
              <w:t>排放</w:t>
            </w:r>
          </w:p>
        </w:tc>
        <w:tc>
          <w:tcPr>
            <w:tcW w:w="913" w:type="dxa"/>
            <w:vMerge w:val="restart"/>
            <w:shd w:val="clear" w:color="auto" w:fill="auto"/>
            <w:vAlign w:val="center"/>
          </w:tcPr>
          <w:p w14:paraId="12B58997">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rPr>
              <w:t>DA001</w:t>
            </w:r>
          </w:p>
        </w:tc>
        <w:tc>
          <w:tcPr>
            <w:tcW w:w="2017" w:type="dxa"/>
            <w:vMerge w:val="restart"/>
            <w:shd w:val="clear" w:color="auto" w:fill="auto"/>
            <w:vAlign w:val="center"/>
          </w:tcPr>
          <w:p w14:paraId="31C4B80E">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硫化氢、氨排放速率满足《恶臭污染物排放标准》（GB14554-93）表2中15m高排气筒标准要求、臭气浓度满足《恶臭污染物排放标准》（GB14554-93）表2中15m高排气筒标准要求。</w:t>
            </w:r>
          </w:p>
        </w:tc>
        <w:tc>
          <w:tcPr>
            <w:tcW w:w="938" w:type="dxa"/>
            <w:shd w:val="clear" w:color="auto" w:fill="auto"/>
            <w:vAlign w:val="center"/>
          </w:tcPr>
          <w:p w14:paraId="114C3EF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restart"/>
            <w:shd w:val="clear" w:color="auto" w:fill="auto"/>
            <w:vAlign w:val="center"/>
          </w:tcPr>
          <w:p w14:paraId="22C8BF8E">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1331" w:type="dxa"/>
            <w:vMerge w:val="restart"/>
            <w:shd w:val="clear" w:color="auto" w:fill="auto"/>
            <w:vAlign w:val="center"/>
          </w:tcPr>
          <w:p w14:paraId="002AFFC4">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参照《恶臭污染物排放标准》(GB14554-93)及GB/T16157、HJ/T397等执行</w:t>
            </w:r>
          </w:p>
        </w:tc>
        <w:tc>
          <w:tcPr>
            <w:tcW w:w="1898" w:type="dxa"/>
            <w:shd w:val="clear" w:color="auto" w:fill="auto"/>
            <w:vAlign w:val="center"/>
          </w:tcPr>
          <w:p w14:paraId="75ADC04F">
            <w:pPr>
              <w:spacing w:line="240" w:lineRule="auto"/>
              <w:ind w:firstLine="0" w:firstLineChars="0"/>
              <w:jc w:val="center"/>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废气 氨的测定纳氏试剂分光光度法HJ 533-2009</w:t>
            </w:r>
          </w:p>
        </w:tc>
      </w:tr>
      <w:tr w14:paraId="1F43E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continue"/>
            <w:shd w:val="clear" w:color="auto" w:fill="auto"/>
            <w:vAlign w:val="center"/>
          </w:tcPr>
          <w:p w14:paraId="0F4B4F2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413" w:type="dxa"/>
            <w:vMerge w:val="continue"/>
            <w:shd w:val="clear" w:color="auto" w:fill="auto"/>
            <w:vAlign w:val="center"/>
          </w:tcPr>
          <w:p w14:paraId="1476B63E">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595" w:type="dxa"/>
            <w:shd w:val="clear" w:color="auto" w:fill="auto"/>
            <w:vAlign w:val="center"/>
          </w:tcPr>
          <w:p w14:paraId="039F7F4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硫化氢</w:t>
            </w:r>
          </w:p>
        </w:tc>
        <w:tc>
          <w:tcPr>
            <w:tcW w:w="2914" w:type="dxa"/>
            <w:vMerge w:val="continue"/>
            <w:shd w:val="clear" w:color="auto" w:fill="auto"/>
            <w:vAlign w:val="center"/>
          </w:tcPr>
          <w:p w14:paraId="5CA288AF">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913" w:type="dxa"/>
            <w:vMerge w:val="continue"/>
            <w:shd w:val="clear" w:color="auto" w:fill="auto"/>
            <w:vAlign w:val="center"/>
          </w:tcPr>
          <w:p w14:paraId="07D841AD">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2017" w:type="dxa"/>
            <w:vMerge w:val="continue"/>
            <w:shd w:val="clear" w:color="auto" w:fill="auto"/>
            <w:vAlign w:val="center"/>
          </w:tcPr>
          <w:p w14:paraId="78D5E1AC">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p>
        </w:tc>
        <w:tc>
          <w:tcPr>
            <w:tcW w:w="938" w:type="dxa"/>
            <w:shd w:val="clear" w:color="auto" w:fill="auto"/>
            <w:vAlign w:val="center"/>
          </w:tcPr>
          <w:p w14:paraId="0E411E2A">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continue"/>
            <w:shd w:val="clear" w:color="auto" w:fill="auto"/>
            <w:vAlign w:val="center"/>
          </w:tcPr>
          <w:p w14:paraId="16404467">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331" w:type="dxa"/>
            <w:vMerge w:val="continue"/>
            <w:shd w:val="clear" w:color="auto" w:fill="auto"/>
            <w:vAlign w:val="center"/>
          </w:tcPr>
          <w:p w14:paraId="4ADCC5FF">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p>
        </w:tc>
        <w:tc>
          <w:tcPr>
            <w:tcW w:w="1898" w:type="dxa"/>
            <w:shd w:val="clear" w:color="auto" w:fill="auto"/>
            <w:vAlign w:val="center"/>
          </w:tcPr>
          <w:p w14:paraId="68F50BB4">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污染源废气 硫化氢亚甲基蓝分光光度法《空气和废气监测分析方法》(第四版)国家环境保护总局(2003年)</w:t>
            </w:r>
          </w:p>
        </w:tc>
      </w:tr>
      <w:tr w14:paraId="602F1B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vMerge w:val="continue"/>
            <w:shd w:val="clear" w:color="auto" w:fill="auto"/>
            <w:vAlign w:val="center"/>
          </w:tcPr>
          <w:p w14:paraId="0783E995">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413" w:type="dxa"/>
            <w:vMerge w:val="continue"/>
            <w:shd w:val="clear" w:color="auto" w:fill="auto"/>
            <w:vAlign w:val="center"/>
          </w:tcPr>
          <w:p w14:paraId="239A758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595" w:type="dxa"/>
            <w:shd w:val="clear" w:color="auto" w:fill="auto"/>
            <w:vAlign w:val="center"/>
          </w:tcPr>
          <w:p w14:paraId="09BF2E8C">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臭气浓度</w:t>
            </w:r>
          </w:p>
        </w:tc>
        <w:tc>
          <w:tcPr>
            <w:tcW w:w="2914" w:type="dxa"/>
            <w:vMerge w:val="continue"/>
            <w:shd w:val="clear" w:color="auto" w:fill="auto"/>
            <w:vAlign w:val="center"/>
          </w:tcPr>
          <w:p w14:paraId="1A4C67A1">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913" w:type="dxa"/>
            <w:vMerge w:val="continue"/>
            <w:shd w:val="clear" w:color="auto" w:fill="auto"/>
            <w:vAlign w:val="center"/>
          </w:tcPr>
          <w:p w14:paraId="4A3D48D6">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2017" w:type="dxa"/>
            <w:vMerge w:val="continue"/>
            <w:shd w:val="clear" w:color="auto" w:fill="auto"/>
            <w:vAlign w:val="center"/>
          </w:tcPr>
          <w:p w14:paraId="087EA91F">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p>
        </w:tc>
        <w:tc>
          <w:tcPr>
            <w:tcW w:w="938" w:type="dxa"/>
            <w:shd w:val="clear" w:color="auto" w:fill="auto"/>
            <w:vAlign w:val="center"/>
          </w:tcPr>
          <w:p w14:paraId="18629F85">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1次/年</w:t>
            </w:r>
          </w:p>
        </w:tc>
        <w:tc>
          <w:tcPr>
            <w:tcW w:w="675" w:type="dxa"/>
            <w:vMerge w:val="continue"/>
            <w:shd w:val="clear" w:color="auto" w:fill="auto"/>
            <w:vAlign w:val="center"/>
          </w:tcPr>
          <w:p w14:paraId="740EA06B">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p>
        </w:tc>
        <w:tc>
          <w:tcPr>
            <w:tcW w:w="1331" w:type="dxa"/>
            <w:vMerge w:val="continue"/>
            <w:shd w:val="clear" w:color="auto" w:fill="auto"/>
            <w:vAlign w:val="center"/>
          </w:tcPr>
          <w:p w14:paraId="2F5B665E">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p>
        </w:tc>
        <w:tc>
          <w:tcPr>
            <w:tcW w:w="1898" w:type="dxa"/>
            <w:shd w:val="clear" w:color="auto" w:fill="auto"/>
            <w:vAlign w:val="center"/>
          </w:tcPr>
          <w:p w14:paraId="5EB98C34">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《空气质量 恶臭的测定 三点比较式臭袋法》（GB/T 14675-1993）</w:t>
            </w:r>
          </w:p>
        </w:tc>
      </w:tr>
      <w:tr w14:paraId="0618F5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shd w:val="clear" w:color="auto" w:fill="auto"/>
            <w:vAlign w:val="center"/>
          </w:tcPr>
          <w:p w14:paraId="1C553884">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厂界噪声</w:t>
            </w:r>
          </w:p>
        </w:tc>
        <w:tc>
          <w:tcPr>
            <w:tcW w:w="413" w:type="dxa"/>
            <w:shd w:val="clear" w:color="auto" w:fill="auto"/>
            <w:vAlign w:val="center"/>
          </w:tcPr>
          <w:p w14:paraId="5D460580">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w:t>
            </w:r>
          </w:p>
        </w:tc>
        <w:tc>
          <w:tcPr>
            <w:tcW w:w="1595" w:type="dxa"/>
            <w:shd w:val="clear" w:color="auto" w:fill="auto"/>
            <w:vAlign w:val="center"/>
          </w:tcPr>
          <w:p w14:paraId="0BA69874">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昼夜噪声等效A声级</w:t>
            </w:r>
          </w:p>
        </w:tc>
        <w:tc>
          <w:tcPr>
            <w:tcW w:w="2914" w:type="dxa"/>
            <w:shd w:val="clear" w:color="auto" w:fill="auto"/>
            <w:vAlign w:val="center"/>
          </w:tcPr>
          <w:p w14:paraId="4290EA6A">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为水泵、固液分离机等设备采取隔声、减振降噪措施</w:t>
            </w:r>
          </w:p>
        </w:tc>
        <w:tc>
          <w:tcPr>
            <w:tcW w:w="913" w:type="dxa"/>
            <w:shd w:val="clear" w:color="auto" w:fill="auto"/>
            <w:vAlign w:val="center"/>
          </w:tcPr>
          <w:p w14:paraId="1F7F30E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厂界外1m，高度1.2m以上</w:t>
            </w:r>
          </w:p>
        </w:tc>
        <w:tc>
          <w:tcPr>
            <w:tcW w:w="2017" w:type="dxa"/>
            <w:shd w:val="clear" w:color="auto" w:fill="auto"/>
            <w:vAlign w:val="center"/>
          </w:tcPr>
          <w:p w14:paraId="1F02E8FB">
            <w:pPr>
              <w:spacing w:line="240" w:lineRule="auto"/>
              <w:ind w:firstLine="0" w:firstLineChars="0"/>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满足《工业企业厂界环境噪声排放标准》（GB12348-2008）表1中1类标准</w:t>
            </w:r>
          </w:p>
        </w:tc>
        <w:tc>
          <w:tcPr>
            <w:tcW w:w="938" w:type="dxa"/>
            <w:shd w:val="clear" w:color="auto" w:fill="auto"/>
            <w:vAlign w:val="center"/>
          </w:tcPr>
          <w:p w14:paraId="02424246">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1次/季度</w:t>
            </w:r>
          </w:p>
        </w:tc>
        <w:tc>
          <w:tcPr>
            <w:tcW w:w="675" w:type="dxa"/>
            <w:shd w:val="clear" w:color="auto" w:fill="auto"/>
            <w:vAlign w:val="center"/>
          </w:tcPr>
          <w:p w14:paraId="1C95C506">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snapToGrid w:val="0"/>
                <w:color w:val="auto"/>
                <w:kern w:val="0"/>
                <w:sz w:val="21"/>
                <w:szCs w:val="21"/>
                <w:highlight w:val="none"/>
                <w:lang w:val="zh-CN"/>
              </w:rPr>
              <w:t>手工监测技术</w:t>
            </w:r>
          </w:p>
        </w:tc>
        <w:tc>
          <w:tcPr>
            <w:tcW w:w="1331" w:type="dxa"/>
            <w:shd w:val="clear" w:color="auto" w:fill="auto"/>
            <w:vAlign w:val="center"/>
          </w:tcPr>
          <w:p w14:paraId="1D228217">
            <w:pPr>
              <w:spacing w:line="240" w:lineRule="auto"/>
              <w:ind w:firstLine="0" w:firstLineChars="0"/>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参照《工业企业厂界环境噪声排放标准》（GB12348-2008）</w:t>
            </w:r>
          </w:p>
        </w:tc>
        <w:tc>
          <w:tcPr>
            <w:tcW w:w="1898" w:type="dxa"/>
            <w:shd w:val="clear" w:color="auto" w:fill="auto"/>
            <w:vAlign w:val="center"/>
          </w:tcPr>
          <w:p w14:paraId="3FDCE345">
            <w:pPr>
              <w:spacing w:line="240" w:lineRule="auto"/>
              <w:ind w:firstLine="0" w:firstLineChars="0"/>
              <w:jc w:val="center"/>
              <w:rPr>
                <w:rFonts w:hint="default" w:ascii="Times New Roman" w:hAnsi="Times New Roman" w:eastAsia="宋体" w:cs="Times New Roman"/>
                <w:color w:val="auto"/>
                <w:spacing w:val="-10"/>
                <w:kern w:val="0"/>
                <w:sz w:val="21"/>
                <w:szCs w:val="21"/>
                <w:highlight w:val="none"/>
                <w:lang w:val="zh-CN"/>
              </w:rPr>
            </w:pPr>
            <w:r>
              <w:rPr>
                <w:rFonts w:hint="default" w:ascii="Times New Roman" w:hAnsi="Times New Roman" w:eastAsia="宋体" w:cs="Times New Roman"/>
                <w:color w:val="auto"/>
                <w:spacing w:val="-10"/>
                <w:kern w:val="0"/>
                <w:sz w:val="21"/>
                <w:szCs w:val="21"/>
                <w:highlight w:val="none"/>
                <w:lang w:val="zh-CN"/>
              </w:rPr>
              <w:t>参照《声环境质量标准》（GB3096-2008）中附录B</w:t>
            </w:r>
          </w:p>
        </w:tc>
      </w:tr>
      <w:tr w14:paraId="6CAF6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shd w:val="clear" w:color="auto" w:fill="auto"/>
            <w:vAlign w:val="center"/>
          </w:tcPr>
          <w:p w14:paraId="54331DF4">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413" w:type="dxa"/>
            <w:shd w:val="clear" w:color="auto" w:fill="auto"/>
            <w:vAlign w:val="center"/>
          </w:tcPr>
          <w:p w14:paraId="280F0348">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地下水跟踪监测井</w:t>
            </w:r>
          </w:p>
        </w:tc>
        <w:tc>
          <w:tcPr>
            <w:tcW w:w="1595" w:type="dxa"/>
            <w:shd w:val="clear" w:color="auto" w:fill="auto"/>
            <w:vAlign w:val="center"/>
          </w:tcPr>
          <w:p w14:paraId="44134873">
            <w:pPr>
              <w:pStyle w:val="146"/>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pH</w:t>
            </w:r>
            <w:r>
              <w:rPr>
                <w:rFonts w:hint="eastAsia" w:ascii="Times New Roman" w:hAnsi="Times New Roman" w:eastAsia="宋体" w:cs="Times New Roman"/>
                <w:color w:val="auto"/>
                <w:highlight w:val="none"/>
                <w:lang w:val="en-US" w:eastAsia="zh-CN"/>
              </w:rPr>
              <w:t>值</w:t>
            </w:r>
            <w:r>
              <w:rPr>
                <w:rFonts w:hint="default" w:ascii="Times New Roman" w:hAnsi="Times New Roman" w:eastAsia="宋体" w:cs="Times New Roman"/>
                <w:color w:val="auto"/>
                <w:highlight w:val="none"/>
                <w:lang w:val="en-US" w:eastAsia="zh-CN"/>
              </w:rPr>
              <w:t>、高锰酸盐指数、氨氮、总硬度、硝酸盐（以N计）、亚硝酸盐（以N计）、硫酸盐、氯化物、铁、锰、总大肠菌群、挥发酚（类）、氰化物、砷、汞、六价铬、镉、铅、氟化物、溶解性总固体、细菌总数、石油类</w:t>
            </w:r>
            <w:r>
              <w:rPr>
                <w:rFonts w:hint="eastAsia" w:ascii="Times New Roman" w:hAnsi="Times New Roman" w:eastAsia="宋体" w:cs="Times New Roman"/>
                <w:color w:val="auto"/>
                <w:highlight w:val="none"/>
                <w:lang w:val="en-US" w:eastAsia="zh-CN"/>
              </w:rPr>
              <w:t>、总磷、总氮、化学需氧量</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生化需氧量</w:t>
            </w:r>
          </w:p>
        </w:tc>
        <w:tc>
          <w:tcPr>
            <w:tcW w:w="2914" w:type="dxa"/>
            <w:vMerge w:val="restart"/>
            <w:shd w:val="clear" w:color="auto" w:fill="auto"/>
            <w:vAlign w:val="center"/>
          </w:tcPr>
          <w:p w14:paraId="7AF4BE5C">
            <w:pPr>
              <w:pStyle w:val="146"/>
              <w:jc w:val="both"/>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fldChar w:fldCharType="begin"/>
            </w:r>
            <w:r>
              <w:rPr>
                <w:rFonts w:hint="default" w:ascii="Times New Roman" w:hAnsi="Times New Roman" w:eastAsia="宋体" w:cs="Times New Roman"/>
                <w:color w:val="auto"/>
                <w:sz w:val="21"/>
                <w:szCs w:val="21"/>
                <w:highlight w:val="none"/>
                <w:lang w:val="en-GB" w:eastAsia="zh-CN"/>
              </w:rPr>
              <w:instrText xml:space="preserve"> = 1 \* GB3 </w:instrText>
            </w:r>
            <w:r>
              <w:rPr>
                <w:rFonts w:hint="default" w:ascii="Times New Roman" w:hAnsi="Times New Roman" w:eastAsia="宋体" w:cs="Times New Roman"/>
                <w:color w:val="auto"/>
                <w:sz w:val="21"/>
                <w:szCs w:val="21"/>
                <w:highlight w:val="none"/>
                <w:lang w:val="en-GB"/>
              </w:rPr>
              <w:fldChar w:fldCharType="separate"/>
            </w:r>
            <w:r>
              <w:rPr>
                <w:rFonts w:hint="default" w:ascii="Times New Roman" w:hAnsi="Times New Roman" w:eastAsia="宋体" w:cs="Times New Roman"/>
                <w:color w:val="auto"/>
                <w:sz w:val="21"/>
                <w:szCs w:val="21"/>
                <w:highlight w:val="none"/>
                <w:lang w:val="en-GB" w:eastAsia="zh-CN"/>
              </w:rPr>
              <w:t>①</w:t>
            </w:r>
            <w:r>
              <w:rPr>
                <w:rFonts w:hint="default" w:ascii="Times New Roman" w:hAnsi="Times New Roman" w:eastAsia="宋体" w:cs="Times New Roman"/>
                <w:color w:val="auto"/>
                <w:sz w:val="21"/>
                <w:szCs w:val="21"/>
                <w:highlight w:val="none"/>
                <w:lang w:val="en-GB"/>
              </w:rPr>
              <w:fldChar w:fldCharType="end"/>
            </w:r>
            <w:r>
              <w:rPr>
                <w:rFonts w:hint="default" w:ascii="Times New Roman" w:hAnsi="Times New Roman" w:eastAsia="宋体" w:cs="Times New Roman"/>
                <w:color w:val="auto"/>
                <w:sz w:val="21"/>
                <w:szCs w:val="21"/>
                <w:highlight w:val="none"/>
                <w:lang w:val="en-GB"/>
              </w:rPr>
              <w:t>重点防渗区：</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r>
              <w:rPr>
                <w:rFonts w:hint="default" w:ascii="Times New Roman" w:hAnsi="Times New Roman" w:eastAsia="宋体" w:cs="Times New Roman"/>
                <w:color w:val="auto"/>
                <w:sz w:val="21"/>
                <w:szCs w:val="21"/>
                <w:highlight w:val="none"/>
                <w:lang w:val="en-GB" w:eastAsia="zh-CN"/>
              </w:rPr>
              <w:t>采用重点防渗。</w:t>
            </w: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r>
              <w:rPr>
                <w:rFonts w:hint="default" w:ascii="Times New Roman" w:hAnsi="Times New Roman" w:eastAsia="宋体" w:cs="Times New Roman"/>
                <w:color w:val="auto"/>
                <w:sz w:val="21"/>
                <w:szCs w:val="21"/>
                <w:highlight w:val="none"/>
                <w:lang w:val="en-GB" w:eastAsia="zh-CN"/>
              </w:rPr>
              <w:t>等效粘土层</w:t>
            </w:r>
            <w:r>
              <w:rPr>
                <w:rFonts w:hint="default" w:ascii="Times New Roman" w:hAnsi="Times New Roman" w:eastAsia="宋体" w:cs="Times New Roman"/>
                <w:color w:val="auto"/>
                <w:sz w:val="21"/>
                <w:szCs w:val="21"/>
                <w:highlight w:val="none"/>
                <w:lang w:val="en-US" w:eastAsia="zh-CN"/>
              </w:rPr>
              <w:t>厚度要≥6.0m，满足渗透系数K≤1.0×10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cm/s；防渗粘土层（至少1m厚）上部及侧面铺设1.0mm高密度聚乙烯（HDPE）防渗膜（渗透系数K≤10</w:t>
            </w:r>
            <w:r>
              <w:rPr>
                <w:rFonts w:hint="default" w:ascii="Times New Roman" w:hAnsi="Times New Roman" w:eastAsia="宋体" w:cs="Times New Roman"/>
                <w:color w:val="auto"/>
                <w:sz w:val="21"/>
                <w:szCs w:val="21"/>
                <w:highlight w:val="none"/>
                <w:vertAlign w:val="superscript"/>
                <w:lang w:val="en-US" w:eastAsia="zh-CN"/>
              </w:rPr>
              <w:t>-12</w:t>
            </w:r>
            <w:r>
              <w:rPr>
                <w:rFonts w:hint="default" w:ascii="Times New Roman" w:hAnsi="Times New Roman" w:eastAsia="宋体" w:cs="Times New Roman"/>
                <w:color w:val="auto"/>
                <w:sz w:val="21"/>
                <w:szCs w:val="21"/>
                <w:highlight w:val="none"/>
                <w:lang w:val="en-US" w:eastAsia="zh-CN"/>
              </w:rPr>
              <w:t>cm/s），在做好基层防渗的基础上进行水泥硬化；危险废物贮存点基础防渗层为至少1m厚粘土层（渗透系数K≤10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cm/s）或2mm厚高密度聚乙烯等人工防渗材料（渗透系数K≤10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w:t>
            </w:r>
          </w:p>
          <w:p w14:paraId="759F77DB">
            <w:pPr>
              <w:pStyle w:val="146"/>
              <w:jc w:val="both"/>
              <w:rPr>
                <w:rFonts w:hint="default" w:ascii="Times New Roman" w:hAnsi="Times New Roman" w:eastAsia="宋体" w:cs="Times New Roman"/>
                <w:color w:val="auto"/>
                <w:sz w:val="21"/>
                <w:szCs w:val="21"/>
                <w:highlight w:val="none"/>
                <w:lang w:val="en-GB"/>
              </w:rPr>
            </w:pPr>
            <w:r>
              <w:rPr>
                <w:rFonts w:hint="default" w:ascii="Times New Roman" w:hAnsi="Times New Roman" w:eastAsia="宋体" w:cs="Times New Roman"/>
                <w:color w:val="auto"/>
                <w:sz w:val="21"/>
                <w:szCs w:val="21"/>
                <w:highlight w:val="none"/>
                <w:lang w:val="en-GB"/>
              </w:rPr>
              <w:fldChar w:fldCharType="begin"/>
            </w:r>
            <w:r>
              <w:rPr>
                <w:rFonts w:hint="default" w:ascii="Times New Roman" w:hAnsi="Times New Roman" w:eastAsia="宋体" w:cs="Times New Roman"/>
                <w:color w:val="auto"/>
                <w:sz w:val="21"/>
                <w:szCs w:val="21"/>
                <w:highlight w:val="none"/>
                <w:lang w:val="en-GB" w:eastAsia="zh-CN"/>
              </w:rPr>
              <w:instrText xml:space="preserve"> = 2 \* GB3 </w:instrText>
            </w:r>
            <w:r>
              <w:rPr>
                <w:rFonts w:hint="default" w:ascii="Times New Roman" w:hAnsi="Times New Roman" w:eastAsia="宋体" w:cs="Times New Roman"/>
                <w:color w:val="auto"/>
                <w:sz w:val="21"/>
                <w:szCs w:val="21"/>
                <w:highlight w:val="none"/>
                <w:lang w:val="en-GB"/>
              </w:rPr>
              <w:fldChar w:fldCharType="separate"/>
            </w:r>
            <w:r>
              <w:rPr>
                <w:rFonts w:hint="default" w:ascii="Times New Roman" w:hAnsi="Times New Roman" w:eastAsia="宋体" w:cs="Times New Roman"/>
                <w:color w:val="auto"/>
                <w:sz w:val="21"/>
                <w:szCs w:val="21"/>
                <w:highlight w:val="none"/>
                <w:lang w:val="en-GB" w:eastAsia="zh-CN"/>
              </w:rPr>
              <w:t>②</w:t>
            </w:r>
            <w:r>
              <w:rPr>
                <w:rFonts w:hint="default" w:ascii="Times New Roman" w:hAnsi="Times New Roman" w:eastAsia="宋体" w:cs="Times New Roman"/>
                <w:color w:val="auto"/>
                <w:sz w:val="21"/>
                <w:szCs w:val="21"/>
                <w:highlight w:val="none"/>
                <w:lang w:val="en-GB"/>
              </w:rPr>
              <w:fldChar w:fldCharType="end"/>
            </w:r>
            <w:r>
              <w:rPr>
                <w:rFonts w:hint="default" w:ascii="Times New Roman" w:hAnsi="Times New Roman" w:eastAsia="宋体" w:cs="Times New Roman"/>
                <w:color w:val="auto"/>
                <w:highlight w:val="none"/>
              </w:rPr>
              <w:t>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r>
              <w:rPr>
                <w:rFonts w:hint="default" w:ascii="Times New Roman" w:hAnsi="Times New Roman" w:eastAsia="宋体" w:cs="Times New Roman"/>
                <w:color w:val="auto"/>
                <w:sz w:val="21"/>
                <w:szCs w:val="21"/>
                <w:highlight w:val="none"/>
                <w:lang w:val="en-GB" w:eastAsia="zh-CN"/>
              </w:rPr>
              <w:t>采取一般防渗措施</w:t>
            </w:r>
            <w:r>
              <w:rPr>
                <w:rFonts w:hint="default" w:ascii="Times New Roman" w:hAnsi="Times New Roman" w:eastAsia="宋体" w:cs="Times New Roman"/>
                <w:color w:val="auto"/>
                <w:sz w:val="21"/>
                <w:szCs w:val="21"/>
                <w:highlight w:val="none"/>
                <w:lang w:val="en-GB"/>
              </w:rPr>
              <w:t>。地面基础防渗，防渗层为至少1m厚粘土层或2mm厚高密度聚乙烯，需满足等效黏土防渗层Mb≥1.5m，K≤1×10</w:t>
            </w:r>
            <w:r>
              <w:rPr>
                <w:rFonts w:hint="default" w:ascii="Times New Roman" w:hAnsi="Times New Roman" w:eastAsia="宋体" w:cs="Times New Roman"/>
                <w:color w:val="auto"/>
                <w:sz w:val="21"/>
                <w:szCs w:val="21"/>
                <w:highlight w:val="none"/>
                <w:vertAlign w:val="superscript"/>
                <w:lang w:val="en-GB"/>
              </w:rPr>
              <w:t>-7</w:t>
            </w:r>
            <w:r>
              <w:rPr>
                <w:rFonts w:hint="default" w:ascii="Times New Roman" w:hAnsi="Times New Roman" w:eastAsia="宋体" w:cs="Times New Roman"/>
                <w:color w:val="auto"/>
                <w:sz w:val="21"/>
                <w:szCs w:val="21"/>
                <w:highlight w:val="none"/>
                <w:lang w:val="en-GB"/>
              </w:rPr>
              <w:t>cm/s的要求；</w:t>
            </w:r>
          </w:p>
          <w:p w14:paraId="3C8AE447">
            <w:pPr>
              <w:pStyle w:val="146"/>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eastAsia="zh-CN"/>
              </w:rPr>
              <w:fldChar w:fldCharType="begin"/>
            </w:r>
            <w:r>
              <w:rPr>
                <w:rFonts w:hint="default" w:ascii="Times New Roman" w:hAnsi="Times New Roman" w:eastAsia="宋体" w:cs="Times New Roman"/>
                <w:color w:val="auto"/>
                <w:sz w:val="21"/>
                <w:szCs w:val="21"/>
                <w:highlight w:val="none"/>
                <w:lang w:val="en-GB" w:eastAsia="zh-CN"/>
              </w:rPr>
              <w:instrText xml:space="preserve"> = 3 \* GB3 </w:instrText>
            </w:r>
            <w:r>
              <w:rPr>
                <w:rFonts w:hint="default" w:ascii="Times New Roman" w:hAnsi="Times New Roman" w:eastAsia="宋体" w:cs="Times New Roman"/>
                <w:color w:val="auto"/>
                <w:sz w:val="21"/>
                <w:szCs w:val="21"/>
                <w:highlight w:val="none"/>
                <w:lang w:val="en-GB" w:eastAsia="zh-CN"/>
              </w:rPr>
              <w:fldChar w:fldCharType="separate"/>
            </w:r>
            <w:r>
              <w:rPr>
                <w:rFonts w:hint="default" w:ascii="Times New Roman" w:hAnsi="Times New Roman" w:eastAsia="宋体" w:cs="Times New Roman"/>
                <w:color w:val="auto"/>
                <w:sz w:val="21"/>
                <w:szCs w:val="21"/>
                <w:highlight w:val="none"/>
                <w:lang w:val="en-GB" w:eastAsia="zh-CN"/>
              </w:rPr>
              <w:t>③</w:t>
            </w:r>
            <w:r>
              <w:rPr>
                <w:rFonts w:hint="default" w:ascii="Times New Roman" w:hAnsi="Times New Roman" w:eastAsia="宋体" w:cs="Times New Roman"/>
                <w:color w:val="auto"/>
                <w:sz w:val="21"/>
                <w:szCs w:val="21"/>
                <w:highlight w:val="none"/>
                <w:lang w:val="en-GB" w:eastAsia="zh-CN"/>
              </w:rPr>
              <w:fldChar w:fldCharType="end"/>
            </w:r>
            <w:r>
              <w:rPr>
                <w:rFonts w:hint="default" w:ascii="Times New Roman" w:hAnsi="Times New Roman" w:eastAsia="宋体" w:cs="Times New Roman"/>
                <w:color w:val="auto"/>
                <w:sz w:val="21"/>
                <w:szCs w:val="21"/>
                <w:highlight w:val="none"/>
              </w:rPr>
              <w:t>其他建筑物及厂内道路</w:t>
            </w:r>
            <w:r>
              <w:rPr>
                <w:rFonts w:hint="default" w:ascii="Times New Roman" w:hAnsi="Times New Roman" w:eastAsia="宋体" w:cs="Times New Roman"/>
                <w:color w:val="auto"/>
                <w:sz w:val="21"/>
                <w:szCs w:val="21"/>
                <w:highlight w:val="none"/>
                <w:lang w:val="en-GB" w:eastAsia="zh-CN"/>
              </w:rPr>
              <w:t>采用简单防渗，</w:t>
            </w:r>
            <w:r>
              <w:rPr>
                <w:rFonts w:hint="default" w:ascii="Times New Roman" w:hAnsi="Times New Roman" w:eastAsia="宋体" w:cs="Times New Roman"/>
                <w:color w:val="auto"/>
                <w:sz w:val="21"/>
                <w:szCs w:val="21"/>
                <w:highlight w:val="none"/>
                <w:lang w:val="en-GB"/>
              </w:rPr>
              <w:t>简单防渗区均用水泥进行硬化</w:t>
            </w:r>
            <w:r>
              <w:rPr>
                <w:rFonts w:hint="default" w:ascii="Times New Roman" w:hAnsi="Times New Roman" w:eastAsia="宋体" w:cs="Times New Roman"/>
                <w:color w:val="auto"/>
                <w:sz w:val="21"/>
                <w:szCs w:val="21"/>
                <w:highlight w:val="none"/>
                <w:lang w:val="en-GB" w:eastAsia="zh-CN"/>
              </w:rPr>
              <w:t>。</w:t>
            </w:r>
          </w:p>
        </w:tc>
        <w:tc>
          <w:tcPr>
            <w:tcW w:w="913" w:type="dxa"/>
            <w:shd w:val="clear" w:color="auto" w:fill="auto"/>
            <w:vAlign w:val="center"/>
          </w:tcPr>
          <w:p w14:paraId="4A31D92F">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场区内粪污处理区下游监测井</w:t>
            </w:r>
          </w:p>
        </w:tc>
        <w:tc>
          <w:tcPr>
            <w:tcW w:w="2017" w:type="dxa"/>
            <w:shd w:val="clear" w:color="auto" w:fill="auto"/>
            <w:vAlign w:val="center"/>
          </w:tcPr>
          <w:p w14:paraId="3B4C5ED4">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《地下水质量标准》（GB/T14848-2017）中</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Ⅲ</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类标准</w:t>
            </w:r>
          </w:p>
        </w:tc>
        <w:tc>
          <w:tcPr>
            <w:tcW w:w="938" w:type="dxa"/>
            <w:shd w:val="clear" w:color="auto" w:fill="auto"/>
            <w:vAlign w:val="center"/>
          </w:tcPr>
          <w:p w14:paraId="1E76D4D9">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w:t>
            </w:r>
            <w:r>
              <w:rPr>
                <w:rFonts w:hint="eastAsia" w:eastAsia="宋体" w:cs="Times New Roman"/>
                <w:color w:val="auto"/>
                <w:sz w:val="21"/>
                <w:szCs w:val="21"/>
                <w:highlight w:val="none"/>
                <w:lang w:val="en-US" w:eastAsia="zh-CN"/>
              </w:rPr>
              <w:t>年</w:t>
            </w:r>
          </w:p>
        </w:tc>
        <w:tc>
          <w:tcPr>
            <w:tcW w:w="675" w:type="dxa"/>
            <w:shd w:val="clear" w:color="auto" w:fill="auto"/>
            <w:vAlign w:val="center"/>
          </w:tcPr>
          <w:p w14:paraId="5A527F2D">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手工监测技术</w:t>
            </w:r>
          </w:p>
        </w:tc>
        <w:tc>
          <w:tcPr>
            <w:tcW w:w="1331" w:type="dxa"/>
            <w:shd w:val="clear" w:color="auto" w:fill="auto"/>
            <w:vAlign w:val="center"/>
          </w:tcPr>
          <w:p w14:paraId="19D910AF">
            <w:pPr>
              <w:pStyle w:val="146"/>
              <w:jc w:val="both"/>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参照《生活饮用水标准检验方法》（GB/T5750.5-2006）</w:t>
            </w:r>
          </w:p>
        </w:tc>
        <w:tc>
          <w:tcPr>
            <w:tcW w:w="1898" w:type="dxa"/>
            <w:shd w:val="clear" w:color="auto" w:fill="auto"/>
            <w:vAlign w:val="center"/>
          </w:tcPr>
          <w:p w14:paraId="7631923C">
            <w:pPr>
              <w:pStyle w:val="146"/>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《地下水质量标准》（GB/T14848-2017）</w:t>
            </w:r>
          </w:p>
        </w:tc>
      </w:tr>
      <w:tr w14:paraId="3F609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4" w:type="dxa"/>
            <w:shd w:val="clear" w:color="auto" w:fill="auto"/>
            <w:vAlign w:val="center"/>
          </w:tcPr>
          <w:p w14:paraId="5CB2CE96">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土壤</w:t>
            </w:r>
          </w:p>
        </w:tc>
        <w:tc>
          <w:tcPr>
            <w:tcW w:w="413" w:type="dxa"/>
            <w:shd w:val="clear" w:color="auto" w:fill="auto"/>
            <w:vAlign w:val="center"/>
          </w:tcPr>
          <w:p w14:paraId="7A3AD198">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土壤</w:t>
            </w:r>
          </w:p>
        </w:tc>
        <w:tc>
          <w:tcPr>
            <w:tcW w:w="1595" w:type="dxa"/>
            <w:shd w:val="clear" w:color="auto" w:fill="auto"/>
            <w:vAlign w:val="center"/>
          </w:tcPr>
          <w:p w14:paraId="49BFB3FB">
            <w:pPr>
              <w:pStyle w:val="146"/>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pH、铜、锌</w:t>
            </w:r>
          </w:p>
        </w:tc>
        <w:tc>
          <w:tcPr>
            <w:tcW w:w="2914" w:type="dxa"/>
            <w:vMerge w:val="continue"/>
            <w:shd w:val="clear" w:color="auto" w:fill="auto"/>
            <w:vAlign w:val="center"/>
          </w:tcPr>
          <w:p w14:paraId="61DF8A77">
            <w:pPr>
              <w:pStyle w:val="146"/>
              <w:jc w:val="both"/>
              <w:rPr>
                <w:rFonts w:hint="default" w:ascii="Times New Roman" w:hAnsi="Times New Roman" w:eastAsia="宋体" w:cs="Times New Roman"/>
                <w:color w:val="auto"/>
                <w:sz w:val="21"/>
                <w:szCs w:val="21"/>
                <w:highlight w:val="none"/>
              </w:rPr>
            </w:pPr>
          </w:p>
        </w:tc>
        <w:tc>
          <w:tcPr>
            <w:tcW w:w="913" w:type="dxa"/>
            <w:shd w:val="clear" w:color="auto" w:fill="auto"/>
            <w:vAlign w:val="center"/>
          </w:tcPr>
          <w:p w14:paraId="7DE99663">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项目用地及占地范围外0.05km范围内耕地</w:t>
            </w:r>
          </w:p>
        </w:tc>
        <w:tc>
          <w:tcPr>
            <w:tcW w:w="2017" w:type="dxa"/>
            <w:shd w:val="clear" w:color="auto" w:fill="auto"/>
            <w:vAlign w:val="center"/>
          </w:tcPr>
          <w:p w14:paraId="023BF295">
            <w:pPr>
              <w:pStyle w:val="146"/>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占地范围内执行</w:t>
            </w:r>
            <w:r>
              <w:rPr>
                <w:rFonts w:hint="default" w:ascii="Times New Roman" w:hAnsi="Times New Roman" w:eastAsia="宋体" w:cs="Times New Roman"/>
                <w:color w:val="auto"/>
                <w:sz w:val="21"/>
                <w:szCs w:val="21"/>
                <w:highlight w:val="none"/>
                <w:lang w:val="zh-CN"/>
              </w:rPr>
              <w:t>《土壤环境质量 建设用地土壤污染风险管控标准（试行）》（GB36680-2018）第二类用地风险筛选值</w:t>
            </w:r>
            <w:r>
              <w:rPr>
                <w:rFonts w:hint="eastAsia" w:ascii="Times New Roman" w:hAnsi="Times New Roman" w:eastAsia="宋体" w:cs="Times New Roman"/>
                <w:color w:val="auto"/>
                <w:sz w:val="21"/>
                <w:szCs w:val="21"/>
                <w:highlight w:val="none"/>
                <w:lang w:val="en-US" w:eastAsia="zh-CN"/>
              </w:rPr>
              <w:t>，占地范围外执行</w:t>
            </w:r>
            <w:r>
              <w:rPr>
                <w:rFonts w:hint="default" w:ascii="Times New Roman" w:hAnsi="Times New Roman" w:eastAsia="宋体" w:cs="Times New Roman"/>
                <w:color w:val="auto"/>
                <w:sz w:val="21"/>
                <w:szCs w:val="21"/>
                <w:highlight w:val="none"/>
                <w:lang w:val="zh-CN"/>
              </w:rPr>
              <w:t>《土壤环境质量 农用地土壤污染风险管控标准（试行）》（GB15618-2018）表1其他农用地风险筛选值</w:t>
            </w:r>
          </w:p>
        </w:tc>
        <w:tc>
          <w:tcPr>
            <w:tcW w:w="938" w:type="dxa"/>
            <w:shd w:val="clear" w:color="auto" w:fill="auto"/>
            <w:vAlign w:val="center"/>
          </w:tcPr>
          <w:p w14:paraId="49B52DD8">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必要时监测</w:t>
            </w:r>
          </w:p>
        </w:tc>
        <w:tc>
          <w:tcPr>
            <w:tcW w:w="675" w:type="dxa"/>
            <w:shd w:val="clear" w:color="auto" w:fill="auto"/>
            <w:vAlign w:val="center"/>
          </w:tcPr>
          <w:p w14:paraId="2B2B09F9">
            <w:pPr>
              <w:pStyle w:val="14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手工监测技术</w:t>
            </w:r>
          </w:p>
        </w:tc>
        <w:tc>
          <w:tcPr>
            <w:tcW w:w="1331" w:type="dxa"/>
            <w:shd w:val="clear" w:color="auto" w:fill="auto"/>
            <w:vAlign w:val="center"/>
          </w:tcPr>
          <w:p w14:paraId="11CD8D02">
            <w:pPr>
              <w:pStyle w:val="146"/>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w:t>
            </w:r>
          </w:p>
        </w:tc>
        <w:tc>
          <w:tcPr>
            <w:tcW w:w="1898" w:type="dxa"/>
            <w:shd w:val="clear" w:color="auto" w:fill="auto"/>
            <w:vAlign w:val="center"/>
          </w:tcPr>
          <w:p w14:paraId="5D0F8D74">
            <w:pPr>
              <w:pStyle w:val="146"/>
              <w:jc w:val="both"/>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lang w:val="zh-CN"/>
              </w:rPr>
              <w:t>参照</w:t>
            </w:r>
            <w:r>
              <w:rPr>
                <w:rFonts w:hint="default" w:ascii="Times New Roman" w:hAnsi="Times New Roman" w:eastAsia="宋体" w:cs="Times New Roman"/>
                <w:color w:val="auto"/>
                <w:sz w:val="21"/>
                <w:szCs w:val="21"/>
                <w:highlight w:val="none"/>
                <w:lang w:val="zh-CN"/>
              </w:rPr>
              <w:t>《土壤环境质量 建设用地土壤污染风险管控标准（试行）》（GB36680-2018）</w:t>
            </w:r>
            <w:r>
              <w:rPr>
                <w:rFonts w:hint="eastAsia" w:ascii="Times New Roman" w:hAnsi="Times New Roman" w:eastAsia="宋体" w:cs="Times New Roman"/>
                <w:color w:val="auto"/>
                <w:sz w:val="21"/>
                <w:szCs w:val="21"/>
                <w:highlight w:val="none"/>
                <w:lang w:val="en-US" w:eastAsia="zh-CN"/>
              </w:rPr>
              <w:t>及</w:t>
            </w:r>
            <w:r>
              <w:rPr>
                <w:rFonts w:hint="default" w:ascii="Times New Roman" w:hAnsi="Times New Roman" w:eastAsia="宋体" w:cs="Times New Roman"/>
                <w:color w:val="auto"/>
                <w:spacing w:val="-10"/>
                <w:sz w:val="21"/>
                <w:szCs w:val="21"/>
                <w:highlight w:val="none"/>
              </w:rPr>
              <w:t>《土壤环境质量 农用地土壤污染风险管控标准（试行）》（GB 15618-2018）</w:t>
            </w:r>
          </w:p>
        </w:tc>
      </w:tr>
    </w:tbl>
    <w:p w14:paraId="310DC9D8">
      <w:pPr>
        <w:pStyle w:val="67"/>
        <w:ind w:firstLine="480"/>
        <w:rPr>
          <w:rFonts w:hint="default" w:ascii="Times New Roman" w:hAnsi="Times New Roman" w:cs="Times New Roman"/>
          <w:color w:val="auto"/>
          <w:highlight w:val="none"/>
        </w:rPr>
        <w:sectPr>
          <w:pgSz w:w="16838" w:h="11906" w:orient="landscape"/>
          <w:pgMar w:top="1440" w:right="1800" w:bottom="1440" w:left="1800" w:header="850" w:footer="992" w:gutter="0"/>
          <w:pgBorders>
            <w:top w:val="none" w:sz="0" w:space="0"/>
            <w:left w:val="none" w:sz="0" w:space="0"/>
            <w:bottom w:val="none" w:sz="0" w:space="0"/>
            <w:right w:val="none" w:sz="0" w:space="0"/>
          </w:pgBorders>
          <w:cols w:space="425" w:num="1"/>
          <w:docGrid w:type="linesAndChars" w:linePitch="326" w:charSpace="0"/>
        </w:sectPr>
      </w:pPr>
    </w:p>
    <w:p w14:paraId="387C113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（2）信息报告</w:t>
      </w:r>
    </w:p>
    <w:p w14:paraId="7AE8BEC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排污单位应编写自行监测年度报告，年度报告至少应包含以下内容：</w:t>
      </w:r>
    </w:p>
    <w:p w14:paraId="655C6D8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a）监测方案的调整变化情况及变更原因；</w:t>
      </w:r>
    </w:p>
    <w:p w14:paraId="686AAE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b）企业及各主要生产设施（至少涵盖废气主要污染源相关生产设施）全年运行天数，</w:t>
      </w:r>
    </w:p>
    <w:p w14:paraId="01CDFBE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各监测点、各监测指标全年监测次数、超标情况、浓度分布情况；</w:t>
      </w:r>
    </w:p>
    <w:p w14:paraId="5A10223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c）按要求开展的周边环境质量影响状况监测结果；</w:t>
      </w:r>
    </w:p>
    <w:p w14:paraId="2D0A0AA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d）自行监测开展的其他情况说明；</w:t>
      </w:r>
    </w:p>
    <w:p w14:paraId="1D05744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e）排污单位实现达标排放所采取的主要措施。</w:t>
      </w:r>
    </w:p>
    <w:p w14:paraId="3A77BA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（3）应急报告</w:t>
      </w:r>
    </w:p>
    <w:p w14:paraId="5C374E2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污水处理设施安全运行的，应当立即采取措施消除危害，并及时向城镇排水主管部门和环境保护主管部门等有关部门报告。</w:t>
      </w:r>
    </w:p>
    <w:p w14:paraId="119C8E3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（4）信息公开</w:t>
      </w:r>
    </w:p>
    <w:p w14:paraId="7FC2B11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自行监测信息公开内容及方式按照《企业事业单位环境信息公开办法》（环境保护部令第31号）及《国家重点监控企业自行监测及信息公开办法（试行）》（环发[2013]81号）执行。非重点排污单位的信息公开要求由地方环境保护主管部门确定。</w:t>
      </w:r>
    </w:p>
    <w:p w14:paraId="06B99E6D">
      <w:pPr>
        <w:pStyle w:val="4"/>
        <w:rPr>
          <w:rFonts w:hint="default" w:ascii="Times New Roman" w:hAnsi="Times New Roman" w:cs="Times New Roman"/>
          <w:color w:val="auto"/>
          <w:highlight w:val="none"/>
        </w:rPr>
      </w:pPr>
      <w:bookmarkStart w:id="644" w:name="_Toc19306"/>
      <w:bookmarkStart w:id="645" w:name="_Toc57713725"/>
      <w:r>
        <w:rPr>
          <w:rFonts w:hint="default" w:ascii="Times New Roman" w:hAnsi="Times New Roman" w:cs="Times New Roman"/>
          <w:color w:val="auto"/>
          <w:highlight w:val="none"/>
        </w:rPr>
        <w:t>8.3环境保护验收</w:t>
      </w:r>
      <w:bookmarkEnd w:id="641"/>
      <w:bookmarkEnd w:id="642"/>
      <w:bookmarkEnd w:id="643"/>
      <w:bookmarkEnd w:id="644"/>
      <w:bookmarkEnd w:id="645"/>
    </w:p>
    <w:p w14:paraId="206914D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本项目中的污染防治措施必须与主体工程同时设计、同时施工、同时投产使用。防治污染的设施必须经自主验收合格后，项目方可投入生产和使用。环境保护验收是环境影响评价制度的延伸。</w:t>
      </w:r>
    </w:p>
    <w:p w14:paraId="1D9A76C3">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eastAsia="宋体" w:cs="Times New Roman"/>
          <w:color w:val="auto"/>
          <w:highlight w:val="none"/>
        </w:rPr>
        <w:t>拟建项目建成后，环境保护措施竣工验收情况详见下表</w:t>
      </w:r>
      <w:r>
        <w:rPr>
          <w:rFonts w:hint="default" w:ascii="Times New Roman" w:hAnsi="Times New Roman" w:cs="Times New Roman"/>
          <w:color w:val="auto"/>
          <w:highlight w:val="none"/>
        </w:rPr>
        <w:t>。</w:t>
      </w:r>
    </w:p>
    <w:p w14:paraId="0932C0CD">
      <w:pPr>
        <w:pStyle w:val="210"/>
        <w:rPr>
          <w:rFonts w:hint="default" w:ascii="Times New Roman" w:hAnsi="Times New Roman" w:cs="Times New Roman"/>
          <w:color w:val="auto"/>
          <w:highlight w:val="none"/>
        </w:rPr>
      </w:pPr>
      <w:r>
        <w:rPr>
          <w:rFonts w:hint="default" w:ascii="Times New Roman" w:hAnsi="Times New Roman" w:cs="Times New Roman"/>
          <w:color w:val="auto"/>
          <w:highlight w:val="none"/>
        </w:rPr>
        <w:t>表8-3-1建设项目竣工环境保护验收一览表</w:t>
      </w:r>
    </w:p>
    <w:tbl>
      <w:tblPr>
        <w:tblStyle w:val="47"/>
        <w:tblW w:w="481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037"/>
        <w:gridCol w:w="1533"/>
        <w:gridCol w:w="3054"/>
        <w:gridCol w:w="2410"/>
        <w:gridCol w:w="4076"/>
      </w:tblGrid>
      <w:tr w14:paraId="38B6C5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14:paraId="164296F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c>
          <w:tcPr>
            <w:tcW w:w="1054" w:type="dxa"/>
            <w:shd w:val="clear" w:color="auto" w:fill="auto"/>
            <w:vAlign w:val="center"/>
          </w:tcPr>
          <w:p w14:paraId="617D7F0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类别</w:t>
            </w:r>
          </w:p>
        </w:tc>
        <w:tc>
          <w:tcPr>
            <w:tcW w:w="1558" w:type="dxa"/>
            <w:shd w:val="clear" w:color="auto" w:fill="auto"/>
            <w:vAlign w:val="center"/>
          </w:tcPr>
          <w:p w14:paraId="3970AA4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污染源</w:t>
            </w:r>
          </w:p>
        </w:tc>
        <w:tc>
          <w:tcPr>
            <w:tcW w:w="3104" w:type="dxa"/>
            <w:shd w:val="clear" w:color="auto" w:fill="auto"/>
            <w:vAlign w:val="center"/>
          </w:tcPr>
          <w:p w14:paraId="77F82D0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tc>
        <w:tc>
          <w:tcPr>
            <w:tcW w:w="2449" w:type="dxa"/>
            <w:shd w:val="clear" w:color="auto" w:fill="auto"/>
            <w:vAlign w:val="center"/>
          </w:tcPr>
          <w:p w14:paraId="4EA08A9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建设内容</w:t>
            </w:r>
          </w:p>
        </w:tc>
        <w:tc>
          <w:tcPr>
            <w:tcW w:w="4143" w:type="dxa"/>
            <w:shd w:val="clear" w:color="auto" w:fill="auto"/>
            <w:vAlign w:val="center"/>
          </w:tcPr>
          <w:p w14:paraId="5BA18C8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验收标准</w:t>
            </w:r>
          </w:p>
        </w:tc>
      </w:tr>
      <w:tr w14:paraId="2FC4E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restart"/>
            <w:shd w:val="clear" w:color="auto" w:fill="auto"/>
            <w:vAlign w:val="center"/>
          </w:tcPr>
          <w:p w14:paraId="28E4ED9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1054" w:type="dxa"/>
            <w:shd w:val="clear" w:color="auto" w:fill="auto"/>
            <w:vAlign w:val="center"/>
          </w:tcPr>
          <w:p w14:paraId="2F5C2A88">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养殖废水</w:t>
            </w:r>
          </w:p>
        </w:tc>
        <w:tc>
          <w:tcPr>
            <w:tcW w:w="1558" w:type="dxa"/>
            <w:shd w:val="clear" w:color="auto" w:fill="auto"/>
            <w:vAlign w:val="center"/>
          </w:tcPr>
          <w:p w14:paraId="20BC4172">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牛舍</w:t>
            </w:r>
          </w:p>
        </w:tc>
        <w:tc>
          <w:tcPr>
            <w:tcW w:w="3104" w:type="dxa"/>
            <w:shd w:val="clear" w:color="auto" w:fill="auto"/>
            <w:vAlign w:val="center"/>
          </w:tcPr>
          <w:p w14:paraId="2149C3AE">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COD</w:t>
            </w:r>
          </w:p>
          <w:p w14:paraId="786CBE88">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氨氮</w:t>
            </w:r>
          </w:p>
        </w:tc>
        <w:tc>
          <w:tcPr>
            <w:tcW w:w="2449" w:type="dxa"/>
            <w:shd w:val="clear" w:color="auto" w:fill="auto"/>
            <w:vAlign w:val="center"/>
          </w:tcPr>
          <w:p w14:paraId="08DF1597">
            <w:pPr>
              <w:spacing w:line="240" w:lineRule="auto"/>
              <w:ind w:firstLine="0" w:firstLineChars="0"/>
              <w:rPr>
                <w:rFonts w:hint="default" w:ascii="Times New Roman" w:hAnsi="Times New Roman" w:eastAsia="宋体" w:cs="Times New Roman"/>
                <w:snapToGrid w:val="0"/>
                <w:color w:val="auto"/>
                <w:kern w:val="0"/>
                <w:sz w:val="21"/>
                <w:highlight w:val="none"/>
                <w:lang w:val="en-US" w:eastAsia="zh-CN"/>
              </w:rPr>
            </w:pPr>
            <w:r>
              <w:rPr>
                <w:rFonts w:hint="eastAsia" w:cs="Times New Roman"/>
                <w:snapToGrid w:val="0"/>
                <w:color w:val="auto"/>
                <w:kern w:val="0"/>
                <w:sz w:val="21"/>
                <w:highlight w:val="none"/>
                <w:lang w:val="en-US" w:eastAsia="zh-CN"/>
              </w:rPr>
              <w:t>完全被生物菌床垫料吸收，无养殖废水产生</w:t>
            </w:r>
          </w:p>
        </w:tc>
        <w:tc>
          <w:tcPr>
            <w:tcW w:w="4143" w:type="dxa"/>
            <w:shd w:val="clear" w:color="auto" w:fill="auto"/>
            <w:vAlign w:val="center"/>
          </w:tcPr>
          <w:p w14:paraId="75ED705D">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eastAsia" w:cs="Times New Roman"/>
                <w:snapToGrid w:val="0"/>
                <w:color w:val="auto"/>
                <w:kern w:val="0"/>
                <w:sz w:val="21"/>
                <w:highlight w:val="none"/>
                <w:lang w:val="en-US" w:eastAsia="zh-CN"/>
              </w:rPr>
              <w:t>渗滤液收集池20</w:t>
            </w:r>
            <w:r>
              <w:rPr>
                <w:rFonts w:hint="default" w:ascii="Times New Roman" w:hAnsi="Times New Roman" w:eastAsia="宋体" w:cs="Times New Roman"/>
                <w:snapToGrid w:val="0"/>
                <w:color w:val="auto"/>
                <w:kern w:val="0"/>
                <w:sz w:val="21"/>
                <w:highlight w:val="none"/>
                <w:lang w:val="en-US" w:eastAsia="zh-CN"/>
              </w:rPr>
              <w:t>m</w:t>
            </w:r>
            <w:r>
              <w:rPr>
                <w:rFonts w:hint="default" w:ascii="Times New Roman" w:hAnsi="Times New Roman" w:eastAsia="宋体" w:cs="Times New Roman"/>
                <w:snapToGrid w:val="0"/>
                <w:color w:val="auto"/>
                <w:kern w:val="0"/>
                <w:sz w:val="21"/>
                <w:highlight w:val="none"/>
                <w:vertAlign w:val="superscript"/>
                <w:lang w:val="zh-CN"/>
              </w:rPr>
              <w:t>3</w:t>
            </w:r>
            <w:r>
              <w:rPr>
                <w:rFonts w:hint="default" w:ascii="Times New Roman" w:hAnsi="Times New Roman" w:eastAsia="宋体" w:cs="Times New Roman"/>
                <w:snapToGrid w:val="0"/>
                <w:color w:val="auto"/>
                <w:kern w:val="0"/>
                <w:sz w:val="21"/>
                <w:highlight w:val="none"/>
                <w:lang w:val="zh-CN"/>
              </w:rPr>
              <w:t>。</w:t>
            </w:r>
          </w:p>
        </w:tc>
      </w:tr>
      <w:tr w14:paraId="56537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58F494C2">
            <w:pPr>
              <w:pStyle w:val="146"/>
              <w:rPr>
                <w:rFonts w:hint="default" w:ascii="Times New Roman" w:hAnsi="Times New Roman" w:eastAsia="宋体" w:cs="Times New Roman"/>
                <w:snapToGrid w:val="0"/>
                <w:color w:val="auto"/>
                <w:highlight w:val="none"/>
              </w:rPr>
            </w:pPr>
          </w:p>
        </w:tc>
        <w:tc>
          <w:tcPr>
            <w:tcW w:w="1054" w:type="dxa"/>
            <w:vMerge w:val="restart"/>
            <w:shd w:val="clear" w:color="auto" w:fill="auto"/>
            <w:vAlign w:val="center"/>
          </w:tcPr>
          <w:p w14:paraId="2778B8B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地下水防治</w:t>
            </w:r>
          </w:p>
        </w:tc>
        <w:tc>
          <w:tcPr>
            <w:tcW w:w="1558" w:type="dxa"/>
            <w:shd w:val="clear" w:color="auto" w:fill="auto"/>
            <w:vAlign w:val="center"/>
          </w:tcPr>
          <w:p w14:paraId="40A3A54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地下水监测井</w:t>
            </w:r>
          </w:p>
        </w:tc>
        <w:tc>
          <w:tcPr>
            <w:tcW w:w="3104" w:type="dxa"/>
            <w:shd w:val="clear" w:color="auto" w:fill="auto"/>
            <w:vAlign w:val="center"/>
          </w:tcPr>
          <w:p w14:paraId="37EC9C2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1"/>
                <w:szCs w:val="21"/>
                <w:highlight w:val="none"/>
              </w:rPr>
              <w:t>pH</w:t>
            </w:r>
            <w:r>
              <w:rPr>
                <w:rFonts w:hint="eastAsia" w:ascii="Times New Roman" w:hAnsi="Times New Roman" w:eastAsia="宋体" w:cs="Times New Roman"/>
                <w:color w:val="auto"/>
                <w:sz w:val="21"/>
                <w:szCs w:val="21"/>
                <w:highlight w:val="none"/>
                <w:lang w:val="en-US" w:eastAsia="zh-CN"/>
              </w:rPr>
              <w:t>值</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pacing w:val="-6"/>
                <w:sz w:val="21"/>
                <w:szCs w:val="21"/>
                <w:highlight w:val="none"/>
                <w:lang w:val="en-US" w:eastAsia="zh-CN"/>
              </w:rPr>
              <w:t>高锰酸盐指数</w:t>
            </w:r>
            <w:r>
              <w:rPr>
                <w:rFonts w:hint="default" w:ascii="Times New Roman" w:hAnsi="Times New Roman" w:eastAsia="宋体" w:cs="Times New Roman"/>
                <w:color w:val="auto"/>
                <w:sz w:val="21"/>
                <w:szCs w:val="21"/>
                <w:highlight w:val="none"/>
              </w:rPr>
              <w:t>、氨氮、总硬度、硝酸盐（以N计）、亚硝酸盐（以N计）、硫酸盐、氯化物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铁、锰、总大肠菌群、挥发酚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、氰化物、砷、汞、六价铬、镉、铅、氟</w:t>
            </w:r>
            <w:r>
              <w:rPr>
                <w:rFonts w:hint="default" w:ascii="Times New Roman" w:hAnsi="Times New Roman" w:eastAsia="宋体" w:cs="Times New Roman"/>
                <w:color w:val="auto"/>
                <w:sz w:val="21"/>
                <w:szCs w:val="21"/>
                <w:highlight w:val="none"/>
                <w:lang w:eastAsia="zh-CN"/>
              </w:rPr>
              <w:t>化物</w:t>
            </w:r>
            <w:r>
              <w:rPr>
                <w:rFonts w:hint="default" w:ascii="Times New Roman" w:hAnsi="Times New Roman" w:eastAsia="宋体" w:cs="Times New Roman"/>
                <w:color w:val="auto"/>
                <w:sz w:val="21"/>
                <w:szCs w:val="21"/>
                <w:highlight w:val="none"/>
              </w:rPr>
              <w:t>、溶解性总固体、</w:t>
            </w:r>
            <w:r>
              <w:rPr>
                <w:rFonts w:hint="default" w:ascii="Times New Roman" w:hAnsi="Times New Roman" w:eastAsia="宋体" w:cs="Times New Roman"/>
                <w:color w:val="auto"/>
                <w:sz w:val="21"/>
                <w:szCs w:val="21"/>
                <w:highlight w:val="none"/>
                <w:lang w:val="en-US" w:eastAsia="zh-CN"/>
              </w:rPr>
              <w:t>细菌总数、</w:t>
            </w:r>
            <w:r>
              <w:rPr>
                <w:rFonts w:hint="default" w:ascii="Times New Roman" w:hAnsi="Times New Roman" w:eastAsia="宋体" w:cs="Times New Roman"/>
                <w:bCs/>
                <w:color w:val="auto"/>
                <w:sz w:val="21"/>
                <w:szCs w:val="21"/>
                <w:highlight w:val="none"/>
                <w:lang w:val="en-US" w:eastAsia="zh-CN"/>
              </w:rPr>
              <w:t>石油类</w:t>
            </w:r>
            <w:r>
              <w:rPr>
                <w:rFonts w:hint="eastAsia" w:ascii="Times New Roman" w:hAnsi="Times New Roman" w:eastAsia="宋体" w:cs="Times New Roman"/>
                <w:bCs/>
                <w:color w:val="auto"/>
                <w:sz w:val="21"/>
                <w:szCs w:val="21"/>
                <w:highlight w:val="none"/>
                <w:lang w:val="en-US" w:eastAsia="zh-CN"/>
              </w:rPr>
              <w:t>、总磷、总氮、</w:t>
            </w:r>
            <w:r>
              <w:rPr>
                <w:rFonts w:hint="eastAsia" w:ascii="Times New Roman" w:hAnsi="Times New Roman" w:eastAsia="宋体" w:cs="Times New Roman"/>
                <w:color w:val="auto"/>
                <w:szCs w:val="21"/>
                <w:highlight w:val="none"/>
                <w:lang w:eastAsia="zh-CN"/>
              </w:rPr>
              <w:t>化学需氧量</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color w:val="auto"/>
                <w:szCs w:val="21"/>
                <w:highlight w:val="none"/>
                <w:lang w:eastAsia="zh-CN"/>
              </w:rPr>
              <w:t>生化需氧量</w:t>
            </w:r>
          </w:p>
        </w:tc>
        <w:tc>
          <w:tcPr>
            <w:tcW w:w="2449" w:type="dxa"/>
            <w:shd w:val="clear" w:color="auto" w:fill="auto"/>
            <w:vAlign w:val="center"/>
          </w:tcPr>
          <w:p w14:paraId="1402689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设置1口地下水跟踪监测井，监测频次1</w:t>
            </w:r>
            <w:r>
              <w:rPr>
                <w:rFonts w:hint="eastAsia" w:eastAsia="宋体" w:cs="Times New Roman"/>
                <w:color w:val="auto"/>
                <w:highlight w:val="none"/>
                <w:lang w:val="en-US" w:eastAsia="zh-CN"/>
              </w:rPr>
              <w:t>年</w:t>
            </w:r>
          </w:p>
        </w:tc>
        <w:tc>
          <w:tcPr>
            <w:tcW w:w="4143" w:type="dxa"/>
            <w:shd w:val="clear" w:color="auto" w:fill="auto"/>
            <w:vAlign w:val="center"/>
          </w:tcPr>
          <w:p w14:paraId="44B4AE1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满足《地下水质量标准》（GB/T14848-2017）中的Ⅲ类标准。</w:t>
            </w:r>
          </w:p>
        </w:tc>
      </w:tr>
      <w:tr w14:paraId="30B8F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5652F5D0">
            <w:pPr>
              <w:pStyle w:val="146"/>
              <w:rPr>
                <w:rFonts w:hint="default" w:ascii="Times New Roman" w:hAnsi="Times New Roman" w:eastAsia="宋体" w:cs="Times New Roman"/>
                <w:snapToGrid w:val="0"/>
                <w:color w:val="auto"/>
                <w:highlight w:val="none"/>
              </w:rPr>
            </w:pPr>
          </w:p>
        </w:tc>
        <w:tc>
          <w:tcPr>
            <w:tcW w:w="1054" w:type="dxa"/>
            <w:vMerge w:val="continue"/>
            <w:shd w:val="clear" w:color="auto" w:fill="auto"/>
            <w:vAlign w:val="center"/>
          </w:tcPr>
          <w:p w14:paraId="1AFD0F73">
            <w:pPr>
              <w:pStyle w:val="146"/>
              <w:rPr>
                <w:rFonts w:hint="default" w:ascii="Times New Roman" w:hAnsi="Times New Roman" w:eastAsia="宋体" w:cs="Times New Roman"/>
                <w:snapToGrid w:val="0"/>
                <w:color w:val="auto"/>
                <w:highlight w:val="none"/>
              </w:rPr>
            </w:pPr>
          </w:p>
        </w:tc>
        <w:tc>
          <w:tcPr>
            <w:tcW w:w="1558" w:type="dxa"/>
            <w:shd w:val="clear" w:color="auto" w:fill="auto"/>
            <w:vAlign w:val="center"/>
          </w:tcPr>
          <w:p w14:paraId="455240F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办公区及其他建筑物、场内运输路面</w:t>
            </w:r>
          </w:p>
        </w:tc>
        <w:tc>
          <w:tcPr>
            <w:tcW w:w="3104" w:type="dxa"/>
            <w:shd w:val="clear" w:color="auto" w:fill="auto"/>
            <w:vAlign w:val="center"/>
          </w:tcPr>
          <w:p w14:paraId="29ADDDA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2449" w:type="dxa"/>
            <w:shd w:val="clear" w:color="auto" w:fill="auto"/>
            <w:vAlign w:val="center"/>
          </w:tcPr>
          <w:p w14:paraId="14511CD8">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简单防渗</w:t>
            </w:r>
          </w:p>
        </w:tc>
        <w:tc>
          <w:tcPr>
            <w:tcW w:w="4143" w:type="dxa"/>
            <w:shd w:val="clear" w:color="auto" w:fill="auto"/>
            <w:vAlign w:val="center"/>
          </w:tcPr>
          <w:p w14:paraId="0D54201B">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对其地面采用混凝土进行一般地面硬化。</w:t>
            </w:r>
          </w:p>
        </w:tc>
      </w:tr>
      <w:tr w14:paraId="480EC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56CC0F09">
            <w:pPr>
              <w:pStyle w:val="146"/>
              <w:rPr>
                <w:rFonts w:hint="default" w:ascii="Times New Roman" w:hAnsi="Times New Roman" w:eastAsia="宋体" w:cs="Times New Roman"/>
                <w:snapToGrid w:val="0"/>
                <w:color w:val="auto"/>
                <w:highlight w:val="none"/>
              </w:rPr>
            </w:pPr>
          </w:p>
        </w:tc>
        <w:tc>
          <w:tcPr>
            <w:tcW w:w="1054" w:type="dxa"/>
            <w:vMerge w:val="continue"/>
            <w:shd w:val="clear" w:color="auto" w:fill="auto"/>
            <w:vAlign w:val="center"/>
          </w:tcPr>
          <w:p w14:paraId="40C8EB56">
            <w:pPr>
              <w:pStyle w:val="146"/>
              <w:rPr>
                <w:rFonts w:hint="default" w:ascii="Times New Roman" w:hAnsi="Times New Roman" w:eastAsia="宋体" w:cs="Times New Roman"/>
                <w:snapToGrid w:val="0"/>
                <w:color w:val="auto"/>
                <w:highlight w:val="none"/>
              </w:rPr>
            </w:pPr>
          </w:p>
        </w:tc>
        <w:tc>
          <w:tcPr>
            <w:tcW w:w="1558" w:type="dxa"/>
            <w:shd w:val="clear" w:color="auto" w:fill="auto"/>
            <w:vAlign w:val="center"/>
          </w:tcPr>
          <w:p w14:paraId="3BEB5E25">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牛舍</w:t>
            </w:r>
            <w:r>
              <w:rPr>
                <w:rFonts w:hint="eastAsia"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青贮窖</w:t>
            </w:r>
            <w:r>
              <w:rPr>
                <w:rFonts w:hint="eastAsia" w:eastAsia="宋体" w:cs="Times New Roman"/>
                <w:color w:val="auto"/>
                <w:highlight w:val="none"/>
                <w:lang w:val="en-US" w:eastAsia="zh-CN"/>
              </w:rPr>
              <w:t>、精料库、干草棚</w:t>
            </w:r>
          </w:p>
        </w:tc>
        <w:tc>
          <w:tcPr>
            <w:tcW w:w="3104" w:type="dxa"/>
            <w:shd w:val="clear" w:color="auto" w:fill="auto"/>
            <w:vAlign w:val="center"/>
          </w:tcPr>
          <w:p w14:paraId="7CD2ACF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2449" w:type="dxa"/>
            <w:shd w:val="clear" w:color="auto" w:fill="auto"/>
            <w:vAlign w:val="center"/>
          </w:tcPr>
          <w:p w14:paraId="0867326D">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一般防渗</w:t>
            </w:r>
          </w:p>
        </w:tc>
        <w:tc>
          <w:tcPr>
            <w:tcW w:w="4143" w:type="dxa"/>
            <w:shd w:val="clear" w:color="auto" w:fill="auto"/>
            <w:vAlign w:val="center"/>
          </w:tcPr>
          <w:p w14:paraId="6A553CAB">
            <w:pPr>
              <w:pStyle w:val="146"/>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lang w:val="en-GB"/>
              </w:rPr>
              <w:t>地面（池底）基础防渗，防渗层为至少1m厚粘土层或2mm厚高密度聚乙烯，需满足等效黏土防渗层Mb≥1.5m，K≤1×10</w:t>
            </w:r>
            <w:r>
              <w:rPr>
                <w:rFonts w:hint="default" w:ascii="Times New Roman" w:hAnsi="Times New Roman" w:eastAsia="宋体" w:cs="Times New Roman"/>
                <w:color w:val="auto"/>
                <w:highlight w:val="none"/>
                <w:vertAlign w:val="superscript"/>
                <w:lang w:val="en-GB"/>
              </w:rPr>
              <w:t>-7</w:t>
            </w:r>
            <w:r>
              <w:rPr>
                <w:rFonts w:hint="default" w:ascii="Times New Roman" w:hAnsi="Times New Roman" w:eastAsia="宋体" w:cs="Times New Roman"/>
                <w:color w:val="auto"/>
                <w:highlight w:val="none"/>
                <w:lang w:val="en-GB"/>
              </w:rPr>
              <w:t>cm/s的要求。</w:t>
            </w:r>
          </w:p>
        </w:tc>
      </w:tr>
      <w:tr w14:paraId="73248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350CE08C">
            <w:pPr>
              <w:pStyle w:val="146"/>
              <w:rPr>
                <w:rFonts w:hint="default" w:ascii="Times New Roman" w:hAnsi="Times New Roman" w:eastAsia="宋体" w:cs="Times New Roman"/>
                <w:snapToGrid w:val="0"/>
                <w:color w:val="auto"/>
                <w:highlight w:val="none"/>
              </w:rPr>
            </w:pPr>
          </w:p>
        </w:tc>
        <w:tc>
          <w:tcPr>
            <w:tcW w:w="1054" w:type="dxa"/>
            <w:vMerge w:val="continue"/>
            <w:shd w:val="clear" w:color="auto" w:fill="auto"/>
            <w:vAlign w:val="center"/>
          </w:tcPr>
          <w:p w14:paraId="276180F0">
            <w:pPr>
              <w:pStyle w:val="146"/>
              <w:rPr>
                <w:rFonts w:hint="default" w:ascii="Times New Roman" w:hAnsi="Times New Roman" w:eastAsia="宋体" w:cs="Times New Roman"/>
                <w:snapToGrid w:val="0"/>
                <w:color w:val="auto"/>
                <w:highlight w:val="none"/>
              </w:rPr>
            </w:pPr>
          </w:p>
        </w:tc>
        <w:tc>
          <w:tcPr>
            <w:tcW w:w="1558" w:type="dxa"/>
            <w:shd w:val="clear" w:color="auto" w:fill="auto"/>
            <w:vAlign w:val="center"/>
          </w:tcPr>
          <w:p w14:paraId="6E91EC7F">
            <w:pPr>
              <w:pStyle w:val="146"/>
              <w:rPr>
                <w:rFonts w:hint="default" w:ascii="Times New Roman" w:hAnsi="Times New Roman" w:eastAsia="宋体" w:cs="Times New Roman"/>
                <w:color w:val="auto"/>
                <w:highlight w:val="none"/>
                <w:lang w:eastAsia="zh-CN"/>
              </w:rPr>
            </w:pPr>
            <w:r>
              <w:rPr>
                <w:rFonts w:hint="eastAsia" w:eastAsia="宋体" w:cs="Times New Roman"/>
                <w:color w:val="auto"/>
                <w:highlight w:val="none"/>
                <w:lang w:val="en-US" w:eastAsia="zh-CN"/>
              </w:rPr>
              <w:t>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堆肥间</w:t>
            </w:r>
          </w:p>
        </w:tc>
        <w:tc>
          <w:tcPr>
            <w:tcW w:w="3104" w:type="dxa"/>
            <w:shd w:val="clear" w:color="auto" w:fill="auto"/>
            <w:vAlign w:val="center"/>
          </w:tcPr>
          <w:p w14:paraId="641A97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2449" w:type="dxa"/>
            <w:shd w:val="clear" w:color="auto" w:fill="auto"/>
            <w:vAlign w:val="center"/>
          </w:tcPr>
          <w:p w14:paraId="7A27C1D7">
            <w:pPr>
              <w:pStyle w:val="14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重点防渗</w:t>
            </w:r>
          </w:p>
        </w:tc>
        <w:tc>
          <w:tcPr>
            <w:tcW w:w="4143" w:type="dxa"/>
            <w:shd w:val="clear" w:color="auto" w:fill="auto"/>
            <w:vAlign w:val="center"/>
          </w:tcPr>
          <w:p w14:paraId="2A00AB4B">
            <w:pPr>
              <w:pStyle w:val="146"/>
              <w:rPr>
                <w:rFonts w:hint="default" w:ascii="Times New Roman" w:hAnsi="Times New Roman" w:eastAsia="宋体" w:cs="Times New Roman"/>
                <w:color w:val="auto"/>
                <w:highlight w:val="none"/>
                <w:lang w:val="en-GB"/>
              </w:rPr>
            </w:pP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储粪间、初期雨水池、</w:t>
            </w:r>
            <w:r>
              <w:rPr>
                <w:rFonts w:hint="default" w:ascii="Times New Roman" w:hAnsi="Times New Roman" w:eastAsia="宋体" w:cs="Times New Roman"/>
                <w:color w:val="auto"/>
                <w:highlight w:val="none"/>
                <w:lang w:val="en-US" w:eastAsia="zh-CN"/>
              </w:rPr>
              <w:t>化粪池、</w:t>
            </w:r>
            <w:r>
              <w:rPr>
                <w:rFonts w:hint="default" w:ascii="Times New Roman" w:hAnsi="Times New Roman" w:eastAsia="宋体" w:cs="Times New Roman"/>
                <w:color w:val="auto"/>
                <w:highlight w:val="none"/>
                <w:lang w:val="en-GB" w:eastAsia="zh-CN"/>
              </w:rPr>
              <w:t>危险废物贮存点</w:t>
            </w:r>
            <w:r>
              <w:rPr>
                <w:rFonts w:hint="default" w:ascii="Times New Roman" w:hAnsi="Times New Roman" w:eastAsia="宋体" w:cs="Times New Roman"/>
                <w:color w:val="auto"/>
                <w:highlight w:val="none"/>
                <w:lang w:val="en-GB"/>
              </w:rPr>
              <w:t>采用重点防渗。</w:t>
            </w:r>
            <w:r>
              <w:rPr>
                <w:rFonts w:hint="eastAsia"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w:t>
            </w:r>
            <w:r>
              <w:rPr>
                <w:rFonts w:hint="eastAsia" w:eastAsia="宋体" w:cs="Times New Roman"/>
                <w:color w:val="auto"/>
                <w:highlight w:val="none"/>
                <w:lang w:val="en-US" w:eastAsia="zh-CN"/>
              </w:rPr>
              <w:t>储粪间、</w:t>
            </w:r>
            <w:r>
              <w:rPr>
                <w:rFonts w:hint="default" w:ascii="Times New Roman" w:hAnsi="Times New Roman" w:eastAsia="宋体" w:cs="Times New Roman"/>
                <w:color w:val="auto"/>
                <w:highlight w:val="none"/>
              </w:rPr>
              <w:t>化粪池等效粘土层厚度要≥6.0m，满足渗透系数K≤1.0×10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cm/s，在做好基层防渗的基础上进行水泥硬化；</w:t>
            </w:r>
            <w:r>
              <w:rPr>
                <w:rFonts w:hint="default" w:ascii="Times New Roman" w:hAnsi="Times New Roman" w:eastAsia="宋体" w:cs="Times New Roman"/>
                <w:color w:val="auto"/>
                <w:highlight w:val="none"/>
                <w:lang w:eastAsia="zh-CN"/>
              </w:rPr>
              <w:t>危险废物贮存点</w:t>
            </w:r>
            <w:r>
              <w:rPr>
                <w:rFonts w:hint="default" w:ascii="Times New Roman" w:hAnsi="Times New Roman" w:eastAsia="宋体" w:cs="Times New Roman"/>
                <w:color w:val="auto"/>
                <w:highlight w:val="none"/>
              </w:rPr>
              <w:t>基础防渗层为至少1m厚粘土层（渗透系数K≤10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cm/s）或2mm厚高密度聚乙烯或至少2mm厚的其他人工材料（渗透系数K≤10</w:t>
            </w:r>
            <w:r>
              <w:rPr>
                <w:rFonts w:hint="default" w:ascii="Times New Roman" w:hAnsi="Times New Roman" w:eastAsia="宋体" w:cs="Times New Roman"/>
                <w:color w:val="auto"/>
                <w:highlight w:val="none"/>
                <w:vertAlign w:val="superscript"/>
              </w:rPr>
              <w:t>-10</w:t>
            </w:r>
            <w:r>
              <w:rPr>
                <w:rFonts w:hint="default" w:ascii="Times New Roman" w:hAnsi="Times New Roman" w:eastAsia="宋体" w:cs="Times New Roman"/>
                <w:color w:val="auto"/>
                <w:highlight w:val="none"/>
              </w:rPr>
              <w:t>cm/s）。</w:t>
            </w:r>
            <w:r>
              <w:rPr>
                <w:rFonts w:hint="default" w:ascii="Times New Roman" w:hAnsi="Times New Roman" w:eastAsia="宋体" w:cs="Times New Roman"/>
                <w:snapToGrid w:val="0"/>
                <w:color w:val="auto"/>
                <w:kern w:val="0"/>
                <w:highlight w:val="none"/>
              </w:rPr>
              <w:t>。</w:t>
            </w:r>
          </w:p>
        </w:tc>
      </w:tr>
      <w:tr w14:paraId="2B694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restart"/>
            <w:shd w:val="clear" w:color="auto" w:fill="auto"/>
            <w:vAlign w:val="center"/>
          </w:tcPr>
          <w:p w14:paraId="01CB0482">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1054" w:type="dxa"/>
            <w:vMerge w:val="restart"/>
            <w:shd w:val="clear" w:color="auto" w:fill="auto"/>
            <w:vAlign w:val="center"/>
          </w:tcPr>
          <w:p w14:paraId="5267996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w:t>
            </w:r>
          </w:p>
        </w:tc>
        <w:tc>
          <w:tcPr>
            <w:tcW w:w="1558" w:type="dxa"/>
            <w:shd w:val="clear" w:color="auto" w:fill="auto"/>
            <w:vAlign w:val="center"/>
          </w:tcPr>
          <w:p w14:paraId="087EECB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w:t>
            </w:r>
          </w:p>
        </w:tc>
        <w:tc>
          <w:tcPr>
            <w:tcW w:w="3104" w:type="dxa"/>
            <w:shd w:val="clear" w:color="auto" w:fill="auto"/>
            <w:vAlign w:val="center"/>
          </w:tcPr>
          <w:p w14:paraId="4C61881B">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H</w:t>
            </w:r>
            <w:r>
              <w:rPr>
                <w:rFonts w:hint="default" w:ascii="Times New Roman" w:hAnsi="Times New Roman" w:eastAsia="宋体" w:cs="Times New Roman"/>
                <w:snapToGrid w:val="0"/>
                <w:color w:val="auto"/>
                <w:kern w:val="0"/>
                <w:sz w:val="21"/>
                <w:highlight w:val="none"/>
                <w:vertAlign w:val="subscript"/>
                <w:lang w:val="zh-CN"/>
              </w:rPr>
              <w:t>2</w:t>
            </w:r>
            <w:r>
              <w:rPr>
                <w:rFonts w:hint="default" w:ascii="Times New Roman" w:hAnsi="Times New Roman" w:eastAsia="宋体" w:cs="Times New Roman"/>
                <w:snapToGrid w:val="0"/>
                <w:color w:val="auto"/>
                <w:kern w:val="0"/>
                <w:sz w:val="21"/>
                <w:highlight w:val="none"/>
                <w:lang w:val="zh-CN"/>
              </w:rPr>
              <w:t>S</w:t>
            </w:r>
          </w:p>
          <w:p w14:paraId="124FDEFA">
            <w:pPr>
              <w:spacing w:line="240" w:lineRule="auto"/>
              <w:ind w:firstLine="0" w:firstLineChars="0"/>
              <w:jc w:val="center"/>
              <w:rPr>
                <w:rFonts w:hint="default" w:ascii="Times New Roman" w:hAnsi="Times New Roman" w:eastAsia="宋体" w:cs="Times New Roman"/>
                <w:snapToGrid w:val="0"/>
                <w:color w:val="auto"/>
                <w:kern w:val="0"/>
                <w:sz w:val="21"/>
                <w:highlight w:val="none"/>
                <w:vertAlign w:val="subscript"/>
                <w:lang w:val="zh-CN"/>
              </w:rPr>
            </w:pPr>
            <w:r>
              <w:rPr>
                <w:rFonts w:hint="default" w:ascii="Times New Roman" w:hAnsi="Times New Roman" w:eastAsia="宋体" w:cs="Times New Roman"/>
                <w:snapToGrid w:val="0"/>
                <w:color w:val="auto"/>
                <w:kern w:val="0"/>
                <w:sz w:val="21"/>
                <w:highlight w:val="none"/>
                <w:lang w:val="zh-CN"/>
              </w:rPr>
              <w:t>NH</w:t>
            </w:r>
            <w:r>
              <w:rPr>
                <w:rFonts w:hint="default" w:ascii="Times New Roman" w:hAnsi="Times New Roman" w:eastAsia="宋体" w:cs="Times New Roman"/>
                <w:snapToGrid w:val="0"/>
                <w:color w:val="auto"/>
                <w:kern w:val="0"/>
                <w:sz w:val="21"/>
                <w:highlight w:val="none"/>
                <w:vertAlign w:val="subscript"/>
                <w:lang w:val="zh-CN"/>
              </w:rPr>
              <w:t>3</w:t>
            </w:r>
          </w:p>
          <w:p w14:paraId="69D5E0C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臭气浓度</w:t>
            </w:r>
          </w:p>
        </w:tc>
        <w:tc>
          <w:tcPr>
            <w:tcW w:w="2449" w:type="dxa"/>
            <w:shd w:val="clear" w:color="auto" w:fill="auto"/>
            <w:vAlign w:val="center"/>
          </w:tcPr>
          <w:p w14:paraId="56CD05FC">
            <w:pPr>
              <w:pStyle w:val="146"/>
              <w:rPr>
                <w:rFonts w:hint="default" w:ascii="Times New Roman" w:hAnsi="Times New Roman" w:eastAsia="宋体" w:cs="Times New Roman"/>
                <w:snapToGrid w:val="0"/>
                <w:color w:val="auto"/>
                <w:highlight w:val="none"/>
              </w:rPr>
            </w:pPr>
            <w:r>
              <w:rPr>
                <w:rFonts w:hint="eastAsia" w:eastAsia="宋体" w:cs="Times New Roman"/>
                <w:snapToGrid w:val="0"/>
                <w:color w:val="auto"/>
                <w:highlight w:val="none"/>
                <w:lang w:val="en-US" w:eastAsia="zh-CN"/>
              </w:rPr>
              <w:t>生物菌床垫料、</w:t>
            </w:r>
            <w:r>
              <w:rPr>
                <w:rFonts w:hint="default" w:ascii="Times New Roman" w:hAnsi="Times New Roman" w:eastAsia="宋体" w:cs="Times New Roman"/>
                <w:snapToGrid w:val="0"/>
                <w:color w:val="auto"/>
                <w:highlight w:val="none"/>
              </w:rPr>
              <w:t>喷洒除臭剂、加强通风、日粮中添加EM菌、绿化</w:t>
            </w:r>
          </w:p>
        </w:tc>
        <w:tc>
          <w:tcPr>
            <w:tcW w:w="4143" w:type="dxa"/>
            <w:shd w:val="clear" w:color="auto" w:fill="auto"/>
            <w:vAlign w:val="center"/>
          </w:tcPr>
          <w:p w14:paraId="4454BC6A">
            <w:pPr>
              <w:pStyle w:val="146"/>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color w:val="auto"/>
                <w:highlight w:val="none"/>
              </w:rPr>
              <w:t>臭气浓度满足《畜禽养殖业污染物排放标准》（GB18596-2001）中表7标准，硫化氢、氨在场界浓度满足《恶臭污染物排放标准》（GB14554-93）表1中二级新扩改建标准；</w:t>
            </w:r>
            <w:r>
              <w:rPr>
                <w:rFonts w:hint="default" w:ascii="Times New Roman" w:hAnsi="Times New Roman" w:eastAsia="宋体" w:cs="Times New Roman"/>
                <w:snapToGrid w:val="0"/>
                <w:color w:val="auto"/>
                <w:kern w:val="0"/>
                <w:highlight w:val="none"/>
              </w:rPr>
              <w:t>排气筒硫化氢和氨气排放速率执行《恶臭污染物排放标准》(GB14554-93)表2标准。</w:t>
            </w:r>
          </w:p>
        </w:tc>
      </w:tr>
      <w:tr w14:paraId="57148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44AD9C9D">
            <w:pPr>
              <w:pStyle w:val="146"/>
              <w:rPr>
                <w:rFonts w:hint="default" w:ascii="Times New Roman" w:hAnsi="Times New Roman" w:eastAsia="宋体" w:cs="Times New Roman"/>
                <w:snapToGrid w:val="0"/>
                <w:color w:val="auto"/>
                <w:highlight w:val="none"/>
              </w:rPr>
            </w:pPr>
          </w:p>
        </w:tc>
        <w:tc>
          <w:tcPr>
            <w:tcW w:w="1054" w:type="dxa"/>
            <w:vMerge w:val="continue"/>
            <w:shd w:val="clear" w:color="auto" w:fill="auto"/>
            <w:vAlign w:val="center"/>
          </w:tcPr>
          <w:p w14:paraId="108E86DD">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p>
        </w:tc>
        <w:tc>
          <w:tcPr>
            <w:tcW w:w="1558" w:type="dxa"/>
            <w:shd w:val="clear" w:color="auto" w:fill="auto"/>
            <w:vAlign w:val="center"/>
          </w:tcPr>
          <w:p w14:paraId="769DFB11">
            <w:pPr>
              <w:pStyle w:val="146"/>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color w:val="auto"/>
                <w:highlight w:val="none"/>
              </w:rPr>
              <w:t>堆肥间</w:t>
            </w:r>
          </w:p>
        </w:tc>
        <w:tc>
          <w:tcPr>
            <w:tcW w:w="3104" w:type="dxa"/>
            <w:shd w:val="clear" w:color="auto" w:fill="auto"/>
            <w:vAlign w:val="center"/>
          </w:tcPr>
          <w:p w14:paraId="143CC3D5">
            <w:pPr>
              <w:spacing w:line="240" w:lineRule="auto"/>
              <w:ind w:firstLine="0" w:firstLineChars="0"/>
              <w:jc w:val="center"/>
              <w:rPr>
                <w:rFonts w:hint="default" w:ascii="Times New Roman" w:hAnsi="Times New Roman" w:eastAsia="宋体" w:cs="Times New Roman"/>
                <w:color w:val="auto"/>
                <w:kern w:val="0"/>
                <w:sz w:val="21"/>
                <w:highlight w:val="none"/>
                <w:lang w:val="zh-CN"/>
              </w:rPr>
            </w:pPr>
            <w:r>
              <w:rPr>
                <w:rFonts w:hint="default" w:ascii="Times New Roman" w:hAnsi="Times New Roman" w:eastAsia="宋体" w:cs="Times New Roman"/>
                <w:color w:val="auto"/>
                <w:kern w:val="0"/>
                <w:sz w:val="21"/>
                <w:highlight w:val="none"/>
                <w:lang w:val="zh-CN"/>
              </w:rPr>
              <w:t>H</w:t>
            </w:r>
            <w:r>
              <w:rPr>
                <w:rFonts w:hint="default" w:ascii="Times New Roman" w:hAnsi="Times New Roman" w:eastAsia="宋体" w:cs="Times New Roman"/>
                <w:color w:val="auto"/>
                <w:kern w:val="0"/>
                <w:sz w:val="21"/>
                <w:highlight w:val="none"/>
                <w:vertAlign w:val="subscript"/>
                <w:lang w:val="zh-CN"/>
              </w:rPr>
              <w:t>2</w:t>
            </w:r>
            <w:r>
              <w:rPr>
                <w:rFonts w:hint="default" w:ascii="Times New Roman" w:hAnsi="Times New Roman" w:eastAsia="宋体" w:cs="Times New Roman"/>
                <w:color w:val="auto"/>
                <w:kern w:val="0"/>
                <w:sz w:val="21"/>
                <w:highlight w:val="none"/>
                <w:lang w:val="zh-CN"/>
              </w:rPr>
              <w:t>S</w:t>
            </w:r>
          </w:p>
          <w:p w14:paraId="430A73C6">
            <w:pPr>
              <w:spacing w:line="240" w:lineRule="auto"/>
              <w:ind w:firstLine="0" w:firstLineChars="0"/>
              <w:jc w:val="center"/>
              <w:rPr>
                <w:rFonts w:hint="default" w:ascii="Times New Roman" w:hAnsi="Times New Roman" w:eastAsia="宋体" w:cs="Times New Roman"/>
                <w:color w:val="auto"/>
                <w:kern w:val="0"/>
                <w:sz w:val="21"/>
                <w:highlight w:val="none"/>
                <w:vertAlign w:val="subscript"/>
                <w:lang w:val="zh-CN"/>
              </w:rPr>
            </w:pPr>
            <w:r>
              <w:rPr>
                <w:rFonts w:hint="default" w:ascii="Times New Roman" w:hAnsi="Times New Roman" w:eastAsia="宋体" w:cs="Times New Roman"/>
                <w:color w:val="auto"/>
                <w:kern w:val="0"/>
                <w:sz w:val="21"/>
                <w:highlight w:val="none"/>
                <w:lang w:val="zh-CN"/>
              </w:rPr>
              <w:t>NH</w:t>
            </w:r>
            <w:r>
              <w:rPr>
                <w:rFonts w:hint="default" w:ascii="Times New Roman" w:hAnsi="Times New Roman" w:eastAsia="宋体" w:cs="Times New Roman"/>
                <w:color w:val="auto"/>
                <w:kern w:val="0"/>
                <w:sz w:val="21"/>
                <w:highlight w:val="none"/>
                <w:vertAlign w:val="subscript"/>
                <w:lang w:val="zh-CN"/>
              </w:rPr>
              <w:t>3</w:t>
            </w:r>
          </w:p>
          <w:p w14:paraId="05C7B473">
            <w:pPr>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zh-CN"/>
              </w:rPr>
            </w:pPr>
            <w:r>
              <w:rPr>
                <w:rFonts w:hint="default" w:ascii="Times New Roman" w:hAnsi="Times New Roman" w:eastAsia="宋体" w:cs="Times New Roman"/>
                <w:color w:val="auto"/>
                <w:kern w:val="0"/>
                <w:sz w:val="21"/>
                <w:highlight w:val="none"/>
                <w:lang w:val="zh-CN"/>
              </w:rPr>
              <w:t>臭气浓度</w:t>
            </w:r>
          </w:p>
        </w:tc>
        <w:tc>
          <w:tcPr>
            <w:tcW w:w="2449" w:type="dxa"/>
            <w:shd w:val="clear" w:color="auto" w:fill="auto"/>
            <w:vAlign w:val="center"/>
          </w:tcPr>
          <w:p w14:paraId="14297B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经活性炭吸附装置处理后由15m高排气筒DA00</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排放。</w:t>
            </w:r>
          </w:p>
        </w:tc>
        <w:tc>
          <w:tcPr>
            <w:tcW w:w="4143" w:type="dxa"/>
            <w:shd w:val="clear" w:color="auto" w:fill="auto"/>
            <w:vAlign w:val="center"/>
          </w:tcPr>
          <w:p w14:paraId="5DE51763">
            <w:pPr>
              <w:pStyle w:val="146"/>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highlight w:val="none"/>
              </w:rPr>
              <w:t>硫化氢、氨排放速率满足《恶臭污染物排放标准》（GB14554-93）表2中15m高排气筒标准要求、臭气浓度满足《恶臭污染物排放标准》（GB14554-93）表2中15m高排气筒标准要求</w:t>
            </w:r>
            <w:r>
              <w:rPr>
                <w:rFonts w:hint="default" w:ascii="Times New Roman" w:hAnsi="Times New Roman" w:eastAsia="宋体" w:cs="Times New Roman"/>
                <w:snapToGrid w:val="0"/>
                <w:color w:val="auto"/>
                <w:sz w:val="18"/>
                <w:szCs w:val="18"/>
                <w:highlight w:val="none"/>
              </w:rPr>
              <w:t>。</w:t>
            </w:r>
          </w:p>
        </w:tc>
      </w:tr>
      <w:tr w14:paraId="64D82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14:paraId="20B9AD5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054" w:type="dxa"/>
            <w:shd w:val="clear" w:color="auto" w:fill="auto"/>
            <w:vAlign w:val="center"/>
          </w:tcPr>
          <w:p w14:paraId="119C84F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噪声控制</w:t>
            </w:r>
          </w:p>
        </w:tc>
        <w:tc>
          <w:tcPr>
            <w:tcW w:w="1558" w:type="dxa"/>
            <w:shd w:val="clear" w:color="auto" w:fill="auto"/>
            <w:vAlign w:val="center"/>
          </w:tcPr>
          <w:p w14:paraId="34CB9FF3">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生产设备、水泵、牛叫等</w:t>
            </w:r>
          </w:p>
        </w:tc>
        <w:tc>
          <w:tcPr>
            <w:tcW w:w="3104" w:type="dxa"/>
            <w:shd w:val="clear" w:color="auto" w:fill="auto"/>
            <w:vAlign w:val="center"/>
          </w:tcPr>
          <w:p w14:paraId="68F2623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2449" w:type="dxa"/>
            <w:shd w:val="clear" w:color="auto" w:fill="auto"/>
            <w:vAlign w:val="center"/>
          </w:tcPr>
          <w:p w14:paraId="207E7BA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隔声、减振、厂区绿化</w:t>
            </w:r>
          </w:p>
        </w:tc>
        <w:tc>
          <w:tcPr>
            <w:tcW w:w="4143" w:type="dxa"/>
            <w:shd w:val="clear" w:color="auto" w:fill="auto"/>
            <w:vAlign w:val="center"/>
          </w:tcPr>
          <w:p w14:paraId="474B004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场界噪声满足《工业企业厂界环境噪声排放标准》（GB12348-2008）表1中的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类声环境功能区标准限值。</w:t>
            </w:r>
          </w:p>
        </w:tc>
      </w:tr>
      <w:tr w14:paraId="14C22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646" w:type="dxa"/>
            <w:vMerge w:val="restart"/>
            <w:shd w:val="clear" w:color="auto" w:fill="auto"/>
            <w:vAlign w:val="center"/>
          </w:tcPr>
          <w:p w14:paraId="417D631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w:t>
            </w:r>
          </w:p>
        </w:tc>
        <w:tc>
          <w:tcPr>
            <w:tcW w:w="1054" w:type="dxa"/>
            <w:vMerge w:val="restart"/>
            <w:shd w:val="clear" w:color="auto" w:fill="auto"/>
            <w:vAlign w:val="center"/>
          </w:tcPr>
          <w:p w14:paraId="7534BE69">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w:t>
            </w:r>
          </w:p>
        </w:tc>
        <w:tc>
          <w:tcPr>
            <w:tcW w:w="1558" w:type="dxa"/>
            <w:vMerge w:val="restart"/>
            <w:shd w:val="clear" w:color="auto" w:fill="auto"/>
            <w:vAlign w:val="center"/>
          </w:tcPr>
          <w:p w14:paraId="4D6016E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w:t>
            </w:r>
          </w:p>
        </w:tc>
        <w:tc>
          <w:tcPr>
            <w:tcW w:w="3104" w:type="dxa"/>
            <w:shd w:val="clear" w:color="auto" w:fill="auto"/>
            <w:vAlign w:val="center"/>
          </w:tcPr>
          <w:p w14:paraId="6BE029C1">
            <w:pPr>
              <w:pStyle w:val="146"/>
              <w:rPr>
                <w:rFonts w:hint="default" w:ascii="Times New Roman" w:hAnsi="Times New Roman" w:eastAsia="宋体" w:cs="Times New Roman"/>
                <w:snapToGrid w:val="0"/>
                <w:color w:val="auto"/>
                <w:highlight w:val="none"/>
                <w:lang w:val="en-US" w:eastAsia="zh-CN"/>
              </w:rPr>
            </w:pPr>
            <w:r>
              <w:rPr>
                <w:rFonts w:hint="eastAsia" w:eastAsia="宋体" w:cs="Times New Roman"/>
                <w:snapToGrid w:val="0"/>
                <w:color w:val="auto"/>
                <w:highlight w:val="none"/>
                <w:lang w:val="en-US" w:eastAsia="zh-CN"/>
              </w:rPr>
              <w:t>含粪污废垫料</w:t>
            </w:r>
          </w:p>
        </w:tc>
        <w:tc>
          <w:tcPr>
            <w:tcW w:w="2449" w:type="dxa"/>
            <w:shd w:val="clear" w:color="auto" w:fill="auto"/>
            <w:vAlign w:val="center"/>
          </w:tcPr>
          <w:p w14:paraId="4B1F05EB">
            <w:pPr>
              <w:pStyle w:val="146"/>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运至堆肥间生产</w:t>
            </w:r>
            <w:r>
              <w:rPr>
                <w:rFonts w:hint="default" w:ascii="Times New Roman" w:hAnsi="Times New Roman" w:eastAsia="宋体" w:cs="Times New Roman"/>
                <w:snapToGrid w:val="0"/>
                <w:color w:val="auto"/>
                <w:highlight w:val="none"/>
                <w:lang w:eastAsia="zh-CN"/>
              </w:rPr>
              <w:t>固体粪肥</w:t>
            </w:r>
          </w:p>
        </w:tc>
        <w:tc>
          <w:tcPr>
            <w:tcW w:w="4143" w:type="dxa"/>
            <w:shd w:val="clear" w:color="auto" w:fill="auto"/>
            <w:vAlign w:val="center"/>
          </w:tcPr>
          <w:p w14:paraId="7D0B91F5">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不外排，实现资源化</w:t>
            </w:r>
            <w:r>
              <w:rPr>
                <w:rFonts w:hint="default" w:ascii="Times New Roman" w:hAnsi="Times New Roman" w:eastAsia="宋体" w:cs="Times New Roman"/>
                <w:snapToGrid w:val="0"/>
                <w:color w:val="auto"/>
                <w:highlight w:val="none"/>
                <w:lang w:val="en-US" w:eastAsia="zh-CN"/>
              </w:rPr>
              <w:t>利用</w:t>
            </w:r>
            <w:r>
              <w:rPr>
                <w:rFonts w:hint="default" w:ascii="Times New Roman" w:hAnsi="Times New Roman" w:eastAsia="宋体" w:cs="Times New Roman"/>
                <w:snapToGrid w:val="0"/>
                <w:color w:val="auto"/>
                <w:highlight w:val="none"/>
              </w:rPr>
              <w:t>。</w:t>
            </w:r>
          </w:p>
        </w:tc>
      </w:tr>
      <w:tr w14:paraId="1D94C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646" w:type="dxa"/>
            <w:vMerge w:val="continue"/>
            <w:shd w:val="clear" w:color="auto" w:fill="auto"/>
            <w:vAlign w:val="center"/>
          </w:tcPr>
          <w:p w14:paraId="2FD636E1">
            <w:pPr>
              <w:pStyle w:val="146"/>
              <w:rPr>
                <w:rFonts w:hint="default" w:ascii="Times New Roman" w:hAnsi="Times New Roman" w:eastAsia="宋体" w:cs="Times New Roman"/>
                <w:snapToGrid w:val="0"/>
                <w:color w:val="auto"/>
                <w:highlight w:val="none"/>
              </w:rPr>
            </w:pPr>
          </w:p>
        </w:tc>
        <w:tc>
          <w:tcPr>
            <w:tcW w:w="1054" w:type="dxa"/>
            <w:vMerge w:val="continue"/>
            <w:shd w:val="clear" w:color="auto" w:fill="auto"/>
            <w:vAlign w:val="center"/>
          </w:tcPr>
          <w:p w14:paraId="53BA6793">
            <w:pPr>
              <w:pStyle w:val="146"/>
              <w:rPr>
                <w:rFonts w:hint="default" w:ascii="Times New Roman" w:hAnsi="Times New Roman" w:eastAsia="宋体" w:cs="Times New Roman"/>
                <w:snapToGrid w:val="0"/>
                <w:color w:val="auto"/>
                <w:highlight w:val="none"/>
              </w:rPr>
            </w:pPr>
          </w:p>
        </w:tc>
        <w:tc>
          <w:tcPr>
            <w:tcW w:w="1558" w:type="dxa"/>
            <w:vMerge w:val="continue"/>
            <w:shd w:val="clear" w:color="auto" w:fill="auto"/>
            <w:vAlign w:val="center"/>
          </w:tcPr>
          <w:p w14:paraId="67CD3D8C">
            <w:pPr>
              <w:pStyle w:val="146"/>
              <w:rPr>
                <w:rFonts w:hint="default" w:ascii="Times New Roman" w:hAnsi="Times New Roman" w:eastAsia="宋体" w:cs="Times New Roman"/>
                <w:snapToGrid w:val="0"/>
                <w:color w:val="auto"/>
                <w:highlight w:val="none"/>
              </w:rPr>
            </w:pPr>
          </w:p>
        </w:tc>
        <w:tc>
          <w:tcPr>
            <w:tcW w:w="3104" w:type="dxa"/>
            <w:shd w:val="clear" w:color="auto" w:fill="auto"/>
            <w:vAlign w:val="center"/>
          </w:tcPr>
          <w:p w14:paraId="0734A57D">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病死牛尸体</w:t>
            </w:r>
          </w:p>
        </w:tc>
        <w:tc>
          <w:tcPr>
            <w:tcW w:w="2449" w:type="dxa"/>
            <w:shd w:val="clear" w:color="auto" w:fill="auto"/>
            <w:vAlign w:val="center"/>
          </w:tcPr>
          <w:p w14:paraId="5AFDBEAE">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snapToGrid w:val="0"/>
                <w:color w:val="auto"/>
                <w:highlight w:val="none"/>
              </w:rPr>
              <w:t>进行无害化处理</w:t>
            </w:r>
            <w:r>
              <w:rPr>
                <w:rFonts w:hint="default" w:ascii="Times New Roman" w:hAnsi="Times New Roman" w:eastAsia="宋体" w:cs="Times New Roman"/>
                <w:color w:val="auto"/>
                <w:highlight w:val="none"/>
              </w:rPr>
              <w:t>。</w:t>
            </w:r>
          </w:p>
        </w:tc>
        <w:tc>
          <w:tcPr>
            <w:tcW w:w="4143" w:type="dxa"/>
            <w:shd w:val="clear" w:color="auto" w:fill="auto"/>
            <w:vAlign w:val="center"/>
          </w:tcPr>
          <w:p w14:paraId="22211F8B">
            <w:pPr>
              <w:pStyle w:val="146"/>
              <w:rPr>
                <w:rFonts w:hint="default" w:ascii="Times New Roman" w:hAnsi="Times New Roman" w:eastAsia="宋体" w:cs="Times New Roman"/>
                <w:snapToGrid w:val="0"/>
                <w:color w:val="auto"/>
                <w:kern w:val="0"/>
                <w:highlight w:val="none"/>
              </w:rPr>
            </w:pPr>
            <w:r>
              <w:rPr>
                <w:rFonts w:hint="default" w:ascii="Times New Roman" w:hAnsi="Times New Roman" w:eastAsia="宋体" w:cs="Times New Roman"/>
                <w:snapToGrid w:val="0"/>
                <w:color w:val="auto"/>
                <w:kern w:val="0"/>
                <w:highlight w:val="none"/>
              </w:rPr>
              <w:t>满足</w:t>
            </w:r>
            <w:r>
              <w:rPr>
                <w:rFonts w:hint="default" w:ascii="Times New Roman" w:hAnsi="Times New Roman" w:eastAsia="宋体" w:cs="Times New Roman"/>
                <w:color w:val="auto"/>
                <w:highlight w:val="none"/>
              </w:rPr>
              <w:t>《病死及病害动物无害化处理技术规范》（农医发[2017]25号）</w:t>
            </w:r>
            <w:r>
              <w:rPr>
                <w:rFonts w:hint="default" w:ascii="Times New Roman" w:hAnsi="Times New Roman" w:eastAsia="宋体" w:cs="Times New Roman"/>
                <w:snapToGrid w:val="0"/>
                <w:color w:val="auto"/>
                <w:kern w:val="0"/>
                <w:highlight w:val="none"/>
              </w:rPr>
              <w:t>要求。</w:t>
            </w:r>
          </w:p>
        </w:tc>
      </w:tr>
      <w:tr w14:paraId="22A61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2D882118">
            <w:pPr>
              <w:pStyle w:val="146"/>
              <w:rPr>
                <w:rFonts w:hint="default" w:ascii="Times New Roman" w:hAnsi="Times New Roman" w:eastAsia="宋体" w:cs="Times New Roman"/>
                <w:snapToGrid w:val="0"/>
                <w:color w:val="auto"/>
                <w:highlight w:val="none"/>
              </w:rPr>
            </w:pPr>
          </w:p>
        </w:tc>
        <w:tc>
          <w:tcPr>
            <w:tcW w:w="1054" w:type="dxa"/>
            <w:shd w:val="clear" w:color="auto" w:fill="auto"/>
            <w:vAlign w:val="center"/>
          </w:tcPr>
          <w:p w14:paraId="26376D2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生活设施</w:t>
            </w:r>
          </w:p>
        </w:tc>
        <w:tc>
          <w:tcPr>
            <w:tcW w:w="1558" w:type="dxa"/>
            <w:shd w:val="clear" w:color="auto" w:fill="auto"/>
            <w:vAlign w:val="center"/>
          </w:tcPr>
          <w:p w14:paraId="2E86655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办公室</w:t>
            </w:r>
          </w:p>
        </w:tc>
        <w:tc>
          <w:tcPr>
            <w:tcW w:w="3104" w:type="dxa"/>
            <w:shd w:val="clear" w:color="auto" w:fill="auto"/>
            <w:vAlign w:val="center"/>
          </w:tcPr>
          <w:p w14:paraId="7E88A8CB">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c>
          <w:tcPr>
            <w:tcW w:w="2449" w:type="dxa"/>
            <w:shd w:val="clear" w:color="auto" w:fill="auto"/>
            <w:vAlign w:val="center"/>
          </w:tcPr>
          <w:p w14:paraId="087C6854">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垃圾箱收集。</w:t>
            </w:r>
          </w:p>
        </w:tc>
        <w:tc>
          <w:tcPr>
            <w:tcW w:w="4143" w:type="dxa"/>
            <w:shd w:val="clear" w:color="auto" w:fill="auto"/>
            <w:vAlign w:val="center"/>
          </w:tcPr>
          <w:p w14:paraId="7783A821">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市政统一处理。</w:t>
            </w:r>
          </w:p>
        </w:tc>
      </w:tr>
      <w:tr w14:paraId="594B3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7C6C377B">
            <w:pPr>
              <w:pStyle w:val="146"/>
              <w:rPr>
                <w:rFonts w:hint="default" w:ascii="Times New Roman" w:hAnsi="Times New Roman" w:eastAsia="宋体" w:cs="Times New Roman"/>
                <w:snapToGrid w:val="0"/>
                <w:color w:val="auto"/>
                <w:highlight w:val="none"/>
              </w:rPr>
            </w:pPr>
          </w:p>
        </w:tc>
        <w:tc>
          <w:tcPr>
            <w:tcW w:w="1054" w:type="dxa"/>
            <w:shd w:val="clear" w:color="auto" w:fill="auto"/>
            <w:vAlign w:val="center"/>
          </w:tcPr>
          <w:p w14:paraId="6C22EF3A">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防疫治疗</w:t>
            </w:r>
          </w:p>
        </w:tc>
        <w:tc>
          <w:tcPr>
            <w:tcW w:w="1558" w:type="dxa"/>
            <w:shd w:val="clear" w:color="auto" w:fill="auto"/>
            <w:vAlign w:val="center"/>
          </w:tcPr>
          <w:p w14:paraId="44AC274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牛舍</w:t>
            </w:r>
          </w:p>
        </w:tc>
        <w:tc>
          <w:tcPr>
            <w:tcW w:w="3104" w:type="dxa"/>
            <w:shd w:val="clear" w:color="auto" w:fill="auto"/>
            <w:vAlign w:val="center"/>
          </w:tcPr>
          <w:p w14:paraId="7D65469C">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w:t>
            </w:r>
          </w:p>
        </w:tc>
        <w:tc>
          <w:tcPr>
            <w:tcW w:w="2449" w:type="dxa"/>
            <w:shd w:val="clear" w:color="auto" w:fill="auto"/>
            <w:vAlign w:val="center"/>
          </w:tcPr>
          <w:p w14:paraId="48088978">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委托有资质的单位处理。</w:t>
            </w:r>
          </w:p>
        </w:tc>
        <w:tc>
          <w:tcPr>
            <w:tcW w:w="4143" w:type="dxa"/>
            <w:shd w:val="clear" w:color="auto" w:fill="auto"/>
            <w:vAlign w:val="center"/>
          </w:tcPr>
          <w:p w14:paraId="2F42DE07">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w:t>
            </w:r>
          </w:p>
        </w:tc>
      </w:tr>
      <w:tr w14:paraId="62B2E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shd w:val="clear" w:color="auto" w:fill="auto"/>
            <w:vAlign w:val="center"/>
          </w:tcPr>
          <w:p w14:paraId="19DE867E">
            <w:pPr>
              <w:pStyle w:val="146"/>
              <w:rPr>
                <w:rFonts w:hint="default" w:ascii="Times New Roman" w:hAnsi="Times New Roman" w:eastAsia="宋体" w:cs="Times New Roman"/>
                <w:snapToGrid w:val="0"/>
                <w:color w:val="auto"/>
                <w:highlight w:val="none"/>
              </w:rPr>
            </w:pPr>
          </w:p>
        </w:tc>
        <w:tc>
          <w:tcPr>
            <w:tcW w:w="1054" w:type="dxa"/>
            <w:shd w:val="clear" w:color="auto" w:fill="auto"/>
            <w:vAlign w:val="center"/>
          </w:tcPr>
          <w:p w14:paraId="75978330">
            <w:pPr>
              <w:pStyle w:val="14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废气处理</w:t>
            </w:r>
          </w:p>
        </w:tc>
        <w:tc>
          <w:tcPr>
            <w:tcW w:w="1558" w:type="dxa"/>
            <w:shd w:val="clear" w:color="auto" w:fill="auto"/>
            <w:vAlign w:val="center"/>
          </w:tcPr>
          <w:p w14:paraId="7FBA99CC">
            <w:pPr>
              <w:pStyle w:val="146"/>
              <w:rPr>
                <w:rFonts w:hint="eastAsia" w:ascii="Times New Roman" w:hAnsi="Times New Roman" w:eastAsia="宋体" w:cs="Times New Roman"/>
                <w:snapToGrid w:val="0"/>
                <w:color w:val="auto"/>
                <w:highlight w:val="none"/>
                <w:lang w:eastAsia="zh-CN"/>
              </w:rPr>
            </w:pPr>
            <w:r>
              <w:rPr>
                <w:rFonts w:hint="eastAsia" w:eastAsia="宋体" w:cs="Times New Roman"/>
                <w:snapToGrid w:val="0"/>
                <w:color w:val="auto"/>
                <w:highlight w:val="none"/>
                <w:lang w:val="en-US" w:eastAsia="zh-CN"/>
              </w:rPr>
              <w:t>堆肥间</w:t>
            </w:r>
          </w:p>
        </w:tc>
        <w:tc>
          <w:tcPr>
            <w:tcW w:w="3104" w:type="dxa"/>
            <w:shd w:val="clear" w:color="auto" w:fill="auto"/>
            <w:vAlign w:val="center"/>
          </w:tcPr>
          <w:p w14:paraId="48B9E696">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废活性炭</w:t>
            </w:r>
          </w:p>
        </w:tc>
        <w:tc>
          <w:tcPr>
            <w:tcW w:w="2449" w:type="dxa"/>
            <w:shd w:val="clear" w:color="auto" w:fill="auto"/>
            <w:vAlign w:val="center"/>
          </w:tcPr>
          <w:p w14:paraId="33F5591B">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厂家回收。</w:t>
            </w:r>
          </w:p>
        </w:tc>
        <w:tc>
          <w:tcPr>
            <w:tcW w:w="4143" w:type="dxa"/>
            <w:shd w:val="clear" w:color="auto" w:fill="auto"/>
            <w:vAlign w:val="center"/>
          </w:tcPr>
          <w:p w14:paraId="3CCE5936">
            <w:pPr>
              <w:pStyle w:val="146"/>
              <w:ind w:left="0" w:leftChars="0" w:firstLine="0" w:firstLineChars="0"/>
              <w:rPr>
                <w:rFonts w:hint="default" w:ascii="Times New Roman" w:hAnsi="Times New Roman" w:eastAsia="宋体" w:cs="Times New Roman"/>
                <w:snapToGrid w:val="0"/>
                <w:color w:val="auto"/>
                <w:kern w:val="0"/>
                <w:sz w:val="21"/>
                <w:szCs w:val="20"/>
                <w:highlight w:val="none"/>
                <w:lang w:val="en-US" w:eastAsia="zh-CN" w:bidi="ar-SA"/>
              </w:rPr>
            </w:pPr>
            <w:r>
              <w:rPr>
                <w:rFonts w:hint="default" w:ascii="Times New Roman" w:hAnsi="Times New Roman" w:eastAsia="宋体" w:cs="Times New Roman"/>
                <w:snapToGrid w:val="0"/>
                <w:color w:val="auto"/>
                <w:highlight w:val="none"/>
              </w:rPr>
              <w:t>不外排。</w:t>
            </w:r>
          </w:p>
        </w:tc>
      </w:tr>
      <w:tr w14:paraId="29D28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shd w:val="clear" w:color="auto" w:fill="auto"/>
            <w:vAlign w:val="center"/>
          </w:tcPr>
          <w:p w14:paraId="6C1D4D25">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其它</w:t>
            </w:r>
          </w:p>
        </w:tc>
        <w:tc>
          <w:tcPr>
            <w:tcW w:w="1054" w:type="dxa"/>
            <w:shd w:val="clear" w:color="auto" w:fill="auto"/>
            <w:vAlign w:val="center"/>
          </w:tcPr>
          <w:p w14:paraId="04CBAA58">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场界、场区绿化</w:t>
            </w:r>
          </w:p>
        </w:tc>
        <w:tc>
          <w:tcPr>
            <w:tcW w:w="1558" w:type="dxa"/>
            <w:shd w:val="clear" w:color="auto" w:fill="auto"/>
            <w:vAlign w:val="center"/>
          </w:tcPr>
          <w:p w14:paraId="1A4DC10A">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场界四周，各功能区间</w:t>
            </w:r>
          </w:p>
        </w:tc>
        <w:tc>
          <w:tcPr>
            <w:tcW w:w="3104" w:type="dxa"/>
            <w:shd w:val="clear" w:color="auto" w:fill="auto"/>
            <w:vAlign w:val="center"/>
          </w:tcPr>
          <w:p w14:paraId="01DBC87E">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w:t>
            </w:r>
          </w:p>
        </w:tc>
        <w:tc>
          <w:tcPr>
            <w:tcW w:w="2449" w:type="dxa"/>
            <w:shd w:val="clear" w:color="auto" w:fill="auto"/>
            <w:vAlign w:val="center"/>
          </w:tcPr>
          <w:p w14:paraId="0857002D">
            <w:pPr>
              <w:spacing w:line="240" w:lineRule="auto"/>
              <w:ind w:firstLine="0" w:firstLineChars="0"/>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场界四周、场区各功能区之间、场区道路乔、灌、草结合绿化</w:t>
            </w:r>
          </w:p>
        </w:tc>
        <w:tc>
          <w:tcPr>
            <w:tcW w:w="4143" w:type="dxa"/>
            <w:shd w:val="clear" w:color="auto" w:fill="auto"/>
            <w:vAlign w:val="center"/>
          </w:tcPr>
          <w:p w14:paraId="1ECD3852">
            <w:pPr>
              <w:spacing w:line="240" w:lineRule="auto"/>
              <w:ind w:firstLine="0" w:firstLineChars="0"/>
              <w:jc w:val="center"/>
              <w:rPr>
                <w:rFonts w:hint="default" w:ascii="Times New Roman" w:hAnsi="Times New Roman" w:eastAsia="宋体" w:cs="Times New Roman"/>
                <w:snapToGrid w:val="0"/>
                <w:color w:val="auto"/>
                <w:kern w:val="0"/>
                <w:sz w:val="21"/>
                <w:highlight w:val="none"/>
                <w:lang w:val="zh-CN"/>
              </w:rPr>
            </w:pPr>
            <w:r>
              <w:rPr>
                <w:rFonts w:hint="default" w:ascii="Times New Roman" w:hAnsi="Times New Roman" w:eastAsia="宋体" w:cs="Times New Roman"/>
                <w:snapToGrid w:val="0"/>
                <w:color w:val="auto"/>
                <w:kern w:val="0"/>
                <w:sz w:val="21"/>
                <w:highlight w:val="none"/>
                <w:lang w:val="zh-CN"/>
              </w:rPr>
              <w:t>改善场区对外、对内环境，绿化率不低于10%。</w:t>
            </w:r>
          </w:p>
        </w:tc>
      </w:tr>
    </w:tbl>
    <w:p w14:paraId="6491D202">
      <w:pPr>
        <w:pStyle w:val="67"/>
        <w:spacing w:line="240" w:lineRule="auto"/>
        <w:ind w:firstLine="0" w:firstLineChars="0"/>
        <w:jc w:val="center"/>
        <w:rPr>
          <w:rFonts w:hint="default" w:ascii="Times New Roman" w:hAnsi="Times New Roman" w:cs="Times New Roman"/>
          <w:color w:val="auto"/>
          <w:highlight w:val="none"/>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AndChars" w:linePitch="326" w:charSpace="0"/>
        </w:sectPr>
      </w:pPr>
      <w:bookmarkStart w:id="646" w:name="_Toc477368705"/>
    </w:p>
    <w:p w14:paraId="7A9B1FAD">
      <w:pPr>
        <w:pStyle w:val="4"/>
        <w:rPr>
          <w:rFonts w:hint="default" w:ascii="Times New Roman" w:hAnsi="Times New Roman" w:cs="Times New Roman"/>
          <w:color w:val="auto"/>
          <w:highlight w:val="none"/>
        </w:rPr>
      </w:pPr>
      <w:bookmarkStart w:id="647" w:name="_Toc24289"/>
      <w:bookmarkStart w:id="648" w:name="_Toc57713726"/>
      <w:r>
        <w:rPr>
          <w:rFonts w:hint="default" w:ascii="Times New Roman" w:hAnsi="Times New Roman" w:cs="Times New Roman"/>
          <w:color w:val="auto"/>
          <w:highlight w:val="none"/>
        </w:rPr>
        <w:t>8.4总量控制</w:t>
      </w:r>
      <w:bookmarkEnd w:id="647"/>
      <w:bookmarkEnd w:id="648"/>
    </w:p>
    <w:p w14:paraId="6033C5CF">
      <w:pPr>
        <w:pStyle w:val="5"/>
        <w:spacing w:line="500" w:lineRule="exact"/>
        <w:rPr>
          <w:rFonts w:hint="default" w:ascii="Times New Roman" w:hAnsi="Times New Roman" w:cs="Times New Roman"/>
          <w:color w:val="auto"/>
          <w:highlight w:val="none"/>
        </w:rPr>
      </w:pPr>
      <w:bookmarkStart w:id="649" w:name="_Toc57713727"/>
      <w:bookmarkStart w:id="650" w:name="_Toc7306"/>
      <w:r>
        <w:rPr>
          <w:rFonts w:hint="default" w:ascii="Times New Roman" w:hAnsi="Times New Roman" w:cs="Times New Roman"/>
          <w:color w:val="auto"/>
          <w:highlight w:val="none"/>
        </w:rPr>
        <w:t>8.4.1总量控制的意义和原则</w:t>
      </w:r>
      <w:bookmarkEnd w:id="649"/>
      <w:bookmarkEnd w:id="650"/>
    </w:p>
    <w:p w14:paraId="5F7452B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实施总量控制将促进资源、能源的合量利用和优化配置，加速产业结构的调整，实现经济增长方式的根本转变；实施总量控制可以较好地协调经济发展与环境保护之间的关系，推动可持续发展战略的实行。</w:t>
      </w:r>
    </w:p>
    <w:p w14:paraId="4EDF847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本工程属于肉牛养殖项目，总量控制应以</w:t>
      </w:r>
      <w:r>
        <w:rPr>
          <w:rFonts w:hint="eastAsia" w:eastAsia="宋体" w:cs="Times New Roman"/>
          <w:color w:val="auto"/>
          <w:highlight w:val="none"/>
          <w:lang w:val="en-US" w:eastAsia="zh-CN"/>
        </w:rPr>
        <w:t>黑河</w:t>
      </w:r>
      <w:r>
        <w:rPr>
          <w:rFonts w:hint="default" w:ascii="Times New Roman" w:hAnsi="Times New Roman" w:eastAsia="宋体" w:cs="Times New Roman"/>
          <w:color w:val="auto"/>
          <w:highlight w:val="none"/>
        </w:rPr>
        <w:t>市总量控制规划为目标，将本工程投产后排放的污染物总量纳入其总量控制规划中，通过区域调整平衡，实现</w:t>
      </w:r>
      <w:r>
        <w:rPr>
          <w:rFonts w:hint="eastAsia" w:eastAsia="宋体" w:cs="Times New Roman"/>
          <w:color w:val="auto"/>
          <w:highlight w:val="none"/>
          <w:lang w:val="en-US" w:eastAsia="zh-CN"/>
        </w:rPr>
        <w:t>黑河</w:t>
      </w:r>
      <w:r>
        <w:rPr>
          <w:rFonts w:hint="default" w:ascii="Times New Roman" w:hAnsi="Times New Roman" w:eastAsia="宋体" w:cs="Times New Roman"/>
          <w:color w:val="auto"/>
          <w:highlight w:val="none"/>
        </w:rPr>
        <w:t>市污染物排放总量控制的目标。</w:t>
      </w:r>
    </w:p>
    <w:p w14:paraId="17297D9E">
      <w:pPr>
        <w:pStyle w:val="5"/>
        <w:spacing w:line="500" w:lineRule="exact"/>
        <w:rPr>
          <w:rFonts w:hint="default" w:ascii="Times New Roman" w:hAnsi="Times New Roman" w:cs="Times New Roman"/>
          <w:color w:val="auto"/>
          <w:highlight w:val="none"/>
        </w:rPr>
      </w:pPr>
      <w:bookmarkStart w:id="651" w:name="_Toc57713728"/>
      <w:bookmarkStart w:id="652" w:name="_Toc28560"/>
      <w:r>
        <w:rPr>
          <w:rFonts w:hint="default" w:ascii="Times New Roman" w:hAnsi="Times New Roman" w:cs="Times New Roman"/>
          <w:color w:val="auto"/>
          <w:highlight w:val="none"/>
        </w:rPr>
        <w:t>8.4.2总量控制因子</w:t>
      </w:r>
      <w:bookmarkEnd w:id="651"/>
      <w:bookmarkEnd w:id="652"/>
    </w:p>
    <w:p w14:paraId="054F4C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项目运行后，所产生的污水</w:t>
      </w:r>
      <w:r>
        <w:rPr>
          <w:rFonts w:hint="eastAsia" w:eastAsia="宋体" w:cs="Times New Roman"/>
          <w:color w:val="auto"/>
          <w:highlight w:val="none"/>
          <w:lang w:val="en-US" w:eastAsia="zh-CN"/>
        </w:rPr>
        <w:t>均能得到妥善处置，</w:t>
      </w:r>
      <w:r>
        <w:rPr>
          <w:rFonts w:hint="default" w:ascii="Times New Roman" w:hAnsi="Times New Roman" w:eastAsia="宋体" w:cs="Times New Roman"/>
          <w:color w:val="auto"/>
          <w:highlight w:val="none"/>
        </w:rPr>
        <w:t>全部综合利用不外排，冬季取暖采用电取暖</w:t>
      </w:r>
      <w:r>
        <w:rPr>
          <w:rFonts w:hint="eastAsia" w:eastAsia="宋体" w:cs="Times New Roman"/>
          <w:color w:val="auto"/>
          <w:highlight w:val="none"/>
          <w:lang w:val="en-US" w:eastAsia="zh-CN"/>
        </w:rPr>
        <w:t>，大气污染物总量控制指标为氮氧化物、二氧化硫，</w:t>
      </w:r>
      <w:r>
        <w:rPr>
          <w:rFonts w:hint="default" w:ascii="Times New Roman" w:hAnsi="Times New Roman" w:eastAsia="宋体" w:cs="Times New Roman"/>
          <w:color w:val="auto"/>
          <w:highlight w:val="none"/>
        </w:rPr>
        <w:t>本项目</w:t>
      </w:r>
      <w:r>
        <w:rPr>
          <w:rFonts w:hint="eastAsia" w:eastAsia="宋体" w:cs="Times New Roman"/>
          <w:color w:val="auto"/>
          <w:highlight w:val="none"/>
          <w:lang w:val="en-US" w:eastAsia="zh-CN"/>
        </w:rPr>
        <w:t>产生的大气污染物为氨、硫化氢、臭气浓度，不在</w:t>
      </w:r>
      <w:r>
        <w:rPr>
          <w:rFonts w:hint="default" w:ascii="Times New Roman" w:hAnsi="Times New Roman" w:eastAsia="宋体" w:cs="Times New Roman"/>
          <w:color w:val="auto"/>
          <w:highlight w:val="none"/>
        </w:rPr>
        <w:t>总量控制指标</w:t>
      </w:r>
      <w:r>
        <w:rPr>
          <w:rFonts w:hint="eastAsia" w:eastAsia="宋体" w:cs="Times New Roman"/>
          <w:color w:val="auto"/>
          <w:highlight w:val="none"/>
          <w:lang w:val="en-US" w:eastAsia="zh-CN"/>
        </w:rPr>
        <w:t>范围内，故本项目无需申请总量控制指标</w:t>
      </w:r>
      <w:r>
        <w:rPr>
          <w:rFonts w:hint="default" w:ascii="Times New Roman" w:hAnsi="Times New Roman" w:eastAsia="宋体" w:cs="Times New Roman"/>
          <w:color w:val="auto"/>
          <w:highlight w:val="none"/>
        </w:rPr>
        <w:t>。</w:t>
      </w:r>
    </w:p>
    <w:p w14:paraId="24000070">
      <w:pPr>
        <w:pStyle w:val="4"/>
        <w:rPr>
          <w:rFonts w:hint="default" w:ascii="Times New Roman" w:hAnsi="Times New Roman" w:cs="Times New Roman"/>
          <w:color w:val="auto"/>
          <w:highlight w:val="none"/>
        </w:rPr>
      </w:pPr>
      <w:bookmarkStart w:id="653" w:name="_Toc13801"/>
      <w:bookmarkStart w:id="654" w:name="_Toc57713729"/>
      <w:r>
        <w:rPr>
          <w:rFonts w:hint="default" w:ascii="Times New Roman" w:hAnsi="Times New Roman" w:cs="Times New Roman"/>
          <w:color w:val="auto"/>
          <w:highlight w:val="none"/>
        </w:rPr>
        <w:t>8.5与排污许可证制度衔接</w:t>
      </w:r>
      <w:bookmarkEnd w:id="653"/>
      <w:bookmarkEnd w:id="654"/>
    </w:p>
    <w:p w14:paraId="223CBE00">
      <w:pPr>
        <w:pStyle w:val="67"/>
        <w:ind w:firstLine="480"/>
        <w:rPr>
          <w:rFonts w:hint="default" w:ascii="Times New Roman" w:hAnsi="Times New Roman" w:eastAsia="宋体" w:cs="Times New Roman"/>
          <w:color w:val="auto"/>
          <w:highlight w:val="none"/>
        </w:rPr>
      </w:pPr>
      <w:bookmarkStart w:id="655" w:name="_Hlk44604181"/>
      <w:r>
        <w:rPr>
          <w:rFonts w:hint="default" w:ascii="Times New Roman" w:hAnsi="Times New Roman" w:eastAsia="宋体" w:cs="Times New Roman"/>
          <w:color w:val="auto"/>
          <w:highlight w:val="none"/>
        </w:rPr>
        <w:t>目前我国正在推进排污许可制度改革工作。环保部也大力推进排污许可证制度，并作为“十三五”国家固定源环境管理的核心，《国务院办公厅关于印发控制污染物排放许可制实施方案的通知》（国办发[2016]81号）明确将排污许可制建设成为固定污染源环境管理的核心制度，作为企业守法、部门执法、社会监督的依据，为提高环境管理效能和改善环境质量奠定坚实基础。</w:t>
      </w:r>
    </w:p>
    <w:p w14:paraId="59C2CDD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7DF45C3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152B8B7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131DD085">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05659B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根据《固定污染源排污许可分类管理名录》（2019年版），本项目为“一、畜牧业03、1牲畜饲养031”中“无污水排放口的规模化畜禽养殖场、养 殖小区，设有污水排放口的规模以下畜禽养殖场、养殖小区”，拟采取登记管理方式。</w:t>
      </w:r>
    </w:p>
    <w:bookmarkEnd w:id="655"/>
    <w:p w14:paraId="532B3423">
      <w:pPr>
        <w:pStyle w:val="67"/>
        <w:ind w:firstLine="480"/>
        <w:rPr>
          <w:rFonts w:hint="default" w:ascii="Times New Roman" w:hAnsi="Times New Roman" w:eastAsia="宋体" w:cs="Times New Roman"/>
          <w:color w:val="auto"/>
          <w:highlight w:val="none"/>
        </w:rPr>
      </w:pPr>
      <w:bookmarkStart w:id="656" w:name="_Hlk47701002"/>
      <w:r>
        <w:rPr>
          <w:rFonts w:hint="default" w:ascii="Times New Roman" w:hAnsi="Times New Roman" w:eastAsia="宋体" w:cs="Times New Roman"/>
          <w:color w:val="auto"/>
          <w:highlight w:val="none"/>
        </w:rPr>
        <w:t>实行登记管理的排污单位，不需要申请取得排污许可证，应按照《排污许可申请与核发技术规范 畜禽养殖行业》（HJ1029-2019）中要求标准，在全国排污许可证管理信息平台申报系统中填报排污登记表，登记基本信息、污染物排放去向、执行的污染物排放标准以及采取的污染防治措施等信息。</w:t>
      </w:r>
    </w:p>
    <w:p w14:paraId="096A0470">
      <w:pPr>
        <w:spacing w:line="500" w:lineRule="exact"/>
        <w:ind w:firstLine="0" w:firstLineChars="0"/>
        <w:jc w:val="center"/>
        <w:rPr>
          <w:rFonts w:hint="default" w:ascii="Times New Roman" w:hAnsi="Times New Roman" w:eastAsia="宋体" w:cs="Times New Roman"/>
          <w:color w:val="auto"/>
          <w:highlight w:val="none"/>
        </w:rPr>
      </w:pPr>
    </w:p>
    <w:p w14:paraId="287015A5">
      <w:pPr>
        <w:spacing w:line="500" w:lineRule="exact"/>
        <w:ind w:firstLine="0" w:firstLineChars="0"/>
        <w:jc w:val="center"/>
        <w:rPr>
          <w:rFonts w:hint="default" w:ascii="Times New Roman" w:hAnsi="Times New Roman" w:eastAsia="宋体" w:cs="Times New Roman"/>
          <w:color w:val="auto"/>
          <w:highlight w:val="none"/>
        </w:rPr>
      </w:pPr>
    </w:p>
    <w:p w14:paraId="6B9A3FB8">
      <w:pPr>
        <w:spacing w:line="500" w:lineRule="exact"/>
        <w:ind w:firstLine="0" w:firstLineChars="0"/>
        <w:jc w:val="center"/>
        <w:rPr>
          <w:rFonts w:hint="default" w:ascii="Times New Roman" w:hAnsi="Times New Roman" w:cs="Times New Roman"/>
          <w:color w:val="auto"/>
          <w:highlight w:val="none"/>
        </w:rPr>
      </w:pPr>
    </w:p>
    <w:p w14:paraId="4FD6D345">
      <w:pPr>
        <w:spacing w:line="500" w:lineRule="exact"/>
        <w:ind w:firstLine="0" w:firstLineChars="0"/>
        <w:jc w:val="center"/>
        <w:rPr>
          <w:rFonts w:hint="default" w:ascii="Times New Roman" w:hAnsi="Times New Roman" w:cs="Times New Roman"/>
          <w:color w:val="auto"/>
          <w:highlight w:val="none"/>
        </w:rPr>
      </w:pPr>
    </w:p>
    <w:p w14:paraId="7D0FA72B">
      <w:pPr>
        <w:spacing w:line="500" w:lineRule="exact"/>
        <w:ind w:firstLine="0" w:firstLineChars="0"/>
        <w:jc w:val="center"/>
        <w:rPr>
          <w:rFonts w:hint="default" w:ascii="Times New Roman" w:hAnsi="Times New Roman" w:cs="Times New Roman"/>
          <w:color w:val="auto"/>
          <w:highlight w:val="none"/>
        </w:rPr>
      </w:pPr>
    </w:p>
    <w:p w14:paraId="465A96AB">
      <w:pPr>
        <w:spacing w:line="500" w:lineRule="exact"/>
        <w:ind w:firstLine="0" w:firstLineChars="0"/>
        <w:jc w:val="center"/>
        <w:rPr>
          <w:rFonts w:hint="default" w:ascii="Times New Roman" w:hAnsi="Times New Roman" w:cs="Times New Roman"/>
          <w:color w:val="auto"/>
          <w:highlight w:val="none"/>
        </w:rPr>
      </w:pPr>
    </w:p>
    <w:p w14:paraId="735AF630">
      <w:pPr>
        <w:spacing w:line="500" w:lineRule="exact"/>
        <w:ind w:firstLine="0" w:firstLineChars="0"/>
        <w:jc w:val="center"/>
        <w:rPr>
          <w:rFonts w:hint="default" w:ascii="Times New Roman" w:hAnsi="Times New Roman" w:cs="Times New Roman"/>
          <w:color w:val="auto"/>
          <w:highlight w:val="none"/>
        </w:rPr>
      </w:pPr>
    </w:p>
    <w:p w14:paraId="025699AF">
      <w:pPr>
        <w:spacing w:line="500" w:lineRule="exact"/>
        <w:ind w:firstLine="0" w:firstLineChars="0"/>
        <w:jc w:val="center"/>
        <w:rPr>
          <w:rFonts w:hint="default" w:ascii="Times New Roman" w:hAnsi="Times New Roman" w:cs="Times New Roman"/>
          <w:color w:val="auto"/>
          <w:highlight w:val="none"/>
        </w:rPr>
      </w:pPr>
    </w:p>
    <w:p w14:paraId="6936A0E8">
      <w:pPr>
        <w:spacing w:line="500" w:lineRule="exact"/>
        <w:ind w:firstLine="0" w:firstLineChars="0"/>
        <w:jc w:val="center"/>
        <w:rPr>
          <w:rFonts w:hint="default" w:ascii="Times New Roman" w:hAnsi="Times New Roman" w:cs="Times New Roman"/>
          <w:color w:val="auto"/>
          <w:highlight w:val="none"/>
        </w:rPr>
      </w:pPr>
    </w:p>
    <w:p w14:paraId="6FB4A3FF">
      <w:pPr>
        <w:spacing w:line="500" w:lineRule="exact"/>
        <w:ind w:firstLine="0" w:firstLineChars="0"/>
        <w:jc w:val="center"/>
        <w:rPr>
          <w:rFonts w:hint="default" w:ascii="Times New Roman" w:hAnsi="Times New Roman" w:cs="Times New Roman"/>
          <w:color w:val="auto"/>
          <w:highlight w:val="none"/>
        </w:rPr>
      </w:pPr>
    </w:p>
    <w:p w14:paraId="40A5DF0F">
      <w:pPr>
        <w:spacing w:line="500" w:lineRule="exact"/>
        <w:ind w:firstLine="0" w:firstLineChars="0"/>
        <w:jc w:val="center"/>
        <w:rPr>
          <w:rFonts w:hint="default" w:ascii="Times New Roman" w:hAnsi="Times New Roman" w:cs="Times New Roman"/>
          <w:color w:val="auto"/>
          <w:highlight w:val="none"/>
        </w:rPr>
      </w:pPr>
    </w:p>
    <w:p w14:paraId="6A7AC7C2">
      <w:pPr>
        <w:spacing w:line="500" w:lineRule="exact"/>
        <w:ind w:firstLine="0" w:firstLineChars="0"/>
        <w:jc w:val="center"/>
        <w:rPr>
          <w:rFonts w:hint="default" w:ascii="Times New Roman" w:hAnsi="Times New Roman" w:cs="Times New Roman"/>
          <w:color w:val="auto"/>
          <w:highlight w:val="none"/>
        </w:rPr>
      </w:pPr>
    </w:p>
    <w:p w14:paraId="42DC52EC">
      <w:pPr>
        <w:spacing w:line="500" w:lineRule="exact"/>
        <w:ind w:firstLine="0" w:firstLineChars="0"/>
        <w:jc w:val="center"/>
        <w:rPr>
          <w:rFonts w:hint="default" w:ascii="Times New Roman" w:hAnsi="Times New Roman" w:cs="Times New Roman"/>
          <w:color w:val="auto"/>
          <w:highlight w:val="none"/>
        </w:rPr>
      </w:pPr>
    </w:p>
    <w:p w14:paraId="1EA22C58">
      <w:pPr>
        <w:spacing w:line="500" w:lineRule="exact"/>
        <w:ind w:firstLine="0" w:firstLineChars="0"/>
        <w:jc w:val="center"/>
        <w:rPr>
          <w:rFonts w:hint="default" w:ascii="Times New Roman" w:hAnsi="Times New Roman" w:cs="Times New Roman"/>
          <w:color w:val="auto"/>
          <w:highlight w:val="none"/>
        </w:rPr>
      </w:pPr>
    </w:p>
    <w:p w14:paraId="69675905">
      <w:pPr>
        <w:spacing w:line="500" w:lineRule="exact"/>
        <w:ind w:firstLine="0" w:firstLineChars="0"/>
        <w:jc w:val="center"/>
        <w:rPr>
          <w:rFonts w:hint="default" w:ascii="Times New Roman" w:hAnsi="Times New Roman" w:cs="Times New Roman"/>
          <w:color w:val="auto"/>
          <w:highlight w:val="none"/>
        </w:rPr>
      </w:pPr>
    </w:p>
    <w:p w14:paraId="275A7AAB">
      <w:pPr>
        <w:spacing w:line="500" w:lineRule="exact"/>
        <w:ind w:firstLine="0" w:firstLineChars="0"/>
        <w:jc w:val="center"/>
        <w:rPr>
          <w:rFonts w:hint="default" w:ascii="Times New Roman" w:hAnsi="Times New Roman" w:cs="Times New Roman"/>
          <w:color w:val="auto"/>
          <w:highlight w:val="none"/>
        </w:rPr>
      </w:pPr>
    </w:p>
    <w:bookmarkEnd w:id="656"/>
    <w:p w14:paraId="69A92904">
      <w:pPr>
        <w:spacing w:line="500" w:lineRule="exact"/>
        <w:ind w:firstLine="0" w:firstLineChars="0"/>
        <w:jc w:val="center"/>
        <w:rPr>
          <w:rFonts w:hint="default" w:ascii="Times New Roman" w:hAnsi="Times New Roman" w:cs="Times New Roman"/>
          <w:color w:val="auto"/>
          <w:highlight w:val="none"/>
        </w:rPr>
      </w:pPr>
    </w:p>
    <w:p w14:paraId="048594E6">
      <w:pPr>
        <w:pStyle w:val="67"/>
        <w:ind w:firstLine="480"/>
        <w:rPr>
          <w:rFonts w:hint="default" w:ascii="Times New Roman" w:hAnsi="Times New Roman" w:cs="Times New Roman"/>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cols w:space="425" w:num="1"/>
          <w:docGrid w:type="linesAndChars" w:linePitch="326" w:charSpace="0"/>
        </w:sectPr>
      </w:pPr>
    </w:p>
    <w:bookmarkEnd w:id="646"/>
    <w:p w14:paraId="0C61817F">
      <w:pPr>
        <w:pStyle w:val="3"/>
        <w:spacing w:line="500" w:lineRule="exact"/>
        <w:rPr>
          <w:rFonts w:hint="default" w:ascii="Times New Roman" w:hAnsi="Times New Roman" w:cs="Times New Roman"/>
          <w:color w:val="auto"/>
          <w:highlight w:val="none"/>
        </w:rPr>
      </w:pPr>
      <w:bookmarkStart w:id="657" w:name="_Toc57713730"/>
      <w:bookmarkStart w:id="658" w:name="_Toc14929"/>
      <w:r>
        <w:rPr>
          <w:rFonts w:hint="default" w:ascii="Times New Roman" w:hAnsi="Times New Roman" w:cs="Times New Roman"/>
          <w:color w:val="auto"/>
          <w:highlight w:val="none"/>
        </w:rPr>
        <w:t>9环境影响评价结论</w:t>
      </w:r>
      <w:bookmarkEnd w:id="657"/>
      <w:bookmarkEnd w:id="658"/>
    </w:p>
    <w:p w14:paraId="48EEE894">
      <w:pPr>
        <w:pStyle w:val="4"/>
        <w:rPr>
          <w:rFonts w:hint="default" w:ascii="Times New Roman" w:hAnsi="Times New Roman" w:cs="Times New Roman"/>
          <w:color w:val="auto"/>
          <w:highlight w:val="none"/>
        </w:rPr>
      </w:pPr>
      <w:bookmarkStart w:id="659" w:name="_Toc457030108"/>
      <w:bookmarkStart w:id="660" w:name="_Toc477368706"/>
      <w:bookmarkStart w:id="661" w:name="_Toc9647"/>
      <w:bookmarkStart w:id="662" w:name="_Toc57713731"/>
      <w:r>
        <w:rPr>
          <w:rFonts w:hint="default" w:ascii="Times New Roman" w:hAnsi="Times New Roman" w:cs="Times New Roman"/>
          <w:color w:val="auto"/>
          <w:highlight w:val="none"/>
        </w:rPr>
        <w:t>9.1评价结论</w:t>
      </w:r>
      <w:bookmarkEnd w:id="659"/>
      <w:bookmarkEnd w:id="660"/>
      <w:bookmarkEnd w:id="661"/>
      <w:bookmarkEnd w:id="662"/>
    </w:p>
    <w:p w14:paraId="4F5BFAAD">
      <w:pPr>
        <w:pStyle w:val="5"/>
        <w:spacing w:line="500" w:lineRule="exact"/>
        <w:rPr>
          <w:rFonts w:hint="default" w:ascii="Times New Roman" w:hAnsi="Times New Roman" w:cs="Times New Roman"/>
          <w:color w:val="auto"/>
          <w:highlight w:val="none"/>
        </w:rPr>
      </w:pPr>
      <w:bookmarkStart w:id="663" w:name="_Toc57713732"/>
      <w:bookmarkStart w:id="664" w:name="_Toc15616"/>
      <w:r>
        <w:rPr>
          <w:rFonts w:hint="default" w:ascii="Times New Roman" w:hAnsi="Times New Roman" w:cs="Times New Roman"/>
          <w:color w:val="auto"/>
          <w:highlight w:val="none"/>
        </w:rPr>
        <w:t>9.1.1建设概况</w:t>
      </w:r>
      <w:bookmarkEnd w:id="663"/>
      <w:bookmarkEnd w:id="664"/>
    </w:p>
    <w:p w14:paraId="455C2839">
      <w:pPr>
        <w:pStyle w:val="67"/>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本项目建设地点位于</w:t>
      </w:r>
      <w:r>
        <w:rPr>
          <w:rFonts w:hint="default" w:ascii="Times New Roman" w:hAnsi="Times New Roman" w:eastAsia="宋体" w:cs="Times New Roman"/>
          <w:color w:val="auto"/>
          <w:highlight w:val="none"/>
          <w:lang w:eastAsia="zh-CN"/>
        </w:rPr>
        <w:t>黑龙江省</w:t>
      </w:r>
      <w:r>
        <w:rPr>
          <w:rFonts w:hint="default" w:ascii="Times New Roman" w:hAnsi="Times New Roman" w:eastAsia="宋体" w:cs="Times New Roman"/>
          <w:color w:val="auto"/>
          <w:highlight w:val="none"/>
          <w:lang w:val="en-US" w:eastAsia="zh-CN"/>
        </w:rPr>
        <w:t>黑河市孙吴县</w:t>
      </w:r>
      <w:r>
        <w:rPr>
          <w:rFonts w:hint="default" w:ascii="Times New Roman" w:hAnsi="Times New Roman" w:eastAsia="宋体" w:cs="Times New Roman"/>
          <w:color w:val="auto"/>
          <w:highlight w:val="none"/>
        </w:rPr>
        <w:t>，占地面积</w:t>
      </w:r>
      <w:r>
        <w:rPr>
          <w:rFonts w:hint="eastAsia" w:eastAsia="宋体" w:cs="Times New Roman"/>
          <w:color w:val="auto"/>
          <w:highlight w:val="none"/>
          <w:lang w:val="en-US" w:eastAsia="zh-CN"/>
        </w:rPr>
        <w:t>56.4161</w:t>
      </w:r>
      <w:r>
        <w:rPr>
          <w:rFonts w:hint="default" w:ascii="Times New Roman" w:hAnsi="Times New Roman" w:eastAsia="宋体" w:cs="Times New Roman"/>
          <w:color w:val="auto"/>
          <w:highlight w:val="none"/>
          <w:lang w:eastAsia="zh-CN"/>
        </w:rPr>
        <w:t>万平方米</w:t>
      </w:r>
      <w:r>
        <w:rPr>
          <w:rFonts w:hint="default" w:ascii="Times New Roman" w:hAnsi="Times New Roman" w:eastAsia="宋体" w:cs="Times New Roman"/>
          <w:color w:val="auto"/>
          <w:highlight w:val="none"/>
        </w:rPr>
        <w:t>，建筑面积为</w:t>
      </w:r>
      <w:r>
        <w:rPr>
          <w:rFonts w:hint="eastAsia" w:eastAsia="宋体" w:cs="Times New Roman"/>
          <w:color w:val="auto"/>
          <w:highlight w:val="none"/>
          <w:lang w:val="en-US" w:eastAsia="zh-CN"/>
        </w:rPr>
        <w:t>75461.42</w:t>
      </w:r>
      <w:r>
        <w:rPr>
          <w:rFonts w:hint="default" w:ascii="Times New Roman" w:hAnsi="Times New Roman" w:eastAsia="宋体" w:cs="Times New Roman"/>
          <w:color w:val="auto"/>
          <w:highlight w:val="none"/>
          <w:lang w:eastAsia="zh-CN"/>
        </w:rPr>
        <w:t>平方米</w:t>
      </w:r>
      <w:r>
        <w:rPr>
          <w:rFonts w:hint="default" w:ascii="Times New Roman" w:hAnsi="Times New Roman" w:eastAsia="宋体" w:cs="Times New Roman"/>
          <w:color w:val="auto"/>
          <w:highlight w:val="none"/>
        </w:rPr>
        <w:t>，项目占地类型为</w:t>
      </w:r>
      <w:r>
        <w:rPr>
          <w:rFonts w:hint="default" w:ascii="Times New Roman" w:hAnsi="Times New Roman" w:eastAsia="宋体" w:cs="Times New Roman"/>
          <w:color w:val="auto"/>
          <w:highlight w:val="none"/>
          <w:lang w:val="en-US" w:eastAsia="zh-CN"/>
        </w:rPr>
        <w:t>设施农业用地</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项目拟建年</w:t>
      </w:r>
      <w:r>
        <w:rPr>
          <w:rFonts w:hint="eastAsia" w:eastAsia="宋体" w:cs="Times New Roman"/>
          <w:color w:val="auto"/>
          <w:highlight w:val="none"/>
          <w:lang w:val="en-US" w:eastAsia="zh-CN"/>
        </w:rPr>
        <w:t>存栏6000头，</w:t>
      </w:r>
      <w:r>
        <w:rPr>
          <w:rFonts w:hint="default" w:ascii="Times New Roman" w:hAnsi="Times New Roman" w:eastAsia="宋体" w:cs="Times New Roman"/>
          <w:color w:val="auto"/>
          <w:highlight w:val="none"/>
          <w:lang w:val="en-US" w:eastAsia="zh-CN"/>
        </w:rPr>
        <w:t>出栏</w:t>
      </w:r>
      <w:r>
        <w:rPr>
          <w:rFonts w:hint="eastAsia" w:eastAsia="宋体" w:cs="Times New Roman"/>
          <w:color w:val="auto"/>
          <w:highlight w:val="none"/>
          <w:lang w:val="en-US" w:eastAsia="zh-CN"/>
        </w:rPr>
        <w:t>100</w:t>
      </w:r>
      <w:r>
        <w:rPr>
          <w:rFonts w:hint="default" w:ascii="Times New Roman" w:hAnsi="Times New Roman" w:eastAsia="宋体" w:cs="Times New Roman"/>
          <w:color w:val="auto"/>
          <w:highlight w:val="none"/>
          <w:lang w:val="en-US" w:eastAsia="zh-CN"/>
        </w:rPr>
        <w:t>00头肉牛养殖场一座。</w:t>
      </w:r>
    </w:p>
    <w:p w14:paraId="35E6459D">
      <w:pPr>
        <w:pStyle w:val="5"/>
        <w:spacing w:line="500" w:lineRule="exact"/>
        <w:rPr>
          <w:rFonts w:hint="default" w:ascii="Times New Roman" w:hAnsi="Times New Roman" w:cs="Times New Roman"/>
          <w:color w:val="auto"/>
          <w:highlight w:val="none"/>
        </w:rPr>
      </w:pPr>
      <w:bookmarkStart w:id="665" w:name="_Toc57713733"/>
      <w:bookmarkStart w:id="666" w:name="_Toc24895"/>
      <w:r>
        <w:rPr>
          <w:rFonts w:hint="default" w:ascii="Times New Roman" w:hAnsi="Times New Roman" w:cs="Times New Roman"/>
          <w:color w:val="auto"/>
          <w:highlight w:val="none"/>
        </w:rPr>
        <w:t>9.1.2项目符合性结论</w:t>
      </w:r>
      <w:bookmarkEnd w:id="665"/>
      <w:bookmarkEnd w:id="666"/>
    </w:p>
    <w:p w14:paraId="74C92522">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9.1.2.1产业政策符合性结论</w:t>
      </w:r>
    </w:p>
    <w:p w14:paraId="3488F5B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根据《产业结构调整指导目录（2024年本）》有关条款，在目录中第一类鼓励类农林业项第14条规定：畜禽标准化规模养殖技术开发与应用。</w:t>
      </w:r>
    </w:p>
    <w:p w14:paraId="3DDAC5F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本项目肉牛养殖规模常年</w:t>
      </w:r>
      <w:r>
        <w:rPr>
          <w:rFonts w:hint="default" w:ascii="Times New Roman" w:hAnsi="Times New Roman" w:eastAsia="宋体" w:cs="Times New Roman"/>
          <w:color w:val="auto"/>
          <w:highlight w:val="none"/>
          <w:lang w:val="en-US" w:eastAsia="zh-CN"/>
        </w:rPr>
        <w:t>出</w:t>
      </w:r>
      <w:r>
        <w:rPr>
          <w:rFonts w:hint="default" w:ascii="Times New Roman" w:hAnsi="Times New Roman" w:eastAsia="宋体" w:cs="Times New Roman"/>
          <w:color w:val="auto"/>
          <w:highlight w:val="none"/>
        </w:rPr>
        <w:t>栏总数为</w:t>
      </w:r>
      <w:r>
        <w:rPr>
          <w:rFonts w:hint="eastAsia" w:eastAsia="宋体"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000</w:t>
      </w:r>
      <w:r>
        <w:rPr>
          <w:rFonts w:hint="default" w:ascii="Times New Roman" w:hAnsi="Times New Roman" w:eastAsia="宋体" w:cs="Times New Roman"/>
          <w:color w:val="auto"/>
          <w:highlight w:val="none"/>
        </w:rPr>
        <w:t>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存栏</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000头肉牛</w:t>
      </w:r>
      <w:r>
        <w:rPr>
          <w:rFonts w:hint="default" w:ascii="Times New Roman" w:hAnsi="Times New Roman" w:eastAsia="宋体" w:cs="Times New Roman"/>
          <w:color w:val="auto"/>
          <w:highlight w:val="none"/>
        </w:rPr>
        <w:t>，属标准化规模养殖项目，项目建设符合该产业政策的要求。</w:t>
      </w:r>
    </w:p>
    <w:p w14:paraId="28FD8CF5">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9.1.2.2场址选择合理性结论</w:t>
      </w:r>
    </w:p>
    <w:p w14:paraId="11413699">
      <w:pPr>
        <w:pStyle w:val="67"/>
        <w:ind w:firstLine="48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rPr>
        <w:t>项目评价区域内无生活饮用水水源保护区、风景名胜区、</w:t>
      </w:r>
      <w:r>
        <w:rPr>
          <w:rFonts w:hint="default" w:ascii="Times New Roman" w:hAnsi="Times New Roman" w:eastAsia="宋体" w:cs="Times New Roman"/>
          <w:color w:val="auto"/>
          <w:highlight w:val="none"/>
          <w:lang w:val="zh-CN"/>
        </w:rPr>
        <w:t>自然保护区，</w:t>
      </w:r>
      <w:r>
        <w:rPr>
          <w:rFonts w:hint="default" w:ascii="Times New Roman" w:hAnsi="Times New Roman" w:eastAsia="宋体" w:cs="Times New Roman"/>
          <w:color w:val="auto"/>
          <w:highlight w:val="none"/>
        </w:rPr>
        <w:t>符合《畜禽养殖业污染防治技术规范》（HJ/T81-2001）中规定的“新建改建、扩建的畜禽养殖场选址应避开以上禁建区域。在禁建区域附近建设的，应设在禁建区域常年主导风向的下风向或侧风向处，场界与禁建区域边界的最小距离不得小于500m”的要求；选址不涉及城市和城镇中居民区等人口集中地区、不属于当地政府划定的禁养区区域、也不属于法律法规规定需特殊保护的其他区域</w:t>
      </w:r>
      <w:r>
        <w:rPr>
          <w:rFonts w:hint="default" w:ascii="Times New Roman" w:hAnsi="Times New Roman" w:eastAsia="宋体" w:cs="Times New Roman"/>
          <w:color w:val="auto"/>
          <w:highlight w:val="none"/>
          <w:lang w:eastAsia="zh-CN"/>
        </w:rPr>
        <w:t>。</w:t>
      </w:r>
    </w:p>
    <w:p w14:paraId="3ED0915A">
      <w:pPr>
        <w:pStyle w:val="67"/>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项目选址符合《畜禽规模养殖污染防治条例》、《畜禽养殖业污染防治技术规范》（HJ/T81-2001）及《畜禽养殖污染防治管理办法》等相关规定的要求。因此，项目选址从环境影响评价的角度分析，是合理可行的。</w:t>
      </w:r>
    </w:p>
    <w:p w14:paraId="6F774CB6">
      <w:pPr>
        <w:pStyle w:val="5"/>
        <w:spacing w:line="500" w:lineRule="exact"/>
        <w:rPr>
          <w:rFonts w:hint="default" w:ascii="Times New Roman" w:hAnsi="Times New Roman" w:cs="Times New Roman"/>
          <w:color w:val="auto"/>
          <w:highlight w:val="none"/>
        </w:rPr>
      </w:pPr>
      <w:bookmarkStart w:id="667" w:name="_Toc57713734"/>
      <w:bookmarkStart w:id="668" w:name="_Toc4771"/>
      <w:r>
        <w:rPr>
          <w:rFonts w:hint="default" w:ascii="Times New Roman" w:hAnsi="Times New Roman" w:cs="Times New Roman"/>
          <w:color w:val="auto"/>
          <w:highlight w:val="none"/>
        </w:rPr>
        <w:t>9.1.3环境质量现状评价结论</w:t>
      </w:r>
      <w:bookmarkEnd w:id="667"/>
      <w:bookmarkEnd w:id="668"/>
    </w:p>
    <w:p w14:paraId="62A3A44C">
      <w:pPr>
        <w:pStyle w:val="67"/>
        <w:ind w:firstLine="0" w:firstLineChars="0"/>
        <w:outlineLvl w:val="3"/>
        <w:rPr>
          <w:rFonts w:hint="default" w:ascii="Times New Roman" w:hAnsi="Times New Roman" w:cs="Times New Roman"/>
          <w:color w:val="auto"/>
          <w:highlight w:val="none"/>
        </w:rPr>
      </w:pPr>
      <w:bookmarkStart w:id="669" w:name="_Hlk44604223"/>
      <w:r>
        <w:rPr>
          <w:rFonts w:hint="default" w:ascii="Times New Roman" w:hAnsi="Times New Roman" w:cs="Times New Roman"/>
          <w:color w:val="auto"/>
          <w:highlight w:val="none"/>
        </w:rPr>
        <w:t>9.1.3.1</w:t>
      </w:r>
      <w:r>
        <w:rPr>
          <w:rFonts w:hint="default" w:ascii="Times New Roman" w:hAnsi="Times New Roman" w:eastAsia="宋体" w:cs="Times New Roman"/>
          <w:color w:val="auto"/>
          <w:highlight w:val="none"/>
        </w:rPr>
        <w:t>大气环境质量现状评价结论</w:t>
      </w:r>
    </w:p>
    <w:p w14:paraId="7A9B1B19">
      <w:pPr>
        <w:pStyle w:val="67"/>
        <w:ind w:firstLine="480"/>
        <w:rPr>
          <w:rFonts w:hint="eastAsia" w:ascii="Times New Roman" w:hAnsi="Times New Roman" w:eastAsia="宋体" w:cs="Times New Roman"/>
          <w:color w:val="auto"/>
          <w:highlight w:val="none"/>
          <w:lang w:val="en-US" w:eastAsia="zh-CN"/>
        </w:rPr>
      </w:pPr>
      <w:bookmarkStart w:id="670" w:name="_Hlk10651148"/>
      <w:r>
        <w:rPr>
          <w:rFonts w:hint="default" w:ascii="Times New Roman" w:hAnsi="Times New Roman" w:eastAsia="宋体" w:cs="Times New Roman"/>
          <w:color w:val="auto"/>
          <w:highlight w:val="none"/>
        </w:rPr>
        <w:t>根据</w:t>
      </w:r>
      <w:r>
        <w:rPr>
          <w:rFonts w:hint="default" w:ascii="Times New Roman" w:hAnsi="Times New Roman" w:eastAsia="宋体" w:cs="Times New Roman"/>
          <w:snapToGrid w:val="0"/>
          <w:color w:val="auto"/>
          <w:kern w:val="0"/>
          <w:sz w:val="24"/>
          <w:szCs w:val="28"/>
          <w:highlight w:val="none"/>
          <w:lang w:val="en-US" w:eastAsia="zh-Hans"/>
        </w:rPr>
        <w:t>《202</w:t>
      </w:r>
      <w:r>
        <w:rPr>
          <w:rFonts w:hint="eastAsia" w:cs="Times New Roman"/>
          <w:snapToGrid w:val="0"/>
          <w:color w:val="auto"/>
          <w:kern w:val="0"/>
          <w:sz w:val="24"/>
          <w:szCs w:val="28"/>
          <w:highlight w:val="none"/>
          <w:lang w:val="en-US" w:eastAsia="zh-CN"/>
        </w:rPr>
        <w:t>5</w:t>
      </w:r>
      <w:r>
        <w:rPr>
          <w:rFonts w:hint="default" w:ascii="Times New Roman" w:hAnsi="Times New Roman" w:eastAsia="宋体" w:cs="Times New Roman"/>
          <w:snapToGrid w:val="0"/>
          <w:color w:val="auto"/>
          <w:kern w:val="0"/>
          <w:sz w:val="24"/>
          <w:szCs w:val="28"/>
          <w:highlight w:val="none"/>
          <w:lang w:val="en-US" w:eastAsia="zh-Hans"/>
        </w:rPr>
        <w:t>年黑龙江省生态环境质量状况》，</w:t>
      </w:r>
      <w:r>
        <w:rPr>
          <w:rFonts w:hint="eastAsia" w:ascii="Times New Roman" w:hAnsi="Times New Roman" w:eastAsia="宋体" w:cs="Times New Roman"/>
          <w:snapToGrid w:val="0"/>
          <w:color w:val="auto"/>
          <w:kern w:val="0"/>
          <w:sz w:val="24"/>
          <w:szCs w:val="28"/>
          <w:highlight w:val="none"/>
          <w:lang w:val="en-US" w:eastAsia="zh-CN"/>
        </w:rPr>
        <w:t>各污染物</w:t>
      </w:r>
      <w:r>
        <w:rPr>
          <w:rFonts w:hint="default" w:ascii="Times New Roman" w:hAnsi="Times New Roman" w:eastAsia="宋体" w:cs="Times New Roman"/>
          <w:snapToGrid w:val="0"/>
          <w:color w:val="auto"/>
          <w:kern w:val="0"/>
          <w:sz w:val="24"/>
          <w:szCs w:val="28"/>
          <w:highlight w:val="none"/>
          <w:lang w:val="en-US" w:eastAsia="zh-Hans"/>
        </w:rPr>
        <w:t>均能达到《环境空气质量标准》（GB3095-20</w:t>
      </w:r>
      <w:r>
        <w:rPr>
          <w:rFonts w:hint="eastAsia" w:ascii="Times New Roman" w:hAnsi="Times New Roman" w:eastAsia="宋体" w:cs="Times New Roman"/>
          <w:snapToGrid w:val="0"/>
          <w:color w:val="auto"/>
          <w:kern w:val="0"/>
          <w:sz w:val="24"/>
          <w:szCs w:val="28"/>
          <w:highlight w:val="none"/>
          <w:lang w:val="en-US" w:eastAsia="zh-CN"/>
        </w:rPr>
        <w:t>26</w:t>
      </w:r>
      <w:r>
        <w:rPr>
          <w:rFonts w:hint="default" w:ascii="Times New Roman" w:hAnsi="Times New Roman" w:eastAsia="宋体" w:cs="Times New Roman"/>
          <w:snapToGrid w:val="0"/>
          <w:color w:val="auto"/>
          <w:kern w:val="0"/>
          <w:sz w:val="24"/>
          <w:szCs w:val="28"/>
          <w:highlight w:val="none"/>
          <w:lang w:val="en-US" w:eastAsia="zh-Hans"/>
        </w:rPr>
        <w:t>）二级</w:t>
      </w:r>
      <w:r>
        <w:rPr>
          <w:rFonts w:hint="eastAsia" w:ascii="Times New Roman" w:hAnsi="Times New Roman" w:eastAsia="宋体" w:cs="Times New Roman"/>
          <w:snapToGrid w:val="0"/>
          <w:color w:val="auto"/>
          <w:kern w:val="0"/>
          <w:sz w:val="24"/>
          <w:szCs w:val="28"/>
          <w:highlight w:val="none"/>
          <w:lang w:val="en-US" w:eastAsia="zh-CN"/>
        </w:rPr>
        <w:t>过渡阶段</w:t>
      </w:r>
      <w:r>
        <w:rPr>
          <w:rFonts w:hint="default" w:ascii="Times New Roman" w:hAnsi="Times New Roman" w:eastAsia="宋体" w:cs="Times New Roman"/>
          <w:snapToGrid w:val="0"/>
          <w:color w:val="auto"/>
          <w:kern w:val="0"/>
          <w:sz w:val="24"/>
          <w:szCs w:val="28"/>
          <w:highlight w:val="none"/>
          <w:lang w:val="en-US" w:eastAsia="zh-Hans"/>
        </w:rPr>
        <w:t>浓度限值要</w:t>
      </w:r>
      <w:r>
        <w:rPr>
          <w:rFonts w:hint="default" w:ascii="Times New Roman" w:hAnsi="Times New Roman" w:eastAsia="宋体" w:cs="Times New Roman"/>
          <w:snapToGrid w:val="0"/>
          <w:color w:val="auto"/>
          <w:highlight w:val="none"/>
        </w:rPr>
        <w:t>求</w:t>
      </w:r>
      <w:r>
        <w:rPr>
          <w:rFonts w:hint="eastAsia" w:ascii="Times New Roman" w:hAnsi="Times New Roman" w:eastAsia="宋体" w:cs="Times New Roman"/>
          <w:snapToGrid w:val="0"/>
          <w:color w:val="auto"/>
          <w:highlight w:val="none"/>
          <w:lang w:eastAsia="zh-CN"/>
        </w:rPr>
        <w:t>。</w:t>
      </w:r>
    </w:p>
    <w:p w14:paraId="74AA6AEA">
      <w:pPr>
        <w:pStyle w:val="6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根据其他污染物补充监测结果可知，</w:t>
      </w:r>
      <w:r>
        <w:rPr>
          <w:rFonts w:hint="default" w:ascii="Times New Roman" w:hAnsi="Times New Roman" w:eastAsia="宋体" w:cs="Times New Roman"/>
          <w:color w:val="auto"/>
          <w:highlight w:val="none"/>
        </w:rPr>
        <w:t>硫化氢、氨气满足《环境影响评价技术导则大气环境》（HJ2.2-2018）附录D其他污染物空气质量浓度参考限值要求。</w:t>
      </w:r>
    </w:p>
    <w:bookmarkEnd w:id="670"/>
    <w:p w14:paraId="02BAA8DF">
      <w:pPr>
        <w:pStyle w:val="67"/>
        <w:ind w:firstLine="0" w:firstLineChars="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9.1.3.2地表水环境质量现状评价结论</w:t>
      </w:r>
    </w:p>
    <w:p w14:paraId="436F14B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项目所在区域涉及地表水体为</w:t>
      </w:r>
      <w:r>
        <w:rPr>
          <w:rFonts w:hint="eastAsia" w:eastAsia="宋体" w:cs="Times New Roman"/>
          <w:color w:val="auto"/>
          <w:highlight w:val="none"/>
          <w:lang w:val="en-US" w:eastAsia="zh-CN"/>
        </w:rPr>
        <w:t>逊别拉河</w:t>
      </w:r>
      <w:r>
        <w:rPr>
          <w:rFonts w:hint="default" w:ascii="Times New Roman" w:hAnsi="Times New Roman" w:eastAsia="宋体" w:cs="Times New Roman"/>
          <w:color w:val="auto"/>
          <w:highlight w:val="none"/>
        </w:rPr>
        <w:t>，根据《全国重要江河湖泊水功能区划（2011-2030年）》，项目所在区域松花江所在一级水功能区名称为逊别拉河逊克县、孙吴县开发利用区，起始断面为</w:t>
      </w:r>
      <w:r>
        <w:rPr>
          <w:rFonts w:hint="eastAsia" w:eastAsia="宋体" w:cs="Times New Roman"/>
          <w:color w:val="auto"/>
          <w:highlight w:val="none"/>
          <w:lang w:val="en-US" w:eastAsia="zh-CN"/>
        </w:rPr>
        <w:t>平山林场</w:t>
      </w:r>
      <w:r>
        <w:rPr>
          <w:rFonts w:hint="default" w:ascii="Times New Roman" w:hAnsi="Times New Roman" w:eastAsia="宋体" w:cs="Times New Roman"/>
          <w:color w:val="auto"/>
          <w:highlight w:val="none"/>
        </w:rPr>
        <w:t>，终止断面为</w:t>
      </w:r>
      <w:r>
        <w:rPr>
          <w:rFonts w:hint="eastAsia" w:eastAsia="宋体" w:cs="Times New Roman"/>
          <w:color w:val="auto"/>
          <w:highlight w:val="none"/>
          <w:lang w:val="en-US" w:eastAsia="zh-CN"/>
        </w:rPr>
        <w:t>逊河镇</w:t>
      </w:r>
      <w:r>
        <w:rPr>
          <w:rFonts w:hint="default" w:ascii="Times New Roman" w:hAnsi="Times New Roman" w:eastAsia="宋体" w:cs="Times New Roman"/>
          <w:color w:val="auto"/>
          <w:highlight w:val="none"/>
        </w:rPr>
        <w:t>，水质标准为</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r>
        <w:rPr>
          <w:rFonts w:hint="eastAsia" w:eastAsia="宋体" w:cs="Times New Roman"/>
          <w:color w:val="auto"/>
          <w:highlight w:val="none"/>
          <w:lang w:val="en-US" w:eastAsia="zh-CN"/>
        </w:rPr>
        <w:t>故本项目</w:t>
      </w:r>
      <w:r>
        <w:rPr>
          <w:rFonts w:hint="default" w:ascii="Times New Roman" w:hAnsi="Times New Roman" w:eastAsia="宋体" w:cs="Times New Roman"/>
          <w:color w:val="auto"/>
          <w:highlight w:val="none"/>
        </w:rPr>
        <w:t>执行《地表水环境质量标准》（GB3838-2002）</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 MERGEFORMAT </w:instrText>
      </w:r>
      <w:r>
        <w:rPr>
          <w:rFonts w:hint="default" w:ascii="Times New Roman" w:hAnsi="Times New Roman" w:eastAsia="宋体" w:cs="Times New Roman"/>
          <w:color w:val="auto"/>
          <w:highlight w:val="none"/>
        </w:rPr>
        <w:fldChar w:fldCharType="separate"/>
      </w:r>
      <w:r>
        <w:rPr>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0706C2C3">
      <w:pPr>
        <w:pStyle w:val="6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snapToGrid w:val="0"/>
          <w:color w:val="auto"/>
          <w:kern w:val="0"/>
          <w:sz w:val="24"/>
          <w:szCs w:val="28"/>
          <w:highlight w:val="none"/>
          <w:lang w:val="en-US" w:eastAsia="zh-CN"/>
        </w:rPr>
        <w:t>根据</w:t>
      </w:r>
      <w:r>
        <w:rPr>
          <w:rFonts w:hint="default" w:ascii="Times New Roman" w:hAnsi="Times New Roman" w:eastAsia="宋体" w:cs="Times New Roman"/>
          <w:snapToGrid w:val="0"/>
          <w:color w:val="auto"/>
          <w:kern w:val="0"/>
          <w:sz w:val="24"/>
          <w:szCs w:val="28"/>
          <w:highlight w:val="none"/>
          <w:lang w:val="en-US" w:eastAsia="zh-Hans"/>
        </w:rPr>
        <w:t>《202</w:t>
      </w:r>
      <w:r>
        <w:rPr>
          <w:rFonts w:hint="eastAsia" w:cs="Times New Roman"/>
          <w:snapToGrid w:val="0"/>
          <w:color w:val="auto"/>
          <w:kern w:val="0"/>
          <w:sz w:val="24"/>
          <w:szCs w:val="28"/>
          <w:highlight w:val="none"/>
          <w:lang w:val="en-US" w:eastAsia="zh-CN"/>
        </w:rPr>
        <w:t>4</w:t>
      </w:r>
      <w:r>
        <w:rPr>
          <w:rFonts w:hint="default" w:ascii="Times New Roman" w:hAnsi="Times New Roman" w:eastAsia="宋体" w:cs="Times New Roman"/>
          <w:snapToGrid w:val="0"/>
          <w:color w:val="auto"/>
          <w:kern w:val="0"/>
          <w:sz w:val="24"/>
          <w:szCs w:val="28"/>
          <w:highlight w:val="none"/>
          <w:lang w:val="en-US" w:eastAsia="zh-Hans"/>
        </w:rPr>
        <w:t>年黑龙江省生态环境质量状况》</w:t>
      </w:r>
      <w:r>
        <w:rPr>
          <w:rFonts w:hint="default" w:ascii="Times New Roman" w:hAnsi="Times New Roman" w:eastAsia="宋体" w:cs="Times New Roman"/>
          <w:color w:val="auto"/>
          <w:highlight w:val="none"/>
        </w:rPr>
        <w:t>中的数据</w:t>
      </w:r>
      <w:r>
        <w:rPr>
          <w:rFonts w:hint="eastAsia" w:ascii="Times New Roman" w:hAnsi="Times New Roman" w:eastAsia="宋体" w:cs="Times New Roman"/>
          <w:color w:val="auto"/>
          <w:highlight w:val="none"/>
          <w:lang w:val="en-US" w:eastAsia="zh-CN"/>
        </w:rPr>
        <w:t>可知，</w:t>
      </w:r>
      <w:r>
        <w:rPr>
          <w:rFonts w:hint="default" w:ascii="Times New Roman" w:hAnsi="Times New Roman" w:eastAsia="宋体" w:cs="Times New Roman"/>
          <w:color w:val="auto"/>
          <w:highlight w:val="none"/>
          <w:lang w:val="en-US" w:eastAsia="zh-CN"/>
        </w:rPr>
        <w:t>黑河市参与国家考核计算的断面共14个，Ⅰ~Ⅲ类水质比例为78.6%，无劣V类水质断面。与上年同期相比，Ⅰ~Ⅲ类水质比例保持不变，均无劣V类水质断面。</w:t>
      </w:r>
    </w:p>
    <w:p w14:paraId="42264DC2">
      <w:pPr>
        <w:pStyle w:val="67"/>
        <w:ind w:firstLine="0" w:firstLineChars="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9.1.3.3地下水环境质量现状评价结论</w:t>
      </w:r>
    </w:p>
    <w:p w14:paraId="4DC1FEA1">
      <w:pPr>
        <w:pStyle w:val="67"/>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根据地下水标准指数分析可知，在监测时段内，本项目地下水各项水质指标</w:t>
      </w:r>
      <w:r>
        <w:rPr>
          <w:rFonts w:hint="default" w:ascii="Times New Roman" w:hAnsi="Times New Roman" w:eastAsia="宋体" w:cs="Times New Roman"/>
          <w:color w:val="auto"/>
          <w:highlight w:val="none"/>
          <w:lang w:val="en-US" w:eastAsia="zh-CN"/>
        </w:rPr>
        <w:t>均</w:t>
      </w:r>
      <w:r>
        <w:rPr>
          <w:rFonts w:hint="default" w:ascii="Times New Roman" w:hAnsi="Times New Roman" w:eastAsia="宋体" w:cs="Times New Roman"/>
          <w:color w:val="auto"/>
          <w:highlight w:val="none"/>
        </w:rPr>
        <w:t>满足《地下水质量标准》（GB/T14848-2017）中的Ⅲ类标准要求。</w:t>
      </w:r>
    </w:p>
    <w:p w14:paraId="54BCD722">
      <w:pPr>
        <w:pStyle w:val="67"/>
        <w:ind w:firstLine="0" w:firstLineChars="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9.1.3.4声环境质量现状评价结论</w:t>
      </w:r>
    </w:p>
    <w:p w14:paraId="7FA7B100">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项目区评价范围内各监测点昼间及夜间等效连续A声级均无超标现象，达标率100%，评价区噪声背景值满足《声环境质量标准》（GB3096-2008）</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类标准。</w:t>
      </w:r>
    </w:p>
    <w:p w14:paraId="2B29921D">
      <w:pPr>
        <w:pStyle w:val="67"/>
        <w:ind w:firstLine="0" w:firstLineChars="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9.1.3.5土壤环境质量现状评价结论</w:t>
      </w:r>
    </w:p>
    <w:p w14:paraId="7467240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根据补充监测结果可知，本项目</w:t>
      </w:r>
      <w:r>
        <w:rPr>
          <w:rFonts w:hint="eastAsia" w:eastAsia="宋体" w:cs="Times New Roman"/>
          <w:color w:val="auto"/>
          <w:highlight w:val="none"/>
          <w:lang w:val="en-US" w:eastAsia="zh-CN"/>
        </w:rPr>
        <w:t>占地范围内</w:t>
      </w:r>
      <w:r>
        <w:rPr>
          <w:rFonts w:hint="default" w:ascii="Times New Roman" w:hAnsi="Times New Roman" w:eastAsia="宋体" w:cs="Times New Roman"/>
          <w:color w:val="auto"/>
          <w:highlight w:val="none"/>
        </w:rPr>
        <w:t>各土壤监测因子满足《土壤环境质量 建设用地土壤污染风险管控标准（试行）》（GB36680-2018）第二类用地风险筛选值。</w:t>
      </w:r>
    </w:p>
    <w:bookmarkEnd w:id="669"/>
    <w:p w14:paraId="03DD29DB">
      <w:pPr>
        <w:pStyle w:val="5"/>
        <w:spacing w:line="500" w:lineRule="exact"/>
        <w:rPr>
          <w:rFonts w:hint="default" w:ascii="Times New Roman" w:hAnsi="Times New Roman" w:cs="Times New Roman"/>
          <w:color w:val="auto"/>
          <w:highlight w:val="none"/>
        </w:rPr>
      </w:pPr>
      <w:bookmarkStart w:id="671" w:name="_Toc19970"/>
      <w:bookmarkStart w:id="672" w:name="_Toc57713735"/>
      <w:r>
        <w:rPr>
          <w:rFonts w:hint="default" w:ascii="Times New Roman" w:hAnsi="Times New Roman" w:cs="Times New Roman"/>
          <w:color w:val="auto"/>
          <w:highlight w:val="none"/>
        </w:rPr>
        <w:t>9.1.4污染防治措施可行性结论</w:t>
      </w:r>
      <w:bookmarkEnd w:id="671"/>
      <w:bookmarkEnd w:id="672"/>
    </w:p>
    <w:p w14:paraId="220DADF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（1）大气</w:t>
      </w:r>
    </w:p>
    <w:p w14:paraId="2A74DD1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恶臭</w:t>
      </w:r>
    </w:p>
    <w:p w14:paraId="21400413">
      <w:pPr>
        <w:pStyle w:val="67"/>
        <w:ind w:firstLine="480"/>
        <w:rPr>
          <w:rFonts w:hint="default" w:ascii="Times New Roman" w:hAnsi="Times New Roman" w:eastAsia="宋体" w:cs="Times New Roman"/>
          <w:color w:val="auto"/>
          <w:highlight w:val="none"/>
        </w:rPr>
      </w:pPr>
      <w:bookmarkStart w:id="673" w:name="_Hlk28272336"/>
      <w:r>
        <w:rPr>
          <w:rFonts w:hint="default" w:ascii="Times New Roman" w:hAnsi="Times New Roman" w:eastAsia="宋体" w:cs="Times New Roman"/>
          <w:color w:val="auto"/>
          <w:highlight w:val="none"/>
        </w:rPr>
        <w:t>通过保持牛舍的清洁，定时冲洗牛舍，加强恶臭污染源管理、加强绿化、合理布置场区结构等办法减少臭气扩散。在日粮中添加EM菌，牛舍采取定期喷洒</w:t>
      </w:r>
      <w:r>
        <w:rPr>
          <w:rFonts w:hint="default" w:ascii="Times New Roman" w:hAnsi="Times New Roman" w:eastAsia="宋体" w:cs="Times New Roman"/>
          <w:color w:val="auto"/>
          <w:highlight w:val="none"/>
          <w:lang w:val="en-US" w:eastAsia="zh-CN"/>
        </w:rPr>
        <w:t>植物</w:t>
      </w:r>
      <w:r>
        <w:rPr>
          <w:rFonts w:hint="default" w:ascii="Times New Roman" w:hAnsi="Times New Roman" w:eastAsia="宋体" w:cs="Times New Roman"/>
          <w:color w:val="auto"/>
          <w:highlight w:val="none"/>
        </w:rPr>
        <w:t>除臭剂等方式。</w:t>
      </w:r>
    </w:p>
    <w:bookmarkEnd w:id="673"/>
    <w:p w14:paraId="264FED2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 MERGEFORMAT </w:instrText>
      </w:r>
      <w:r>
        <w:rPr>
          <w:rFonts w:hint="default" w:ascii="Times New Roman" w:hAnsi="Times New Roman" w:eastAsia="宋体" w:cs="Times New Roman"/>
          <w:color w:val="auto"/>
          <w:highlight w:val="none"/>
        </w:rPr>
        <w:fldChar w:fldCharType="separate"/>
      </w:r>
      <w:r>
        <w:rPr>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堆肥恶臭</w:t>
      </w:r>
    </w:p>
    <w:p w14:paraId="6DCE575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项目堆肥间</w:t>
      </w:r>
      <w:r>
        <w:rPr>
          <w:rFonts w:hint="default" w:ascii="Times New Roman" w:hAnsi="Times New Roman" w:eastAsia="宋体" w:cs="Times New Roman"/>
          <w:color w:val="auto"/>
          <w:highlight w:val="none"/>
          <w:lang w:val="en-US" w:eastAsia="zh-CN"/>
        </w:rPr>
        <w:t>设置</w:t>
      </w:r>
      <w:r>
        <w:rPr>
          <w:rFonts w:hint="eastAsia" w:eastAsia="宋体" w:cs="Times New Roman"/>
          <w:color w:val="auto"/>
          <w:highlight w:val="none"/>
          <w:lang w:val="en-US" w:eastAsia="zh-CN"/>
        </w:rPr>
        <w:t>集气罩废气收集效率达95%</w:t>
      </w:r>
      <w:r>
        <w:rPr>
          <w:rFonts w:hint="default" w:ascii="Times New Roman" w:hAnsi="Times New Roman" w:eastAsia="宋体" w:cs="Times New Roman"/>
          <w:color w:val="auto"/>
          <w:highlight w:val="none"/>
        </w:rPr>
        <w:t>，恶臭气体经活性炭吸附装置</w:t>
      </w:r>
      <w:r>
        <w:rPr>
          <w:rFonts w:hint="default" w:ascii="Times New Roman" w:hAnsi="Times New Roman" w:eastAsia="宋体" w:cs="Times New Roman"/>
          <w:color w:val="auto"/>
          <w:highlight w:val="none"/>
          <w:lang w:val="en-US" w:eastAsia="zh-CN"/>
        </w:rPr>
        <w:t>TA00</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处理后由15m高排气筒DA00</w:t>
      </w:r>
      <w:r>
        <w:rPr>
          <w:rFonts w:hint="eastAsia" w:eastAsia="宋体" w:cs="Times New Roman"/>
          <w:color w:val="auto"/>
          <w:highlight w:val="none"/>
          <w:lang w:val="en-US" w:eastAsia="zh-CN"/>
        </w:rPr>
        <w:t>1</w:t>
      </w:r>
      <w:r>
        <w:rPr>
          <w:rFonts w:hint="default" w:ascii="Times New Roman" w:hAnsi="Times New Roman" w:eastAsia="宋体" w:cs="Times New Roman"/>
          <w:color w:val="auto"/>
          <w:highlight w:val="none"/>
        </w:rPr>
        <w:t>排放。硫化氢、氨排放速率满足《恶臭污染物排放标准》（GB14554-93）表2中15m高排气筒标准要求、臭气浓度满足《恶臭污染物排放标准》（GB14554-93）表2中15m高排气筒标准要求。</w:t>
      </w:r>
    </w:p>
    <w:p w14:paraId="3F24FA0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（2）废水</w:t>
      </w:r>
    </w:p>
    <w:p w14:paraId="7A79CDCC">
      <w:pPr>
        <w:pStyle w:val="67"/>
        <w:ind w:firstLine="480"/>
        <w:rPr>
          <w:rFonts w:hint="default" w:ascii="Times New Roman" w:hAnsi="Times New Roman" w:eastAsia="宋体" w:cs="Times New Roman"/>
          <w:color w:val="auto"/>
          <w:highlight w:val="none"/>
        </w:rPr>
      </w:pPr>
      <w:bookmarkStart w:id="674" w:name="_Hlk28271853"/>
      <w:r>
        <w:rPr>
          <w:rFonts w:hint="default" w:ascii="Times New Roman" w:hAnsi="Times New Roman" w:eastAsia="宋体" w:cs="Times New Roman"/>
          <w:color w:val="auto"/>
          <w:highlight w:val="none"/>
          <w:lang w:val="zh-CN"/>
        </w:rPr>
        <w:t>本项目采取雨污分流的形式，雨水采用明沟排放，初期雨水经四周排水沟汇入厂区一座</w:t>
      </w:r>
      <w:r>
        <w:rPr>
          <w:rFonts w:hint="eastAsia" w:eastAsia="宋体" w:cs="Times New Roman"/>
          <w:color w:val="auto"/>
          <w:highlight w:val="none"/>
          <w:lang w:val="en-US" w:eastAsia="zh-CN"/>
        </w:rPr>
        <w:t>23</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3</w:t>
      </w:r>
      <w:r>
        <w:rPr>
          <w:rFonts w:hint="default" w:ascii="Times New Roman" w:hAnsi="Times New Roman" w:eastAsia="宋体" w:cs="Times New Roman"/>
          <w:color w:val="auto"/>
          <w:highlight w:val="none"/>
          <w:lang w:val="zh-CN"/>
        </w:rPr>
        <w:t>初期雨水收集池内，雨水收集后用于厂区内洒水降尘，不外排；生活污水排入化粪池，定期外运，不外排。</w:t>
      </w:r>
      <w:r>
        <w:rPr>
          <w:rFonts w:hint="default" w:ascii="Times New Roman" w:hAnsi="Times New Roman" w:eastAsia="宋体" w:cs="Times New Roman"/>
          <w:color w:val="auto"/>
          <w:highlight w:val="none"/>
          <w:lang w:val="en-US" w:eastAsia="zh-CN"/>
        </w:rPr>
        <w:t>消毒用水全部损耗，不产生废水。牛饮水大部分被牛只吸收，其余以牛尿形式排出，牛舍采用</w:t>
      </w:r>
      <w:r>
        <w:rPr>
          <w:rFonts w:hint="eastAsia" w:ascii="Times New Roman" w:hAnsi="Times New Roman" w:eastAsia="宋体" w:cs="Times New Roman"/>
          <w:color w:val="auto"/>
          <w:highlight w:val="none"/>
          <w:lang w:val="en-US" w:eastAsia="zh-CN"/>
        </w:rPr>
        <w:t>生物发酵床技术</w:t>
      </w:r>
      <w:r>
        <w:rPr>
          <w:rFonts w:hint="default" w:ascii="Times New Roman" w:hAnsi="Times New Roman" w:eastAsia="宋体" w:cs="Times New Roman"/>
          <w:color w:val="auto"/>
          <w:highlight w:val="none"/>
          <w:lang w:val="en-US" w:eastAsia="zh-CN"/>
        </w:rPr>
        <w:t>，牛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经垫料吸收后，一部分转化为无臭气体（如二氧化碳、水蒸气等）蒸发，剩余被垫</w:t>
      </w:r>
      <w:r>
        <w:rPr>
          <w:rFonts w:hint="eastAsia" w:ascii="Times New Roman" w:hAnsi="Times New Roman" w:eastAsia="宋体" w:cs="Times New Roman"/>
          <w:color w:val="auto"/>
          <w:highlight w:val="none"/>
          <w:lang w:val="en-US" w:eastAsia="zh-CN"/>
        </w:rPr>
        <w:t>料</w:t>
      </w:r>
      <w:r>
        <w:rPr>
          <w:rFonts w:hint="default" w:ascii="Times New Roman" w:hAnsi="Times New Roman" w:eastAsia="宋体" w:cs="Times New Roman"/>
          <w:color w:val="auto"/>
          <w:highlight w:val="none"/>
          <w:lang w:val="en-US" w:eastAsia="zh-CN"/>
        </w:rPr>
        <w:t>吸收，牛</w:t>
      </w:r>
      <w:r>
        <w:rPr>
          <w:rFonts w:hint="eastAsia" w:ascii="Times New Roman" w:hAnsi="Times New Roman" w:eastAsia="宋体" w:cs="Times New Roman"/>
          <w:color w:val="auto"/>
          <w:highlight w:val="none"/>
          <w:lang w:val="en-US" w:eastAsia="zh-CN"/>
        </w:rPr>
        <w:t>粪污</w:t>
      </w:r>
      <w:r>
        <w:rPr>
          <w:rFonts w:hint="default" w:ascii="Times New Roman" w:hAnsi="Times New Roman" w:eastAsia="宋体" w:cs="Times New Roman"/>
          <w:color w:val="auto"/>
          <w:highlight w:val="none"/>
          <w:lang w:val="en-US" w:eastAsia="zh-CN"/>
        </w:rPr>
        <w:t>可实现零排放。</w:t>
      </w:r>
      <w:r>
        <w:rPr>
          <w:rFonts w:hint="default" w:ascii="Times New Roman" w:hAnsi="Times New Roman" w:eastAsia="宋体" w:cs="Times New Roman"/>
          <w:color w:val="auto"/>
          <w:highlight w:val="none"/>
          <w:lang w:val="zh-CN"/>
        </w:rPr>
        <w:t>采取将青贮</w:t>
      </w:r>
      <w:r>
        <w:rPr>
          <w:rFonts w:hint="default" w:ascii="Times New Roman" w:hAnsi="Times New Roman" w:eastAsia="宋体" w:cs="Times New Roman"/>
          <w:color w:val="auto"/>
          <w:highlight w:val="none"/>
          <w:lang w:val="en-US" w:eastAsia="zh-CN"/>
        </w:rPr>
        <w:t>窖</w:t>
      </w:r>
      <w:r>
        <w:rPr>
          <w:rFonts w:hint="default" w:ascii="Times New Roman" w:hAnsi="Times New Roman" w:eastAsia="宋体" w:cs="Times New Roman"/>
          <w:color w:val="auto"/>
          <w:highlight w:val="none"/>
          <w:lang w:val="zh-CN"/>
        </w:rPr>
        <w:t>渗滤液与精料按比例配合饲喂肉牛，其味道酸甜，可促进食欲，但须随配随用，以免发霉</w:t>
      </w:r>
      <w:r>
        <w:rPr>
          <w:rFonts w:hint="default" w:ascii="Times New Roman" w:hAnsi="Times New Roman" w:eastAsia="宋体" w:cs="Times New Roman"/>
          <w:color w:val="auto"/>
          <w:highlight w:val="none"/>
        </w:rPr>
        <w:t>。冬季不进行玉米秸秆青贮发酵生产，无渗滤液产生。</w:t>
      </w:r>
    </w:p>
    <w:bookmarkEnd w:id="674"/>
    <w:p w14:paraId="1C768C4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（3）噪声</w:t>
      </w:r>
    </w:p>
    <w:p w14:paraId="0ED4B55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在建筑上采取隔声、吸声措施，在场区内外种植树木，以降低噪声向外辐射；通过合理布局生产车间，达到阻隔、衰减噪声的目的。降噪后预计场界噪声值可达到《工业企业厂界环境噪声排放标准》（GB12348-2008）表1中的</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类标准。</w:t>
      </w:r>
    </w:p>
    <w:p w14:paraId="4826D564">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（4）固废</w:t>
      </w:r>
    </w:p>
    <w:p w14:paraId="403F7AC8">
      <w:pPr>
        <w:pStyle w:val="67"/>
        <w:ind w:firstLine="480"/>
        <w:rPr>
          <w:rFonts w:hint="default" w:ascii="Times New Roman" w:hAnsi="Times New Roman" w:eastAsia="宋体" w:cs="Times New Roman"/>
          <w:color w:val="auto"/>
          <w:highlight w:val="none"/>
        </w:rPr>
      </w:pPr>
      <w:bookmarkStart w:id="675" w:name="_Hlk514582509"/>
      <w:r>
        <w:rPr>
          <w:rFonts w:hint="default" w:ascii="Times New Roman" w:hAnsi="Times New Roman" w:eastAsia="宋体" w:cs="Times New Roman"/>
          <w:snapToGrid w:val="0"/>
          <w:color w:val="auto"/>
          <w:highlight w:val="none"/>
          <w:lang w:val="en-US" w:eastAsia="zh-CN"/>
        </w:rPr>
        <w:t>本</w:t>
      </w:r>
      <w:r>
        <w:rPr>
          <w:rFonts w:hint="default" w:ascii="Times New Roman" w:hAnsi="Times New Roman" w:eastAsia="宋体" w:cs="Times New Roman"/>
          <w:color w:val="auto"/>
          <w:highlight w:val="none"/>
          <w:lang w:val="en-US" w:eastAsia="zh-CN"/>
        </w:rPr>
        <w:t>项目含有牛粪尿的垫料在牛舍发酵后，运至</w:t>
      </w:r>
      <w:r>
        <w:rPr>
          <w:rFonts w:hint="eastAsia" w:ascii="Times New Roman" w:hAnsi="Times New Roman" w:eastAsia="宋体" w:cs="Times New Roman"/>
          <w:color w:val="auto"/>
          <w:highlight w:val="none"/>
          <w:lang w:val="en-US" w:eastAsia="zh-CN"/>
        </w:rPr>
        <w:t>堆肥间</w:t>
      </w:r>
      <w:r>
        <w:rPr>
          <w:rFonts w:hint="default" w:ascii="Times New Roman" w:hAnsi="Times New Roman" w:eastAsia="宋体" w:cs="Times New Roman"/>
          <w:color w:val="auto"/>
          <w:highlight w:val="none"/>
          <w:lang w:val="en-US" w:eastAsia="zh-CN"/>
        </w:rPr>
        <w:t>进一步发酵制成</w:t>
      </w:r>
      <w:r>
        <w:rPr>
          <w:rFonts w:hint="eastAsia" w:ascii="Times New Roman" w:hAnsi="Times New Roman" w:eastAsia="宋体" w:cs="Times New Roman"/>
          <w:color w:val="auto"/>
          <w:highlight w:val="none"/>
          <w:lang w:val="en-US" w:eastAsia="zh-CN"/>
        </w:rPr>
        <w:t>固体粪污</w:t>
      </w:r>
      <w:r>
        <w:rPr>
          <w:rFonts w:hint="default" w:ascii="Times New Roman" w:hAnsi="Times New Roman" w:eastAsia="宋体" w:cs="Times New Roman"/>
          <w:color w:val="auto"/>
          <w:highlight w:val="none"/>
          <w:lang w:val="en-US" w:eastAsia="zh-CN"/>
        </w:rPr>
        <w:t>，固体粪肥使用喷粪车作为肥料施用于配套消纳地进行施肥，非施肥季节储存于</w:t>
      </w:r>
      <w:r>
        <w:rPr>
          <w:rFonts w:hint="eastAsia" w:ascii="Times New Roman" w:hAnsi="Times New Roman" w:eastAsia="宋体" w:cs="Times New Roman"/>
          <w:color w:val="auto"/>
          <w:highlight w:val="none"/>
          <w:lang w:val="en-US" w:eastAsia="zh-CN"/>
        </w:rPr>
        <w:t>储粪间</w:t>
      </w:r>
      <w:r>
        <w:rPr>
          <w:rFonts w:hint="default"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lang w:eastAsia="zh-CN"/>
        </w:rPr>
        <w:t>；病死牛委托</w:t>
      </w:r>
      <w:r>
        <w:rPr>
          <w:rFonts w:hint="default" w:ascii="Times New Roman" w:hAnsi="Times New Roman" w:eastAsia="宋体" w:cs="Times New Roman"/>
          <w:color w:val="auto"/>
          <w:highlight w:val="none"/>
          <w:lang w:val="en-US" w:eastAsia="zh-CN"/>
        </w:rPr>
        <w:t>哈尔滨银山无害化处理有限公司</w:t>
      </w:r>
      <w:r>
        <w:rPr>
          <w:rFonts w:hint="default" w:ascii="Times New Roman" w:hAnsi="Times New Roman" w:eastAsia="宋体" w:cs="Times New Roman"/>
          <w:color w:val="auto"/>
          <w:highlight w:val="none"/>
          <w:lang w:eastAsia="zh-CN"/>
        </w:rPr>
        <w:t>进行无害化处理；医疗废物暂存于危险废物贮存点，定期交由有资质的单位处理；废活性炭由厂家回收处理；生活垃圾及时清运，由市政部门统一处理</w:t>
      </w:r>
      <w:r>
        <w:rPr>
          <w:rFonts w:hint="default" w:ascii="Times New Roman" w:hAnsi="Times New Roman" w:eastAsia="宋体" w:cs="Times New Roman"/>
          <w:color w:val="auto"/>
          <w:highlight w:val="none"/>
        </w:rPr>
        <w:t>。</w:t>
      </w:r>
    </w:p>
    <w:bookmarkEnd w:id="675"/>
    <w:p w14:paraId="4C9C8322">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综合分析，本项目所采取的各项污染防治措施从技术经济角度分析均具有可行性，且在项目建设方认真落实报告所述各项污染防治措施后，可使区域环境质量得到明显改善。</w:t>
      </w:r>
    </w:p>
    <w:p w14:paraId="3DC495DB">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综合分析，本项目所采取的各项污染防治措施从技术经济角度分析均具有可行性，且在项目建设方认真落实报告所述各项污染防治措施后，可使区域环境质量得到明显改善。</w:t>
      </w:r>
    </w:p>
    <w:p w14:paraId="04A40371">
      <w:pPr>
        <w:pStyle w:val="5"/>
        <w:spacing w:line="500" w:lineRule="exact"/>
        <w:rPr>
          <w:rFonts w:hint="default" w:ascii="Times New Roman" w:hAnsi="Times New Roman" w:cs="Times New Roman"/>
          <w:color w:val="auto"/>
          <w:highlight w:val="none"/>
        </w:rPr>
      </w:pPr>
      <w:bookmarkStart w:id="676" w:name="_Toc57713736"/>
      <w:bookmarkStart w:id="677" w:name="_Toc28532"/>
      <w:r>
        <w:rPr>
          <w:rFonts w:hint="default" w:ascii="Times New Roman" w:hAnsi="Times New Roman" w:cs="Times New Roman"/>
          <w:color w:val="auto"/>
          <w:highlight w:val="none"/>
        </w:rPr>
        <w:t>9.1.5经济损益分析结论</w:t>
      </w:r>
      <w:bookmarkEnd w:id="676"/>
      <w:bookmarkEnd w:id="677"/>
    </w:p>
    <w:p w14:paraId="7178F92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本项目的建设具有良好的社会效益和经济效益，不会对当地环境产生明显不利影响，因此该项目的实施做到了社会效益、经济效益和环境效益的同步发展。</w:t>
      </w:r>
    </w:p>
    <w:p w14:paraId="6A4C20A9">
      <w:pPr>
        <w:pStyle w:val="5"/>
        <w:spacing w:line="500" w:lineRule="exact"/>
        <w:rPr>
          <w:rFonts w:hint="default" w:ascii="Times New Roman" w:hAnsi="Times New Roman" w:cs="Times New Roman"/>
          <w:color w:val="auto"/>
          <w:highlight w:val="none"/>
        </w:rPr>
      </w:pPr>
      <w:bookmarkStart w:id="678" w:name="_Toc2526"/>
      <w:bookmarkStart w:id="679" w:name="_Toc57713737"/>
      <w:bookmarkStart w:id="680" w:name="_Toc486255152"/>
      <w:r>
        <w:rPr>
          <w:rFonts w:hint="default" w:ascii="Times New Roman" w:hAnsi="Times New Roman" w:cs="Times New Roman"/>
          <w:color w:val="auto"/>
          <w:highlight w:val="none"/>
        </w:rPr>
        <w:t>9.1.6环境管理与监测结论</w:t>
      </w:r>
      <w:bookmarkEnd w:id="678"/>
      <w:bookmarkEnd w:id="679"/>
      <w:bookmarkEnd w:id="680"/>
    </w:p>
    <w:p w14:paraId="246C9CF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运行期通过加强建设和试运行期间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02EAEE96">
      <w:pPr>
        <w:pStyle w:val="5"/>
        <w:spacing w:line="500" w:lineRule="exact"/>
        <w:rPr>
          <w:rFonts w:hint="default" w:ascii="Times New Roman" w:hAnsi="Times New Roman" w:cs="Times New Roman"/>
          <w:color w:val="auto"/>
          <w:highlight w:val="none"/>
        </w:rPr>
      </w:pPr>
      <w:bookmarkStart w:id="681" w:name="_Toc57713738"/>
      <w:bookmarkStart w:id="682" w:name="_Toc486255150"/>
      <w:bookmarkStart w:id="683" w:name="_Toc4622"/>
      <w:r>
        <w:rPr>
          <w:rFonts w:hint="default" w:ascii="Times New Roman" w:hAnsi="Times New Roman" w:cs="Times New Roman"/>
          <w:color w:val="auto"/>
          <w:highlight w:val="none"/>
        </w:rPr>
        <w:t>9.1.7公众意见采纳情况</w:t>
      </w:r>
      <w:bookmarkEnd w:id="681"/>
      <w:bookmarkEnd w:id="682"/>
      <w:bookmarkEnd w:id="683"/>
    </w:p>
    <w:p w14:paraId="48606608">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建设单位按要求通过网上公示、报纸公示、布告栏公示的形式开展了公众参与，在公示过程中未收到反馈意见。</w:t>
      </w:r>
    </w:p>
    <w:p w14:paraId="73A4510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网络公示起到了应有的告知作用，让附近居民充分了解本项目的各项情况。选择了《黑龙江</w:t>
      </w:r>
      <w:r>
        <w:rPr>
          <w:rFonts w:hint="eastAsia" w:eastAsia="宋体" w:cs="Times New Roman"/>
          <w:color w:val="auto"/>
          <w:highlight w:val="none"/>
          <w:lang w:val="en-US" w:eastAsia="zh-CN"/>
        </w:rPr>
        <w:t>新闻网</w:t>
      </w:r>
      <w:r>
        <w:rPr>
          <w:rFonts w:hint="default" w:ascii="Times New Roman" w:hAnsi="Times New Roman" w:eastAsia="宋体" w:cs="Times New Roman"/>
          <w:color w:val="auto"/>
          <w:highlight w:val="none"/>
        </w:rPr>
        <w:t>》进行公示，布告栏公示选择距离场址较近的公示栏，起到了网络和报纸传播较广，受众广泛的作用；在网上三次公示过程中、报纸公示期间及布告栏公示过程中没有接到任何人反映意见或建议的电话和邮件、传真等。</w:t>
      </w:r>
    </w:p>
    <w:p w14:paraId="38F5392E">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从公众参与角度看，本项目建设是可行的。</w:t>
      </w:r>
    </w:p>
    <w:p w14:paraId="791B5016">
      <w:pPr>
        <w:pStyle w:val="5"/>
        <w:spacing w:line="500" w:lineRule="exact"/>
        <w:rPr>
          <w:rFonts w:hint="default" w:ascii="Times New Roman" w:hAnsi="Times New Roman" w:cs="Times New Roman"/>
          <w:color w:val="auto"/>
          <w:highlight w:val="none"/>
        </w:rPr>
      </w:pPr>
      <w:bookmarkStart w:id="684" w:name="_Toc342462538"/>
      <w:bookmarkStart w:id="685" w:name="_Toc57713739"/>
      <w:bookmarkStart w:id="686" w:name="_Toc285188950"/>
      <w:bookmarkStart w:id="687" w:name="_Toc14377"/>
      <w:r>
        <w:rPr>
          <w:rFonts w:hint="default" w:ascii="Times New Roman" w:hAnsi="Times New Roman" w:cs="Times New Roman"/>
          <w:color w:val="auto"/>
          <w:highlight w:val="none"/>
        </w:rPr>
        <w:t>9.1.8总结论</w:t>
      </w:r>
      <w:bookmarkEnd w:id="684"/>
      <w:bookmarkEnd w:id="685"/>
      <w:bookmarkEnd w:id="686"/>
      <w:bookmarkEnd w:id="687"/>
    </w:p>
    <w:p w14:paraId="3D041397">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符合国家产业政策要求，工程污染治理措施符合《畜禽养殖业污染防治技术规范》的技术要求，项目对肉牛集约养殖产生的粪污采取的源头污染控制工程措施切实可行，可实现污水零排放、粪污得到资源化综合利用，在认真落实报告书所述各项污染防治措施后，可实现污染物稳定达标排放，不会对周围环境产生明显不利影响。</w:t>
      </w:r>
    </w:p>
    <w:p w14:paraId="56B18C16">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因此，从环境保护角度分析，本项目具有可行性。</w:t>
      </w:r>
    </w:p>
    <w:p w14:paraId="0CCC9346">
      <w:pPr>
        <w:pStyle w:val="4"/>
        <w:rPr>
          <w:rFonts w:hint="default" w:ascii="Times New Roman" w:hAnsi="Times New Roman" w:cs="Times New Roman"/>
          <w:color w:val="auto"/>
          <w:highlight w:val="none"/>
        </w:rPr>
      </w:pPr>
      <w:bookmarkStart w:id="688" w:name="_Toc31495"/>
      <w:bookmarkStart w:id="689" w:name="_Toc477368707"/>
      <w:bookmarkStart w:id="690" w:name="_Toc57713740"/>
      <w:r>
        <w:rPr>
          <w:rFonts w:hint="default" w:ascii="Times New Roman" w:hAnsi="Times New Roman" w:cs="Times New Roman"/>
          <w:color w:val="auto"/>
          <w:highlight w:val="none"/>
        </w:rPr>
        <w:t>9.2建议</w:t>
      </w:r>
      <w:bookmarkEnd w:id="688"/>
      <w:bookmarkEnd w:id="689"/>
      <w:bookmarkEnd w:id="690"/>
    </w:p>
    <w:p w14:paraId="2B5E105D">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（1）建设单位在项目实施过程中，应认真落实本项目的各项治理措施，加强对环保设施的运行管理，制定有效的管理规章制度，建立环保管理机制。</w:t>
      </w:r>
    </w:p>
    <w:p w14:paraId="4CA8236F">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（2）建设单位在项目实施过程中应严格执行《畜禽养殖业污染防治技术规范》（HJ/T81-2001）中相关要求。</w:t>
      </w:r>
    </w:p>
    <w:p w14:paraId="14239F61">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（3）严格执行“三同时”制度，落实各项环保措施，平时注意各项环保设施的维护，及时发现处理设备的隐患，确保处理系统正常运行；开、停、检修要有预案，有严密周全的计划，确保不发生非正常排放。</w:t>
      </w:r>
    </w:p>
    <w:p w14:paraId="50EE8023">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（4）饲养人员每年应至少进行一次身体检查，如发现患有危害人、畜禽的传染病者，应及时调离，以防传染。</w:t>
      </w:r>
    </w:p>
    <w:p w14:paraId="1455E3BC">
      <w:pPr>
        <w:pStyle w:val="6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（5）尽可能多的吸收场区周围农民为本项目工作人员，并对其进行技术培训，提高当地居民的收入。</w:t>
      </w:r>
    </w:p>
    <w:p w14:paraId="487E78DE">
      <w:pPr>
        <w:pStyle w:val="67"/>
        <w:ind w:firstLine="480"/>
        <w:jc w:val="center"/>
        <w:rPr>
          <w:rFonts w:hint="default" w:ascii="Times New Roman" w:hAnsi="Times New Roman" w:cs="Times New Roman"/>
          <w:color w:val="auto"/>
          <w:highlight w:val="none"/>
        </w:rPr>
      </w:pPr>
    </w:p>
    <w:p w14:paraId="6DA79A77">
      <w:pPr>
        <w:pStyle w:val="67"/>
        <w:ind w:firstLine="480"/>
        <w:jc w:val="center"/>
        <w:rPr>
          <w:rFonts w:hint="default" w:ascii="Times New Roman" w:hAnsi="Times New Roman" w:cs="Times New Roman"/>
          <w:color w:val="auto"/>
          <w:highlight w:val="none"/>
        </w:rPr>
      </w:pPr>
    </w:p>
    <w:p w14:paraId="58442633">
      <w:pPr>
        <w:pStyle w:val="4"/>
        <w:rPr>
          <w:rFonts w:hint="default" w:ascii="Times New Roman" w:hAnsi="Times New Roman" w:cs="Times New Roman"/>
          <w:color w:val="auto"/>
          <w:highlight w:val="none"/>
        </w:rPr>
        <w:sectPr>
          <w:headerReference r:id="rId28" w:type="even"/>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p>
    <w:p w14:paraId="02E0F154">
      <w:pPr>
        <w:pStyle w:val="4"/>
        <w:rPr>
          <w:rFonts w:hint="default" w:ascii="Times New Roman" w:hAnsi="Times New Roman" w:cs="Times New Roman"/>
          <w:color w:val="auto"/>
          <w:highlight w:val="none"/>
        </w:rPr>
      </w:pPr>
      <w:bookmarkStart w:id="691" w:name="_Toc32588"/>
      <w:r>
        <w:rPr>
          <w:rFonts w:hint="default" w:ascii="Times New Roman" w:hAnsi="Times New Roman" w:cs="Times New Roman"/>
          <w:color w:val="auto"/>
          <w:highlight w:val="none"/>
        </w:rPr>
        <w:t>附件</w:t>
      </w:r>
      <w:bookmarkEnd w:id="691"/>
    </w:p>
    <w:p w14:paraId="46A0DE45">
      <w:pPr>
        <w:pStyle w:val="5"/>
        <w:rPr>
          <w:rFonts w:hint="default" w:ascii="Times New Roman" w:hAnsi="Times New Roman" w:cs="Times New Roman"/>
          <w:color w:val="auto"/>
          <w:highlight w:val="none"/>
        </w:rPr>
      </w:pPr>
      <w:bookmarkStart w:id="692" w:name="_Toc1680"/>
      <w:r>
        <w:rPr>
          <w:rFonts w:hint="default" w:ascii="Times New Roman" w:hAnsi="Times New Roman" w:cs="Times New Roman"/>
          <w:color w:val="auto"/>
          <w:highlight w:val="none"/>
        </w:rPr>
        <w:t>附件1营业执照</w:t>
      </w:r>
      <w:bookmarkEnd w:id="692"/>
    </w:p>
    <w:p w14:paraId="69B68D86">
      <w:pPr>
        <w:pStyle w:val="146"/>
        <w:rPr>
          <w:rFonts w:hint="default" w:ascii="Times New Roman" w:hAnsi="Times New Roman" w:eastAsia="仿宋" w:cs="Times New Roman"/>
          <w:color w:val="auto"/>
          <w:highlight w:val="none"/>
          <w:lang w:eastAsia="zh-CN"/>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highlight w:val="none"/>
        </w:rPr>
        <w:drawing>
          <wp:inline distT="0" distB="0" distL="114300" distR="114300">
            <wp:extent cx="7431405" cy="4504690"/>
            <wp:effectExtent l="0" t="0" r="17145" b="10160"/>
            <wp:docPr id="1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0"/>
                    <pic:cNvPicPr>
                      <a:picLocks noChangeAspect="1"/>
                    </pic:cNvPicPr>
                  </pic:nvPicPr>
                  <pic:blipFill>
                    <a:blip r:embed="rId93"/>
                    <a:stretch>
                      <a:fillRect/>
                    </a:stretch>
                  </pic:blipFill>
                  <pic:spPr>
                    <a:xfrm>
                      <a:off x="0" y="0"/>
                      <a:ext cx="7431405" cy="4504690"/>
                    </a:xfrm>
                    <a:prstGeom prst="rect">
                      <a:avLst/>
                    </a:prstGeom>
                    <a:noFill/>
                    <a:ln>
                      <a:noFill/>
                    </a:ln>
                  </pic:spPr>
                </pic:pic>
              </a:graphicData>
            </a:graphic>
          </wp:inline>
        </w:drawing>
      </w:r>
    </w:p>
    <w:p w14:paraId="6BA86AA6">
      <w:pPr>
        <w:pStyle w:val="5"/>
        <w:rPr>
          <w:rFonts w:hint="default" w:ascii="Times New Roman" w:hAnsi="Times New Roman" w:eastAsia="黑体" w:cs="Times New Roman"/>
          <w:bCs w:val="0"/>
          <w:color w:val="auto"/>
          <w:highlight w:val="none"/>
          <w:lang w:eastAsia="zh-CN"/>
        </w:rPr>
      </w:pPr>
      <w:bookmarkStart w:id="693" w:name="_Toc1146"/>
      <w:r>
        <w:rPr>
          <w:rFonts w:hint="default" w:ascii="Times New Roman" w:hAnsi="Times New Roman" w:cs="Times New Roman"/>
          <w:bCs w:val="0"/>
          <w:color w:val="auto"/>
          <w:highlight w:val="none"/>
        </w:rPr>
        <w:t>附件</w:t>
      </w:r>
      <w:r>
        <w:rPr>
          <w:rFonts w:hint="default" w:ascii="Times New Roman" w:hAnsi="Times New Roman" w:cs="Times New Roman"/>
          <w:bCs w:val="0"/>
          <w:color w:val="auto"/>
          <w:highlight w:val="none"/>
          <w:lang w:val="en-US" w:eastAsia="zh-CN"/>
        </w:rPr>
        <w:t>2</w:t>
      </w:r>
      <w:r>
        <w:rPr>
          <w:rFonts w:hint="default" w:ascii="Times New Roman" w:hAnsi="Times New Roman" w:cs="Times New Roman"/>
          <w:color w:val="auto"/>
          <w:highlight w:val="none"/>
        </w:rPr>
        <w:t>检测报告</w:t>
      </w:r>
      <w:bookmarkEnd w:id="693"/>
    </w:p>
    <w:p w14:paraId="57B78407">
      <w:pPr>
        <w:pStyle w:val="67"/>
        <w:spacing w:line="360" w:lineRule="auto"/>
        <w:ind w:firstLine="0" w:firstLineChars="0"/>
        <w:jc w:val="center"/>
        <w:rPr>
          <w:rFonts w:hint="default" w:ascii="Times New Roman" w:hAnsi="Times New Roman" w:cs="Times New Roman"/>
          <w:color w:val="auto"/>
          <w:highlight w:val="none"/>
        </w:rPr>
      </w:pPr>
    </w:p>
    <w:p w14:paraId="59C74F45">
      <w:pPr>
        <w:pStyle w:val="146"/>
        <w:rPr>
          <w:rFonts w:hint="default" w:ascii="Times New Roman" w:hAnsi="Times New Roman" w:cs="Times New Roman"/>
          <w:color w:val="auto"/>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p>
    <w:p w14:paraId="2D9EF1DC">
      <w:pPr>
        <w:pStyle w:val="5"/>
        <w:rPr>
          <w:rFonts w:hint="default" w:ascii="Times New Roman" w:hAnsi="Times New Roman" w:eastAsia="黑体" w:cs="Times New Roman"/>
          <w:color w:val="auto"/>
          <w:highlight w:val="none"/>
          <w:lang w:val="en-US" w:eastAsia="zh-CN"/>
        </w:rPr>
      </w:pPr>
      <w:bookmarkStart w:id="694" w:name="_Toc8137"/>
      <w:r>
        <w:rPr>
          <w:rFonts w:hint="default" w:ascii="Times New Roman" w:hAnsi="Times New Roman" w:cs="Times New Roman"/>
          <w:color w:val="auto"/>
          <w:highlight w:val="none"/>
        </w:rPr>
        <w:t>附件</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生态环境分区管控分析报告</w:t>
      </w:r>
      <w:bookmarkEnd w:id="694"/>
    </w:p>
    <w:p w14:paraId="07E81207">
      <w:pPr>
        <w:jc w:val="center"/>
        <w:rPr>
          <w:rFonts w:hint="default" w:ascii="Times New Roman" w:hAnsi="Times New Roman" w:cs="Times New Roman"/>
          <w:color w:val="auto"/>
          <w:highlight w:val="none"/>
        </w:rPr>
      </w:pPr>
      <w:r>
        <w:rPr>
          <w:color w:val="auto"/>
          <w:highlight w:val="none"/>
        </w:rPr>
        <w:drawing>
          <wp:inline distT="0" distB="0" distL="114300" distR="114300">
            <wp:extent cx="7052945" cy="4757420"/>
            <wp:effectExtent l="0" t="0" r="14605"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4"/>
                    <a:stretch>
                      <a:fillRect/>
                    </a:stretch>
                  </pic:blipFill>
                  <pic:spPr>
                    <a:xfrm>
                      <a:off x="0" y="0"/>
                      <a:ext cx="7052945" cy="4757420"/>
                    </a:xfrm>
                    <a:prstGeom prst="rect">
                      <a:avLst/>
                    </a:prstGeom>
                    <a:noFill/>
                    <a:ln>
                      <a:noFill/>
                    </a:ln>
                  </pic:spPr>
                </pic:pic>
              </a:graphicData>
            </a:graphic>
          </wp:inline>
        </w:drawing>
      </w:r>
      <w:r>
        <w:rPr>
          <w:color w:val="auto"/>
          <w:highlight w:val="none"/>
        </w:rPr>
        <w:drawing>
          <wp:inline distT="0" distB="0" distL="114300" distR="114300">
            <wp:extent cx="7667625" cy="5162550"/>
            <wp:effectExtent l="0" t="0" r="9525" b="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95"/>
                    <a:stretch>
                      <a:fillRect/>
                    </a:stretch>
                  </pic:blipFill>
                  <pic:spPr>
                    <a:xfrm>
                      <a:off x="0" y="0"/>
                      <a:ext cx="7667625" cy="5162550"/>
                    </a:xfrm>
                    <a:prstGeom prst="rect">
                      <a:avLst/>
                    </a:prstGeom>
                    <a:noFill/>
                    <a:ln>
                      <a:noFill/>
                    </a:ln>
                  </pic:spPr>
                </pic:pic>
              </a:graphicData>
            </a:graphic>
          </wp:inline>
        </w:drawing>
      </w:r>
    </w:p>
    <w:p w14:paraId="744415B2">
      <w:pPr>
        <w:pStyle w:val="146"/>
        <w:rPr>
          <w:rFonts w:hint="default" w:ascii="Times New Roman" w:hAnsi="Times New Roman" w:cs="Times New Roman"/>
          <w:color w:val="auto"/>
          <w:highlight w:val="none"/>
        </w:rPr>
        <w:sectPr>
          <w:pgSz w:w="16838" w:h="11906" w:orient="landscape"/>
          <w:pgMar w:top="1800" w:right="1440" w:bottom="1800" w:left="1440" w:header="851" w:footer="850" w:gutter="0"/>
          <w:pgBorders>
            <w:top w:val="none" w:sz="0" w:space="0"/>
            <w:left w:val="none" w:sz="0" w:space="0"/>
            <w:bottom w:val="none" w:sz="0" w:space="0"/>
            <w:right w:val="none" w:sz="0" w:space="0"/>
          </w:pgBorders>
          <w:cols w:space="425" w:num="1"/>
          <w:docGrid w:type="linesAndChars" w:linePitch="326" w:charSpace="0"/>
        </w:sectPr>
      </w:pPr>
      <w:r>
        <w:rPr>
          <w:color w:val="auto"/>
          <w:highlight w:val="none"/>
        </w:rPr>
        <w:drawing>
          <wp:inline distT="0" distB="0" distL="114300" distR="114300">
            <wp:extent cx="7515225" cy="4810125"/>
            <wp:effectExtent l="0" t="0" r="9525" b="952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96"/>
                    <a:stretch>
                      <a:fillRect/>
                    </a:stretch>
                  </pic:blipFill>
                  <pic:spPr>
                    <a:xfrm>
                      <a:off x="0" y="0"/>
                      <a:ext cx="7515225" cy="4810125"/>
                    </a:xfrm>
                    <a:prstGeom prst="rect">
                      <a:avLst/>
                    </a:prstGeom>
                    <a:noFill/>
                    <a:ln>
                      <a:noFill/>
                    </a:ln>
                  </pic:spPr>
                </pic:pic>
              </a:graphicData>
            </a:graphic>
          </wp:inline>
        </w:drawing>
      </w:r>
      <w:r>
        <w:rPr>
          <w:color w:val="auto"/>
          <w:highlight w:val="none"/>
        </w:rPr>
        <w:drawing>
          <wp:inline distT="0" distB="0" distL="114300" distR="114300">
            <wp:extent cx="7448550" cy="4943475"/>
            <wp:effectExtent l="0" t="0" r="0" b="9525"/>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97"/>
                    <a:stretch>
                      <a:fillRect/>
                    </a:stretch>
                  </pic:blipFill>
                  <pic:spPr>
                    <a:xfrm>
                      <a:off x="0" y="0"/>
                      <a:ext cx="7448550" cy="4943475"/>
                    </a:xfrm>
                    <a:prstGeom prst="rect">
                      <a:avLst/>
                    </a:prstGeom>
                    <a:noFill/>
                    <a:ln>
                      <a:noFill/>
                    </a:ln>
                  </pic:spPr>
                </pic:pic>
              </a:graphicData>
            </a:graphic>
          </wp:inline>
        </w:drawing>
      </w:r>
      <w:r>
        <w:rPr>
          <w:color w:val="auto"/>
          <w:highlight w:val="none"/>
        </w:rPr>
        <w:drawing>
          <wp:inline distT="0" distB="0" distL="114300" distR="114300">
            <wp:extent cx="7486650" cy="4838700"/>
            <wp:effectExtent l="0" t="0" r="0"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98"/>
                    <a:stretch>
                      <a:fillRect/>
                    </a:stretch>
                  </pic:blipFill>
                  <pic:spPr>
                    <a:xfrm>
                      <a:off x="0" y="0"/>
                      <a:ext cx="7486650" cy="4838700"/>
                    </a:xfrm>
                    <a:prstGeom prst="rect">
                      <a:avLst/>
                    </a:prstGeom>
                    <a:noFill/>
                    <a:ln>
                      <a:noFill/>
                    </a:ln>
                  </pic:spPr>
                </pic:pic>
              </a:graphicData>
            </a:graphic>
          </wp:inline>
        </w:drawing>
      </w:r>
      <w:r>
        <w:rPr>
          <w:color w:val="auto"/>
          <w:highlight w:val="none"/>
        </w:rPr>
        <w:drawing>
          <wp:inline distT="0" distB="0" distL="114300" distR="114300">
            <wp:extent cx="7467600" cy="4714875"/>
            <wp:effectExtent l="0" t="0" r="0" b="952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99"/>
                    <a:stretch>
                      <a:fillRect/>
                    </a:stretch>
                  </pic:blipFill>
                  <pic:spPr>
                    <a:xfrm>
                      <a:off x="0" y="0"/>
                      <a:ext cx="7467600" cy="4714875"/>
                    </a:xfrm>
                    <a:prstGeom prst="rect">
                      <a:avLst/>
                    </a:prstGeom>
                    <a:noFill/>
                    <a:ln>
                      <a:noFill/>
                    </a:ln>
                  </pic:spPr>
                </pic:pic>
              </a:graphicData>
            </a:graphic>
          </wp:inline>
        </w:drawing>
      </w:r>
      <w:r>
        <w:rPr>
          <w:color w:val="auto"/>
          <w:highlight w:val="none"/>
        </w:rPr>
        <w:drawing>
          <wp:inline distT="0" distB="0" distL="114300" distR="114300">
            <wp:extent cx="7210425" cy="4905375"/>
            <wp:effectExtent l="0" t="0" r="9525" b="952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00"/>
                    <a:stretch>
                      <a:fillRect/>
                    </a:stretch>
                  </pic:blipFill>
                  <pic:spPr>
                    <a:xfrm>
                      <a:off x="0" y="0"/>
                      <a:ext cx="7210425" cy="4905375"/>
                    </a:xfrm>
                    <a:prstGeom prst="rect">
                      <a:avLst/>
                    </a:prstGeom>
                    <a:noFill/>
                    <a:ln>
                      <a:noFill/>
                    </a:ln>
                  </pic:spPr>
                </pic:pic>
              </a:graphicData>
            </a:graphic>
          </wp:inline>
        </w:drawing>
      </w:r>
      <w:r>
        <w:rPr>
          <w:color w:val="auto"/>
          <w:highlight w:val="none"/>
        </w:rPr>
        <w:drawing>
          <wp:inline distT="0" distB="0" distL="114300" distR="114300">
            <wp:extent cx="7362825" cy="4962525"/>
            <wp:effectExtent l="0" t="0" r="9525" b="952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101"/>
                    <a:stretch>
                      <a:fillRect/>
                    </a:stretch>
                  </pic:blipFill>
                  <pic:spPr>
                    <a:xfrm>
                      <a:off x="0" y="0"/>
                      <a:ext cx="7362825" cy="4962525"/>
                    </a:xfrm>
                    <a:prstGeom prst="rect">
                      <a:avLst/>
                    </a:prstGeom>
                    <a:noFill/>
                    <a:ln>
                      <a:noFill/>
                    </a:ln>
                  </pic:spPr>
                </pic:pic>
              </a:graphicData>
            </a:graphic>
          </wp:inline>
        </w:drawing>
      </w:r>
      <w:r>
        <w:rPr>
          <w:color w:val="auto"/>
          <w:highlight w:val="none"/>
        </w:rPr>
        <w:drawing>
          <wp:inline distT="0" distB="0" distL="114300" distR="114300">
            <wp:extent cx="7477125" cy="5181600"/>
            <wp:effectExtent l="0" t="0" r="9525" b="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102"/>
                    <a:stretch>
                      <a:fillRect/>
                    </a:stretch>
                  </pic:blipFill>
                  <pic:spPr>
                    <a:xfrm>
                      <a:off x="0" y="0"/>
                      <a:ext cx="7477125" cy="5181600"/>
                    </a:xfrm>
                    <a:prstGeom prst="rect">
                      <a:avLst/>
                    </a:prstGeom>
                    <a:noFill/>
                    <a:ln>
                      <a:noFill/>
                    </a:ln>
                  </pic:spPr>
                </pic:pic>
              </a:graphicData>
            </a:graphic>
          </wp:inline>
        </w:drawing>
      </w:r>
      <w:r>
        <w:rPr>
          <w:color w:val="auto"/>
          <w:highlight w:val="none"/>
        </w:rPr>
        <w:drawing>
          <wp:inline distT="0" distB="0" distL="114300" distR="114300">
            <wp:extent cx="7553325" cy="4781550"/>
            <wp:effectExtent l="0" t="0" r="9525" b="0"/>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103"/>
                    <a:stretch>
                      <a:fillRect/>
                    </a:stretch>
                  </pic:blipFill>
                  <pic:spPr>
                    <a:xfrm>
                      <a:off x="0" y="0"/>
                      <a:ext cx="7553325" cy="4781550"/>
                    </a:xfrm>
                    <a:prstGeom prst="rect">
                      <a:avLst/>
                    </a:prstGeom>
                    <a:noFill/>
                    <a:ln>
                      <a:noFill/>
                    </a:ln>
                  </pic:spPr>
                </pic:pic>
              </a:graphicData>
            </a:graphic>
          </wp:inline>
        </w:drawing>
      </w:r>
      <w:r>
        <w:rPr>
          <w:color w:val="auto"/>
          <w:highlight w:val="none"/>
        </w:rPr>
        <w:drawing>
          <wp:inline distT="0" distB="0" distL="114300" distR="114300">
            <wp:extent cx="7419975" cy="4848225"/>
            <wp:effectExtent l="0" t="0" r="9525" b="9525"/>
            <wp:docPr id="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1"/>
                    </pic:cNvPicPr>
                  </pic:nvPicPr>
                  <pic:blipFill>
                    <a:blip r:embed="rId104"/>
                    <a:stretch>
                      <a:fillRect/>
                    </a:stretch>
                  </pic:blipFill>
                  <pic:spPr>
                    <a:xfrm>
                      <a:off x="0" y="0"/>
                      <a:ext cx="7419975" cy="4848225"/>
                    </a:xfrm>
                    <a:prstGeom prst="rect">
                      <a:avLst/>
                    </a:prstGeom>
                    <a:noFill/>
                    <a:ln>
                      <a:noFill/>
                    </a:ln>
                  </pic:spPr>
                </pic:pic>
              </a:graphicData>
            </a:graphic>
          </wp:inline>
        </w:drawing>
      </w:r>
      <w:r>
        <w:rPr>
          <w:color w:val="auto"/>
          <w:highlight w:val="none"/>
        </w:rPr>
        <w:drawing>
          <wp:inline distT="0" distB="0" distL="114300" distR="114300">
            <wp:extent cx="7467600" cy="4991100"/>
            <wp:effectExtent l="0" t="0" r="0" b="0"/>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105"/>
                    <a:stretch>
                      <a:fillRect/>
                    </a:stretch>
                  </pic:blipFill>
                  <pic:spPr>
                    <a:xfrm>
                      <a:off x="0" y="0"/>
                      <a:ext cx="7467600" cy="4991100"/>
                    </a:xfrm>
                    <a:prstGeom prst="rect">
                      <a:avLst/>
                    </a:prstGeom>
                    <a:noFill/>
                    <a:ln>
                      <a:noFill/>
                    </a:ln>
                  </pic:spPr>
                </pic:pic>
              </a:graphicData>
            </a:graphic>
          </wp:inline>
        </w:drawing>
      </w:r>
    </w:p>
    <w:p w14:paraId="705EB734">
      <w:pPr>
        <w:pStyle w:val="5"/>
        <w:rPr>
          <w:rFonts w:hint="default" w:ascii="Times New Roman" w:hAnsi="Times New Roman" w:cs="Times New Roman"/>
          <w:color w:val="auto"/>
          <w:highlight w:val="none"/>
          <w:lang w:val="en-US" w:eastAsia="zh-CN"/>
        </w:rPr>
      </w:pPr>
      <w:bookmarkStart w:id="695" w:name="_Toc24103"/>
      <w:r>
        <w:rPr>
          <w:rFonts w:hint="default" w:ascii="Times New Roman" w:hAnsi="Times New Roman" w:cs="Times New Roman"/>
          <w:color w:val="auto"/>
          <w:highlight w:val="none"/>
        </w:rPr>
        <w:t>附</w:t>
      </w:r>
      <w:r>
        <w:rPr>
          <w:rFonts w:hint="default" w:ascii="Times New Roman" w:hAnsi="Times New Roman" w:cs="Times New Roman"/>
          <w:color w:val="auto"/>
          <w:highlight w:val="none"/>
          <w:lang w:val="en-US" w:eastAsia="zh-CN"/>
        </w:rPr>
        <w:t>件</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粪污还田协议</w:t>
      </w:r>
      <w:r>
        <w:rPr>
          <w:color w:val="auto"/>
          <w:highlight w:val="none"/>
        </w:rPr>
        <w:drawing>
          <wp:inline distT="0" distB="0" distL="114300" distR="114300">
            <wp:extent cx="5181600" cy="6972300"/>
            <wp:effectExtent l="0" t="0" r="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06"/>
                    <a:stretch>
                      <a:fillRect/>
                    </a:stretch>
                  </pic:blipFill>
                  <pic:spPr>
                    <a:xfrm>
                      <a:off x="0" y="0"/>
                      <a:ext cx="5181600" cy="6972300"/>
                    </a:xfrm>
                    <a:prstGeom prst="rect">
                      <a:avLst/>
                    </a:prstGeom>
                    <a:noFill/>
                    <a:ln>
                      <a:noFill/>
                    </a:ln>
                  </pic:spPr>
                </pic:pic>
              </a:graphicData>
            </a:graphic>
          </wp:inline>
        </w:drawing>
      </w:r>
      <w:bookmarkEnd w:id="695"/>
    </w:p>
    <w:p w14:paraId="17674597">
      <w:pPr>
        <w:pStyle w:val="146"/>
        <w:jc w:val="both"/>
        <w:rPr>
          <w:rFonts w:hint="default" w:ascii="Times New Roman" w:hAnsi="Times New Roman" w:eastAsia="仿宋" w:cs="Times New Roman"/>
          <w:color w:val="auto"/>
          <w:highlight w:val="none"/>
          <w:lang w:eastAsia="zh-CN"/>
        </w:rPr>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p>
    <w:p w14:paraId="0E9E55C1">
      <w:pPr>
        <w:pStyle w:val="5"/>
        <w:rPr>
          <w:rFonts w:hint="default" w:ascii="Times New Roman" w:hAnsi="Times New Roman" w:cs="Times New Roman"/>
          <w:color w:val="auto"/>
          <w:highlight w:val="none"/>
          <w:lang w:val="en-US" w:eastAsia="zh-CN"/>
        </w:rPr>
      </w:pPr>
      <w:bookmarkStart w:id="696" w:name="_Toc17379"/>
      <w:r>
        <w:rPr>
          <w:rFonts w:hint="default" w:ascii="Times New Roman" w:hAnsi="Times New Roman" w:cs="Times New Roman"/>
          <w:color w:val="auto"/>
          <w:highlight w:val="none"/>
        </w:rPr>
        <w:t>附</w:t>
      </w:r>
      <w:r>
        <w:rPr>
          <w:rFonts w:hint="default" w:ascii="Times New Roman" w:hAnsi="Times New Roman" w:cs="Times New Roman"/>
          <w:color w:val="auto"/>
          <w:highlight w:val="none"/>
          <w:lang w:val="en-US" w:eastAsia="zh-CN"/>
        </w:rPr>
        <w:t>件</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 xml:space="preserve">  备案承诺书</w:t>
      </w:r>
      <w:bookmarkEnd w:id="696"/>
    </w:p>
    <w:p w14:paraId="5558925A">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266690" cy="7484745"/>
            <wp:effectExtent l="0" t="0" r="10160" b="1905"/>
            <wp:docPr id="39" name="图片 39" descr="385abec2e2497d5fb87de45461a118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85abec2e2497d5fb87de45461a118a2"/>
                    <pic:cNvPicPr>
                      <a:picLocks noChangeAspect="1"/>
                    </pic:cNvPicPr>
                  </pic:nvPicPr>
                  <pic:blipFill>
                    <a:blip r:embed="rId107"/>
                    <a:stretch>
                      <a:fillRect/>
                    </a:stretch>
                  </pic:blipFill>
                  <pic:spPr>
                    <a:xfrm>
                      <a:off x="0" y="0"/>
                      <a:ext cx="5266690" cy="7484745"/>
                    </a:xfrm>
                    <a:prstGeom prst="rect">
                      <a:avLst/>
                    </a:prstGeom>
                  </pic:spPr>
                </pic:pic>
              </a:graphicData>
            </a:graphic>
          </wp:inline>
        </w:drawing>
      </w:r>
    </w:p>
    <w:p w14:paraId="479F27F0">
      <w:pPr>
        <w:pStyle w:val="146"/>
        <w:jc w:val="both"/>
        <w:rPr>
          <w:rFonts w:hint="default" w:ascii="Times New Roman" w:hAnsi="Times New Roman" w:eastAsia="仿宋" w:cs="Times New Roman"/>
          <w:color w:val="auto"/>
          <w:highlight w:val="none"/>
          <w:lang w:eastAsia="zh-CN"/>
        </w:rPr>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p>
    <w:p w14:paraId="40466157">
      <w:pPr>
        <w:pStyle w:val="5"/>
        <w:rPr>
          <w:rFonts w:hint="default" w:ascii="Times New Roman" w:hAnsi="Times New Roman" w:cs="Times New Roman"/>
          <w:color w:val="auto"/>
          <w:highlight w:val="none"/>
          <w:lang w:val="en-US" w:eastAsia="zh-CN"/>
        </w:rPr>
      </w:pPr>
      <w:bookmarkStart w:id="697" w:name="_Toc31516"/>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 xml:space="preserve"> 用地手续</w:t>
      </w:r>
      <w:bookmarkEnd w:id="697"/>
    </w:p>
    <w:p w14:paraId="001DBEA4">
      <w:pPr>
        <w:ind w:left="0" w:leftChars="0" w:firstLine="0" w:firstLineChars="0"/>
        <w:rPr>
          <w:color w:val="auto"/>
          <w:highlight w:val="none"/>
        </w:rPr>
      </w:pPr>
      <w:r>
        <w:rPr>
          <w:color w:val="auto"/>
          <w:highlight w:val="none"/>
        </w:rPr>
        <w:drawing>
          <wp:inline distT="0" distB="0" distL="114300" distR="114300">
            <wp:extent cx="5273040" cy="7409180"/>
            <wp:effectExtent l="0" t="0" r="3810" b="127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108"/>
                    <a:stretch>
                      <a:fillRect/>
                    </a:stretch>
                  </pic:blipFill>
                  <pic:spPr>
                    <a:xfrm>
                      <a:off x="0" y="0"/>
                      <a:ext cx="5273040" cy="7409180"/>
                    </a:xfrm>
                    <a:prstGeom prst="rect">
                      <a:avLst/>
                    </a:prstGeom>
                    <a:noFill/>
                    <a:ln>
                      <a:noFill/>
                    </a:ln>
                  </pic:spPr>
                </pic:pic>
              </a:graphicData>
            </a:graphic>
          </wp:inline>
        </w:drawing>
      </w:r>
    </w:p>
    <w:p w14:paraId="7A8EED5C">
      <w:pPr>
        <w:ind w:left="0" w:leftChars="0" w:firstLine="0" w:firstLineChars="0"/>
        <w:rPr>
          <w:color w:val="auto"/>
          <w:highlight w:val="none"/>
        </w:rPr>
      </w:pPr>
    </w:p>
    <w:p w14:paraId="7679C4D8">
      <w:pPr>
        <w:ind w:left="0" w:leftChars="0" w:firstLine="0" w:firstLineChars="0"/>
        <w:rPr>
          <w:color w:val="auto"/>
          <w:highlight w:val="none"/>
        </w:rPr>
      </w:pPr>
    </w:p>
    <w:p w14:paraId="0E032EDA">
      <w:pPr>
        <w:ind w:left="0" w:leftChars="0" w:firstLine="0" w:firstLineChars="0"/>
        <w:rPr>
          <w:color w:val="auto"/>
          <w:highlight w:val="none"/>
        </w:rPr>
      </w:pPr>
    </w:p>
    <w:p w14:paraId="4A025F0B">
      <w:pPr>
        <w:ind w:left="0" w:leftChars="0" w:firstLine="0" w:firstLineChars="0"/>
        <w:rPr>
          <w:color w:val="auto"/>
          <w:highlight w:val="none"/>
        </w:rPr>
      </w:pPr>
    </w:p>
    <w:p w14:paraId="5A2B5F7A">
      <w:pPr>
        <w:pStyle w:val="5"/>
        <w:rPr>
          <w:rFonts w:hint="default" w:ascii="Times New Roman" w:hAnsi="Times New Roman" w:cs="Times New Roman"/>
          <w:color w:val="auto"/>
          <w:highlight w:val="none"/>
          <w:lang w:val="en-US" w:eastAsia="zh-CN"/>
        </w:rPr>
      </w:pPr>
      <w:bookmarkStart w:id="698" w:name="_Toc31574"/>
      <w:r>
        <w:rPr>
          <w:rFonts w:hint="default" w:ascii="Times New Roman" w:hAnsi="Times New Roman" w:cs="Times New Roman"/>
          <w:color w:val="auto"/>
          <w:highlight w:val="none"/>
          <w:lang w:val="en-US" w:eastAsia="zh-CN"/>
        </w:rPr>
        <w:t>附件</w:t>
      </w:r>
      <w:r>
        <w:rPr>
          <w:rFonts w:hint="eastAsia" w:cs="Times New Roman"/>
          <w:color w:val="auto"/>
          <w:highlight w:val="none"/>
          <w:lang w:val="en-US" w:eastAsia="zh-CN"/>
        </w:rPr>
        <w:t>7</w:t>
      </w:r>
      <w:r>
        <w:rPr>
          <w:rFonts w:hint="eastAsia" w:ascii="Times New Roman" w:hAnsi="Times New Roman" w:cs="Times New Roman"/>
          <w:color w:val="auto"/>
          <w:highlight w:val="none"/>
          <w:lang w:val="en-US" w:eastAsia="zh-CN"/>
        </w:rPr>
        <w:t xml:space="preserve"> 无害化处理协议</w:t>
      </w:r>
      <w:bookmarkEnd w:id="698"/>
    </w:p>
    <w:p w14:paraId="45D1DC1F">
      <w:pPr>
        <w:ind w:left="0" w:leftChars="0" w:firstLine="0" w:firstLineChars="0"/>
        <w:rPr>
          <w:color w:val="auto"/>
          <w:highlight w:val="none"/>
        </w:rPr>
      </w:pPr>
      <w:r>
        <w:rPr>
          <w:color w:val="auto"/>
          <w:highlight w:val="none"/>
        </w:rPr>
        <w:drawing>
          <wp:inline distT="0" distB="0" distL="114300" distR="114300">
            <wp:extent cx="5270500" cy="7255510"/>
            <wp:effectExtent l="0" t="0" r="6350" b="254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09"/>
                    <a:stretch>
                      <a:fillRect/>
                    </a:stretch>
                  </pic:blipFill>
                  <pic:spPr>
                    <a:xfrm>
                      <a:off x="0" y="0"/>
                      <a:ext cx="5270500" cy="7255510"/>
                    </a:xfrm>
                    <a:prstGeom prst="rect">
                      <a:avLst/>
                    </a:prstGeom>
                    <a:noFill/>
                    <a:ln>
                      <a:noFill/>
                    </a:ln>
                  </pic:spPr>
                </pic:pic>
              </a:graphicData>
            </a:graphic>
          </wp:inline>
        </w:drawing>
      </w:r>
      <w:r>
        <w:rPr>
          <w:color w:val="auto"/>
          <w:highlight w:val="none"/>
        </w:rPr>
        <w:drawing>
          <wp:inline distT="0" distB="0" distL="114300" distR="114300">
            <wp:extent cx="5272405" cy="7154545"/>
            <wp:effectExtent l="0" t="0" r="4445" b="825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110"/>
                    <a:stretch>
                      <a:fillRect/>
                    </a:stretch>
                  </pic:blipFill>
                  <pic:spPr>
                    <a:xfrm>
                      <a:off x="0" y="0"/>
                      <a:ext cx="5272405" cy="7154545"/>
                    </a:xfrm>
                    <a:prstGeom prst="rect">
                      <a:avLst/>
                    </a:prstGeom>
                    <a:noFill/>
                    <a:ln>
                      <a:noFill/>
                    </a:ln>
                  </pic:spPr>
                </pic:pic>
              </a:graphicData>
            </a:graphic>
          </wp:inline>
        </w:drawing>
      </w:r>
      <w:r>
        <w:rPr>
          <w:color w:val="auto"/>
          <w:highlight w:val="none"/>
        </w:rPr>
        <w:drawing>
          <wp:inline distT="0" distB="0" distL="114300" distR="114300">
            <wp:extent cx="5274310" cy="7436485"/>
            <wp:effectExtent l="0" t="0" r="2540" b="1206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111"/>
                    <a:stretch>
                      <a:fillRect/>
                    </a:stretch>
                  </pic:blipFill>
                  <pic:spPr>
                    <a:xfrm>
                      <a:off x="0" y="0"/>
                      <a:ext cx="5274310" cy="7436485"/>
                    </a:xfrm>
                    <a:prstGeom prst="rect">
                      <a:avLst/>
                    </a:prstGeom>
                    <a:noFill/>
                    <a:ln>
                      <a:noFill/>
                    </a:ln>
                  </pic:spPr>
                </pic:pic>
              </a:graphicData>
            </a:graphic>
          </wp:inline>
        </w:drawing>
      </w:r>
    </w:p>
    <w:p w14:paraId="24CC85AA">
      <w:pPr>
        <w:ind w:left="0" w:leftChars="0" w:firstLine="0" w:firstLineChars="0"/>
        <w:rPr>
          <w:rFonts w:hint="eastAsia" w:ascii="Times New Roman" w:hAnsi="Times New Roman" w:eastAsia="宋体" w:cs="Times New Roman"/>
          <w:color w:val="auto"/>
          <w:highlight w:val="none"/>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r>
        <w:rPr>
          <w:color w:val="auto"/>
          <w:highlight w:val="none"/>
        </w:rPr>
        <w:br w:type="textWrapping"/>
      </w:r>
    </w:p>
    <w:p w14:paraId="5D1B4F39">
      <w:pPr>
        <w:pStyle w:val="4"/>
        <w:rPr>
          <w:rFonts w:hint="default" w:ascii="Times New Roman" w:hAnsi="Times New Roman" w:cs="Times New Roman"/>
          <w:color w:val="auto"/>
          <w:highlight w:val="none"/>
        </w:rPr>
      </w:pPr>
      <w:bookmarkStart w:id="699" w:name="_Toc11110"/>
      <w:r>
        <w:rPr>
          <w:rFonts w:hint="default" w:ascii="Times New Roman" w:hAnsi="Times New Roman" w:cs="Times New Roman"/>
          <w:color w:val="auto"/>
          <w:highlight w:val="none"/>
        </w:rPr>
        <w:t>附图</w:t>
      </w:r>
      <w:bookmarkEnd w:id="699"/>
    </w:p>
    <w:p w14:paraId="1DB37939">
      <w:pPr>
        <w:pStyle w:val="5"/>
        <w:rPr>
          <w:rFonts w:hint="default" w:ascii="Times New Roman" w:hAnsi="Times New Roman" w:cs="Times New Roman"/>
          <w:color w:val="auto"/>
          <w:highlight w:val="none"/>
        </w:rPr>
      </w:pPr>
      <w:bookmarkStart w:id="700" w:name="_Toc25005"/>
      <w:r>
        <w:rPr>
          <w:rFonts w:hint="default" w:ascii="Times New Roman" w:hAnsi="Times New Roman" w:cs="Times New Roman"/>
          <w:color w:val="auto"/>
          <w:highlight w:val="none"/>
        </w:rPr>
        <w:t>附图</w:t>
      </w:r>
      <w:r>
        <w:rPr>
          <w:rFonts w:hint="eastAsia" w:cs="Times New Roman"/>
          <w:color w:val="auto"/>
          <w:highlight w:val="none"/>
          <w:lang w:val="en-US" w:eastAsia="zh-CN"/>
        </w:rPr>
        <w:t>1</w:t>
      </w:r>
      <w:r>
        <w:rPr>
          <w:rFonts w:hint="default" w:ascii="Times New Roman" w:hAnsi="Times New Roman" w:cs="Times New Roman"/>
          <w:color w:val="auto"/>
          <w:highlight w:val="none"/>
        </w:rPr>
        <w:t>平面布置图</w:t>
      </w:r>
      <w:bookmarkEnd w:id="700"/>
    </w:p>
    <w:p w14:paraId="586CF174">
      <w:pPr>
        <w:ind w:left="0" w:leftChars="0" w:firstLine="0" w:firstLineChars="0"/>
        <w:jc w:val="center"/>
        <w:rPr>
          <w:rFonts w:hint="default" w:ascii="Times New Roman" w:hAnsi="Times New Roman" w:cs="Times New Roman"/>
          <w:color w:val="auto"/>
          <w:highlight w:val="none"/>
        </w:rPr>
      </w:pPr>
      <w:r>
        <w:rPr>
          <w:color w:val="auto"/>
          <w:sz w:val="24"/>
          <w:highlight w:val="none"/>
        </w:rPr>
        <mc:AlternateContent>
          <mc:Choice Requires="wps">
            <w:drawing>
              <wp:anchor distT="0" distB="0" distL="114300" distR="114300" simplePos="0" relativeHeight="251730944" behindDoc="0" locked="0" layoutInCell="1" allowOverlap="1">
                <wp:simplePos x="0" y="0"/>
                <wp:positionH relativeFrom="column">
                  <wp:posOffset>1306195</wp:posOffset>
                </wp:positionH>
                <wp:positionV relativeFrom="paragraph">
                  <wp:posOffset>10904220</wp:posOffset>
                </wp:positionV>
                <wp:extent cx="889635" cy="62484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889635" cy="624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336E0">
                            <w:pPr>
                              <w:spacing w:line="240" w:lineRule="auto"/>
                              <w:ind w:left="0" w:leftChars="0" w:firstLine="0" w:firstLineChars="0"/>
                              <w:rPr>
                                <w:rFonts w:hint="eastAsia" w:eastAsia="宋体"/>
                                <w:sz w:val="21"/>
                                <w:szCs w:val="20"/>
                                <w:lang w:val="en-US" w:eastAsia="zh-CN"/>
                              </w:rPr>
                            </w:pPr>
                            <w:r>
                              <w:rPr>
                                <w:rFonts w:hint="eastAsia" w:eastAsia="宋体"/>
                                <w:sz w:val="21"/>
                                <w:szCs w:val="20"/>
                                <w:lang w:val="en-US" w:eastAsia="zh-CN"/>
                              </w:rPr>
                              <w:t>初期雨水</w:t>
                            </w:r>
                          </w:p>
                          <w:p w14:paraId="652BE8E2">
                            <w:pPr>
                              <w:spacing w:line="240" w:lineRule="auto"/>
                              <w:ind w:left="0" w:leftChars="0" w:firstLine="0" w:firstLineChars="0"/>
                              <w:rPr>
                                <w:rFonts w:hint="default" w:eastAsia="宋体"/>
                                <w:sz w:val="21"/>
                                <w:szCs w:val="20"/>
                                <w:lang w:val="en-US" w:eastAsia="zh-CN"/>
                              </w:rPr>
                            </w:pPr>
                            <w:r>
                              <w:rPr>
                                <w:rFonts w:hint="eastAsia" w:eastAsia="宋体"/>
                                <w:sz w:val="21"/>
                                <w:szCs w:val="20"/>
                                <w:lang w:val="en-US" w:eastAsia="zh-CN"/>
                              </w:rPr>
                              <w:t>收集池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85pt;margin-top:858.6pt;height:49.2pt;width:70.05pt;z-index:251730944;mso-width-relative:page;mso-height-relative:page;" filled="f" stroked="f" coordsize="21600,21600" o:gfxdata="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oLt8Z3QAAAA0BAAAPAAAAAAAAAAEAIAAAACIA&#10;AABkcnMvZG93bnJldi54bWxQSwECFAAUAAAACACHTuJA99rNNj0CAABpBAAADgAAAAAAAAABACAA&#10;AAAsAQAAZHJzL2Uyb0RvYy54bWxQSwUGAAAAAAYABgBZAQAA2wUAAAAA&#10;">
                <v:fill on="f" focussize="0,0"/>
                <v:stroke on="f" weight="0.5pt"/>
                <v:imagedata o:title=""/>
                <o:lock v:ext="edit" aspectratio="f"/>
                <v:textbox>
                  <w:txbxContent>
                    <w:p w14:paraId="20B336E0">
                      <w:pPr>
                        <w:spacing w:line="240" w:lineRule="auto"/>
                        <w:ind w:left="0" w:leftChars="0" w:firstLine="0" w:firstLineChars="0"/>
                        <w:rPr>
                          <w:rFonts w:hint="eastAsia" w:eastAsia="宋体"/>
                          <w:sz w:val="21"/>
                          <w:szCs w:val="20"/>
                          <w:lang w:val="en-US" w:eastAsia="zh-CN"/>
                        </w:rPr>
                      </w:pPr>
                      <w:r>
                        <w:rPr>
                          <w:rFonts w:hint="eastAsia" w:eastAsia="宋体"/>
                          <w:sz w:val="21"/>
                          <w:szCs w:val="20"/>
                          <w:lang w:val="en-US" w:eastAsia="zh-CN"/>
                        </w:rPr>
                        <w:t>初期雨水</w:t>
                      </w:r>
                    </w:p>
                    <w:p w14:paraId="652BE8E2">
                      <w:pPr>
                        <w:spacing w:line="240" w:lineRule="auto"/>
                        <w:ind w:left="0" w:leftChars="0" w:firstLine="0" w:firstLineChars="0"/>
                        <w:rPr>
                          <w:rFonts w:hint="default" w:eastAsia="宋体"/>
                          <w:sz w:val="21"/>
                          <w:szCs w:val="20"/>
                          <w:lang w:val="en-US" w:eastAsia="zh-CN"/>
                        </w:rPr>
                      </w:pPr>
                      <w:r>
                        <w:rPr>
                          <w:rFonts w:hint="eastAsia" w:eastAsia="宋体"/>
                          <w:sz w:val="21"/>
                          <w:szCs w:val="20"/>
                          <w:lang w:val="en-US" w:eastAsia="zh-CN"/>
                        </w:rPr>
                        <w:t>收集池</w:t>
                      </w:r>
                    </w:p>
                  </w:txbxContent>
                </v:textbox>
              </v:shape>
            </w:pict>
          </mc:Fallback>
        </mc:AlternateContent>
      </w:r>
      <w:r>
        <w:rPr>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3121660</wp:posOffset>
                </wp:positionH>
                <wp:positionV relativeFrom="paragraph">
                  <wp:posOffset>10561320</wp:posOffset>
                </wp:positionV>
                <wp:extent cx="667385" cy="254000"/>
                <wp:effectExtent l="0" t="0" r="18415" b="12700"/>
                <wp:wrapNone/>
                <wp:docPr id="154" name="文本框 154"/>
                <wp:cNvGraphicFramePr/>
                <a:graphic xmlns:a="http://schemas.openxmlformats.org/drawingml/2006/main">
                  <a:graphicData uri="http://schemas.microsoft.com/office/word/2010/wordprocessingShape">
                    <wps:wsp>
                      <wps:cNvSpPr txBox="1"/>
                      <wps:spPr>
                        <a:xfrm>
                          <a:off x="4798060" y="11781790"/>
                          <a:ext cx="66738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887849">
                            <w:pPr>
                              <w:spacing w:line="240" w:lineRule="auto"/>
                              <w:ind w:left="0" w:leftChars="0" w:firstLine="0" w:firstLineChars="0"/>
                              <w:rPr>
                                <w:rFonts w:hint="default" w:eastAsia="宋体"/>
                                <w:sz w:val="21"/>
                                <w:szCs w:val="20"/>
                                <w:lang w:val="en-US" w:eastAsia="zh-CN"/>
                              </w:rPr>
                            </w:pPr>
                            <w:r>
                              <w:rPr>
                                <w:rFonts w:hint="eastAsia"/>
                                <w:sz w:val="21"/>
                                <w:szCs w:val="20"/>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8pt;margin-top:831.6pt;height:20pt;width:52.55pt;z-index:251729920;mso-width-relative:page;mso-height-relative:page;" filled="f" stroked="f" coordsize="21600,21600" o:gfxdata="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yJ3AV3QAAAA0BAAAPAAAA&#10;AAAAAAEAIAAAACIAAABkcnMvZG93bnJldi54bWxQSwECFAAUAAAACACHTuJA0uq2WUkCAAB2BAAA&#10;DgAAAAAAAAABACAAAAAsAQAAZHJzL2Uyb0RvYy54bWxQSwUGAAAAAAYABgBZAQAA5wUAAAAA&#10;">
                <v:fill on="f" focussize="0,0"/>
                <v:stroke on="f" weight="0.5pt"/>
                <v:imagedata o:title=""/>
                <o:lock v:ext="edit" aspectratio="f"/>
                <v:textbox>
                  <w:txbxContent>
                    <w:p w14:paraId="32887849">
                      <w:pPr>
                        <w:spacing w:line="240" w:lineRule="auto"/>
                        <w:ind w:left="0" w:leftChars="0" w:firstLine="0" w:firstLineChars="0"/>
                        <w:rPr>
                          <w:rFonts w:hint="default" w:eastAsia="宋体"/>
                          <w:sz w:val="21"/>
                          <w:szCs w:val="20"/>
                          <w:lang w:val="en-US" w:eastAsia="zh-CN"/>
                        </w:rPr>
                      </w:pPr>
                      <w:r>
                        <w:rPr>
                          <w:rFonts w:hint="eastAsia"/>
                          <w:sz w:val="21"/>
                          <w:szCs w:val="20"/>
                          <w:lang w:val="en-US" w:eastAsia="zh-CN"/>
                        </w:rPr>
                        <w:t>DA001</w:t>
                      </w:r>
                    </w:p>
                  </w:txbxContent>
                </v:textbox>
              </v:shape>
            </w:pict>
          </mc:Fallback>
        </mc:AlternateContent>
      </w:r>
      <w:r>
        <w:rPr>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3312160</wp:posOffset>
                </wp:positionH>
                <wp:positionV relativeFrom="paragraph">
                  <wp:posOffset>10401935</wp:posOffset>
                </wp:positionV>
                <wp:extent cx="212090" cy="212090"/>
                <wp:effectExtent l="6350" t="6350" r="10160" b="10160"/>
                <wp:wrapNone/>
                <wp:docPr id="153" name="同心圆 153"/>
                <wp:cNvGraphicFramePr/>
                <a:graphic xmlns:a="http://schemas.openxmlformats.org/drawingml/2006/main">
                  <a:graphicData uri="http://schemas.microsoft.com/office/word/2010/wordprocessingShape">
                    <wps:wsp>
                      <wps:cNvSpPr/>
                      <wps:spPr>
                        <a:xfrm>
                          <a:off x="4290060" y="12107545"/>
                          <a:ext cx="212090" cy="212090"/>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60.8pt;margin-top:819.05pt;height:16.7pt;width:16.7pt;z-index:251728896;v-text-anchor:middle;mso-width-relative:page;mso-height-relative:page;" fillcolor="#4472C4 [3204]" filled="t" stroked="t" coordsize="21600,21600" o:gfxdata="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1Tzk&#10;r9gAAAANAQAADwAAAAAAAAABACAAAAAiAAAAZHJzL2Rvd25yZXYueG1sUEsBAhQAFAAAAAgAh07i&#10;QHYOrzCUAgAAKgUAAA4AAAAAAAAAAQAgAAAAJwEAAGRycy9lMm9Eb2MueG1sUEsFBgAAAAAGAAYA&#10;WQEAAC0GAAAAAA==&#10;" adj="5400">
                <v:fill on="t" focussize="0,0"/>
                <v:stroke weight="1pt" color="#2F5597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6428740</wp:posOffset>
                </wp:positionH>
                <wp:positionV relativeFrom="paragraph">
                  <wp:posOffset>11670665</wp:posOffset>
                </wp:positionV>
                <wp:extent cx="250825" cy="164465"/>
                <wp:effectExtent l="6350" t="6350" r="9525" b="19685"/>
                <wp:wrapNone/>
                <wp:docPr id="54" name="矩形 54"/>
                <wp:cNvGraphicFramePr/>
                <a:graphic xmlns:a="http://schemas.openxmlformats.org/drawingml/2006/main">
                  <a:graphicData uri="http://schemas.microsoft.com/office/word/2010/wordprocessingShape">
                    <wps:wsp>
                      <wps:cNvSpPr/>
                      <wps:spPr>
                        <a:xfrm>
                          <a:off x="0" y="0"/>
                          <a:ext cx="250825" cy="164465"/>
                        </a:xfrm>
                        <a:prstGeom prst="rect">
                          <a:avLst/>
                        </a:prstGeom>
                        <a:pattFill prst="wdUpDiag">
                          <a:fgClr>
                            <a:schemeClr val="bg1">
                              <a:lumMod val="75000"/>
                            </a:schemeClr>
                          </a:fgClr>
                          <a:bgClr>
                            <a:schemeClr val="bg1"/>
                          </a:bgClr>
                        </a:patt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6.2pt;margin-top:918.95pt;height:12.95pt;width:19.75pt;z-index:251701248;v-text-anchor:middle;mso-width-relative:page;mso-height-relative:page;" fillcolor="#BFBFBF [2412]" filled="t" stroked="t" coordsize="21600,21600" o:gfxdata="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79Gh3aAAAADwEAAA8AAAAAAAAAAQAgAAAAIgAAAGRycy9kb3du&#10;cmV2LnhtbFBLAQIUABQAAAAIAIdO4kA1cu9pqAIAAIYFAAAOAAAAAAAAAAEAIAAAACkBAABkcnMv&#10;ZTJvRG9jLnhtbFBLBQYAAAAABgAGAFkBAABDBgAAAAA=&#10;">
                <v:fill type="pattern" on="t" color2="#FFFFFF [3212]" o:title="宽上对角线" focussize="0,0" r:id="rId112"/>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6415405</wp:posOffset>
                </wp:positionH>
                <wp:positionV relativeFrom="paragraph">
                  <wp:posOffset>11388090</wp:posOffset>
                </wp:positionV>
                <wp:extent cx="250825" cy="164465"/>
                <wp:effectExtent l="6350" t="6350" r="9525" b="19685"/>
                <wp:wrapNone/>
                <wp:docPr id="53" name="矩形 53"/>
                <wp:cNvGraphicFramePr/>
                <a:graphic xmlns:a="http://schemas.openxmlformats.org/drawingml/2006/main">
                  <a:graphicData uri="http://schemas.microsoft.com/office/word/2010/wordprocessingShape">
                    <wps:wsp>
                      <wps:cNvSpPr/>
                      <wps:spPr>
                        <a:xfrm>
                          <a:off x="7381875" y="13051790"/>
                          <a:ext cx="250825" cy="164465"/>
                        </a:xfrm>
                        <a:prstGeom prst="rect">
                          <a:avLst/>
                        </a:prstGeom>
                        <a:solidFill>
                          <a:srgbClr val="FF9493"/>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15pt;margin-top:896.7pt;height:12.95pt;width:19.75pt;z-index:251700224;v-text-anchor:middle;mso-width-relative:page;mso-height-relative:page;" fillcolor="#FF9493" filled="t" stroked="t" coordsize="21600,21600" o:gfxdata="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yzjGb3AAAAA8BAAAPAAAAAAAAAAEAIAAAACIAAABkcnMvZG93bnJldi54bWxQSwECFAAUAAAA&#10;CACHTuJAUP+5wpUCAAAkBQAADgAAAAAAAAABACAAAAArAQAAZHJzL2Uyb0RvYy54bWxQSwUGAAAA&#10;AAYABgBZAQAAMgYAAAAA&#10;">
                <v:fill on="t" focussize="0,0"/>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6389370</wp:posOffset>
                </wp:positionH>
                <wp:positionV relativeFrom="paragraph">
                  <wp:posOffset>11005820</wp:posOffset>
                </wp:positionV>
                <wp:extent cx="1645285" cy="988060"/>
                <wp:effectExtent l="4445" t="4445" r="7620" b="17145"/>
                <wp:wrapNone/>
                <wp:docPr id="52" name="文本框 52"/>
                <wp:cNvGraphicFramePr/>
                <a:graphic xmlns:a="http://schemas.openxmlformats.org/drawingml/2006/main">
                  <a:graphicData uri="http://schemas.microsoft.com/office/word/2010/wordprocessingShape">
                    <wps:wsp>
                      <wps:cNvSpPr txBox="1"/>
                      <wps:spPr>
                        <a:xfrm>
                          <a:off x="7529195" y="12280900"/>
                          <a:ext cx="1645285" cy="988060"/>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3D130D">
                            <w:pPr>
                              <w:ind w:left="0" w:leftChars="0" w:firstLine="0" w:firstLineChars="0"/>
                              <w:jc w:val="center"/>
                              <w:rPr>
                                <w:rFonts w:hint="eastAsia"/>
                                <w:lang w:val="en-US" w:eastAsia="zh-CN"/>
                              </w:rPr>
                            </w:pPr>
                            <w:r>
                              <w:rPr>
                                <w:rFonts w:hint="eastAsia"/>
                                <w:lang w:val="en-US" w:eastAsia="zh-CN"/>
                              </w:rPr>
                              <w:t>图例</w:t>
                            </w:r>
                          </w:p>
                          <w:p w14:paraId="3DA75825">
                            <w:pPr>
                              <w:ind w:left="0" w:leftChars="0" w:firstLine="0" w:firstLineChars="0"/>
                              <w:jc w:val="center"/>
                              <w:rPr>
                                <w:rFonts w:hint="eastAsia"/>
                                <w:lang w:val="en-US" w:eastAsia="zh-CN"/>
                              </w:rPr>
                            </w:pPr>
                            <w:r>
                              <w:rPr>
                                <w:rFonts w:hint="eastAsia"/>
                                <w:lang w:val="en-US" w:eastAsia="zh-CN"/>
                              </w:rPr>
                              <w:t>：本次建设内容</w:t>
                            </w:r>
                          </w:p>
                          <w:p w14:paraId="2F85D0C8">
                            <w:pPr>
                              <w:ind w:left="0" w:leftChars="0" w:firstLine="0" w:firstLineChars="0"/>
                              <w:jc w:val="center"/>
                              <w:rPr>
                                <w:rFonts w:hint="default"/>
                                <w:lang w:val="en-US" w:eastAsia="zh-CN"/>
                              </w:rPr>
                            </w:pPr>
                            <w:r>
                              <w:rPr>
                                <w:rFonts w:hint="eastAsia"/>
                                <w:lang w:val="en-US" w:eastAsia="zh-CN"/>
                              </w:rPr>
                              <w:t>：预留场地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1pt;margin-top:866.6pt;height:77.8pt;width:129.55pt;z-index:251699200;mso-width-relative:page;mso-height-relative:page;" fillcolor="#FFFFFF [3212]" filled="t" stroked="t" coordsize="21600,21600" o:gfxdata="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MOc+PWAAAADwEAAA8AAAAAAAAAAQAgAAAAIgAAAGRycy9kb3ducmV2LnhtbFBLAQIU&#10;ABQAAAAIAIdO4kANWMCtZwIAAMYEAAAOAAAAAAAAAAEAIAAAACUBAABkcnMvZTJvRG9jLnhtbFBL&#10;BQYAAAAABgAGAFkBAAD+BQAAAAA=&#10;">
                <v:fill on="t" focussize="0,0"/>
                <v:stroke weight="0.5pt" color="#000000 [3204]" joinstyle="round"/>
                <v:imagedata o:title=""/>
                <o:lock v:ext="edit" aspectratio="f"/>
                <v:textbox>
                  <w:txbxContent>
                    <w:p w14:paraId="493D130D">
                      <w:pPr>
                        <w:ind w:left="0" w:leftChars="0" w:firstLine="0" w:firstLineChars="0"/>
                        <w:jc w:val="center"/>
                        <w:rPr>
                          <w:rFonts w:hint="eastAsia"/>
                          <w:lang w:val="en-US" w:eastAsia="zh-CN"/>
                        </w:rPr>
                      </w:pPr>
                      <w:r>
                        <w:rPr>
                          <w:rFonts w:hint="eastAsia"/>
                          <w:lang w:val="en-US" w:eastAsia="zh-CN"/>
                        </w:rPr>
                        <w:t>图例</w:t>
                      </w:r>
                    </w:p>
                    <w:p w14:paraId="3DA75825">
                      <w:pPr>
                        <w:ind w:left="0" w:leftChars="0" w:firstLine="0" w:firstLineChars="0"/>
                        <w:jc w:val="center"/>
                        <w:rPr>
                          <w:rFonts w:hint="eastAsia"/>
                          <w:lang w:val="en-US" w:eastAsia="zh-CN"/>
                        </w:rPr>
                      </w:pPr>
                      <w:r>
                        <w:rPr>
                          <w:rFonts w:hint="eastAsia"/>
                          <w:lang w:val="en-US" w:eastAsia="zh-CN"/>
                        </w:rPr>
                        <w:t>：本次建设内容</w:t>
                      </w:r>
                    </w:p>
                    <w:p w14:paraId="2F85D0C8">
                      <w:pPr>
                        <w:ind w:left="0" w:leftChars="0" w:firstLine="0" w:firstLineChars="0"/>
                        <w:jc w:val="center"/>
                        <w:rPr>
                          <w:rFonts w:hint="default"/>
                          <w:lang w:val="en-US" w:eastAsia="zh-CN"/>
                        </w:rPr>
                      </w:pPr>
                      <w:r>
                        <w:rPr>
                          <w:rFonts w:hint="eastAsia"/>
                          <w:lang w:val="en-US" w:eastAsia="zh-CN"/>
                        </w:rPr>
                        <w:t>：预留场地</w:t>
                      </w:r>
                    </w:p>
                  </w:txbxContent>
                </v:textbox>
              </v:shape>
            </w:pict>
          </mc:Fallback>
        </mc:AlternateContent>
      </w:r>
      <w:r>
        <w:rPr>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899795</wp:posOffset>
                </wp:positionH>
                <wp:positionV relativeFrom="paragraph">
                  <wp:posOffset>6928485</wp:posOffset>
                </wp:positionV>
                <wp:extent cx="4848860" cy="4891405"/>
                <wp:effectExtent l="7620" t="6350" r="20320" b="17145"/>
                <wp:wrapNone/>
                <wp:docPr id="51" name="任意多边形 51"/>
                <wp:cNvGraphicFramePr/>
                <a:graphic xmlns:a="http://schemas.openxmlformats.org/drawingml/2006/main">
                  <a:graphicData uri="http://schemas.microsoft.com/office/word/2010/wordprocessingShape">
                    <wps:wsp>
                      <wps:cNvSpPr/>
                      <wps:spPr>
                        <a:xfrm>
                          <a:off x="1814195" y="8592185"/>
                          <a:ext cx="4848860" cy="4891405"/>
                        </a:xfrm>
                        <a:custGeom>
                          <a:avLst/>
                          <a:gdLst>
                            <a:gd name="connisteX0" fmla="*/ 1896110 w 4848860"/>
                            <a:gd name="connsiteY0" fmla="*/ 0 h 4891405"/>
                            <a:gd name="connisteX1" fmla="*/ 4822825 w 4848860"/>
                            <a:gd name="connsiteY1" fmla="*/ 17145 h 4891405"/>
                            <a:gd name="connisteX2" fmla="*/ 4848860 w 4848860"/>
                            <a:gd name="connsiteY2" fmla="*/ 1809750 h 4891405"/>
                            <a:gd name="connisteX3" fmla="*/ 4554220 w 4848860"/>
                            <a:gd name="connsiteY3" fmla="*/ 2052320 h 4891405"/>
                            <a:gd name="connisteX4" fmla="*/ 4242435 w 4848860"/>
                            <a:gd name="connsiteY4" fmla="*/ 2017395 h 4891405"/>
                            <a:gd name="connisteX5" fmla="*/ 4112895 w 4848860"/>
                            <a:gd name="connsiteY5" fmla="*/ 2077720 h 4891405"/>
                            <a:gd name="connisteX6" fmla="*/ 4017645 w 4848860"/>
                            <a:gd name="connsiteY6" fmla="*/ 2952750 h 4891405"/>
                            <a:gd name="connisteX7" fmla="*/ 3714750 w 4848860"/>
                            <a:gd name="connsiteY7" fmla="*/ 3176905 h 4891405"/>
                            <a:gd name="connisteX8" fmla="*/ 3783965 w 4848860"/>
                            <a:gd name="connsiteY8" fmla="*/ 3619500 h 4891405"/>
                            <a:gd name="connisteX9" fmla="*/ 3601720 w 4848860"/>
                            <a:gd name="connsiteY9" fmla="*/ 3905250 h 4891405"/>
                            <a:gd name="connisteX10" fmla="*/ 3065145 w 4848860"/>
                            <a:gd name="connsiteY10" fmla="*/ 4129405 h 4891405"/>
                            <a:gd name="connisteX11" fmla="*/ 2441575 w 4848860"/>
                            <a:gd name="connsiteY11" fmla="*/ 4208145 h 4891405"/>
                            <a:gd name="connisteX12" fmla="*/ 1835150 w 4848860"/>
                            <a:gd name="connsiteY12" fmla="*/ 3870325 h 4891405"/>
                            <a:gd name="connisteX13" fmla="*/ 1549400 w 4848860"/>
                            <a:gd name="connsiteY13" fmla="*/ 3810000 h 4891405"/>
                            <a:gd name="connisteX14" fmla="*/ 562610 w 4848860"/>
                            <a:gd name="connsiteY14" fmla="*/ 4891405 h 4891405"/>
                            <a:gd name="connisteX15" fmla="*/ 450215 w 4848860"/>
                            <a:gd name="connsiteY15" fmla="*/ 4814570 h 4891405"/>
                            <a:gd name="connisteX16" fmla="*/ 0 w 4848860"/>
                            <a:gd name="connsiteY16" fmla="*/ 1419860 h 4891405"/>
                            <a:gd name="connisteX17" fmla="*/ 215900 w 4848860"/>
                            <a:gd name="connsiteY17" fmla="*/ 1532255 h 4891405"/>
                            <a:gd name="connisteX18" fmla="*/ 129540 w 4848860"/>
                            <a:gd name="connsiteY18" fmla="*/ 1038860 h 4891405"/>
                            <a:gd name="connisteX19" fmla="*/ 1056005 w 4848860"/>
                            <a:gd name="connsiteY19" fmla="*/ 449580 h 4891405"/>
                            <a:gd name="connisteX20" fmla="*/ 1896110 w 4848860"/>
                            <a:gd name="connsiteY20" fmla="*/ 0 h 48914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4848860" h="4891405">
                              <a:moveTo>
                                <a:pt x="1896110" y="0"/>
                              </a:moveTo>
                              <a:lnTo>
                                <a:pt x="4822825" y="17145"/>
                              </a:lnTo>
                              <a:lnTo>
                                <a:pt x="4848860" y="1809750"/>
                              </a:lnTo>
                              <a:lnTo>
                                <a:pt x="4554220" y="2052320"/>
                              </a:lnTo>
                              <a:lnTo>
                                <a:pt x="4242435" y="2017395"/>
                              </a:lnTo>
                              <a:lnTo>
                                <a:pt x="4112895" y="2077720"/>
                              </a:lnTo>
                              <a:lnTo>
                                <a:pt x="4017645" y="2952750"/>
                              </a:lnTo>
                              <a:lnTo>
                                <a:pt x="3714750" y="3176905"/>
                              </a:lnTo>
                              <a:lnTo>
                                <a:pt x="3783965" y="3619500"/>
                              </a:lnTo>
                              <a:lnTo>
                                <a:pt x="3601720" y="3905250"/>
                              </a:lnTo>
                              <a:lnTo>
                                <a:pt x="3065145" y="4129405"/>
                              </a:lnTo>
                              <a:lnTo>
                                <a:pt x="2441575" y="4208145"/>
                              </a:lnTo>
                              <a:lnTo>
                                <a:pt x="1835150" y="3870325"/>
                              </a:lnTo>
                              <a:lnTo>
                                <a:pt x="1549400" y="3810000"/>
                              </a:lnTo>
                              <a:lnTo>
                                <a:pt x="562610" y="4891405"/>
                              </a:lnTo>
                              <a:lnTo>
                                <a:pt x="450215" y="4814570"/>
                              </a:lnTo>
                              <a:lnTo>
                                <a:pt x="0" y="1419860"/>
                              </a:lnTo>
                              <a:lnTo>
                                <a:pt x="215900" y="1532255"/>
                              </a:lnTo>
                              <a:lnTo>
                                <a:pt x="129540" y="1038860"/>
                              </a:lnTo>
                              <a:lnTo>
                                <a:pt x="1056005" y="449580"/>
                              </a:lnTo>
                              <a:lnTo>
                                <a:pt x="1896110" y="0"/>
                              </a:lnTo>
                              <a:close/>
                            </a:path>
                          </a:pathLst>
                        </a:custGeom>
                        <a:solidFill>
                          <a:srgbClr val="FF0000">
                            <a:alpha val="42000"/>
                          </a:srgb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0.85pt;margin-top:545.55pt;height:385.15pt;width:381.8pt;z-index:251698176;mso-width-relative:page;mso-height-relative:page;" fillcolor="#FF0000" filled="t" stroked="t" coordsize="4848860,4891405" o:gfxdata="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" path="m1896110,0l4822825,17145,4848860,1809750,4554220,2052320,4242435,2017395,4112895,2077720,4017645,2952750,3714750,3176905,3783965,3619500,3601720,3905250,3065145,4129405,2441575,4208145,1835150,3870325,1549400,3810000,562610,4891405,450215,4814570,0,1419860,215900,1532255,129540,1038860,1056005,449580,1896110,0xe">
                <v:path o:connectlocs="1896110,0;4822825,17145;4848860,1809750;4554220,2052320;4242435,2017395;4112895,2077720;4017645,2952750;3714750,3176905;3783965,3619500;3601720,3905250;3065145,4129405;2441575,4208145;1835150,3870325;1549400,3810000;562610,4891405;450215,4814570;0,1419860;215900,1532255;129540,1038860;1056005,449580;1896110,0" o:connectangles="0,0,0,0,0,0,0,0,0,0,0,0,0,0,0,0,0,0,0,0,0"/>
                <v:fill on="t" opacity="27525f" focussize="0,0"/>
                <v:stroke weight="1pt" color="#2F5597 [2404]" miterlimit="8" joinstyle="miter"/>
                <v:imagedata o:title=""/>
                <o:lock v:ext="edit" aspectratio="f"/>
              </v:shape>
            </w:pict>
          </mc:Fallback>
        </mc:AlternateContent>
      </w:r>
      <w:r>
        <w:rPr>
          <w:color w:val="auto"/>
          <w:highlight w:val="none"/>
        </w:rPr>
        <w:drawing>
          <wp:inline distT="0" distB="0" distL="114300" distR="114300">
            <wp:extent cx="12011660" cy="7336155"/>
            <wp:effectExtent l="0" t="0" r="17145" b="8890"/>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113"/>
                    <a:stretch>
                      <a:fillRect/>
                    </a:stretch>
                  </pic:blipFill>
                  <pic:spPr>
                    <a:xfrm rot="16200000">
                      <a:off x="0" y="0"/>
                      <a:ext cx="12011660" cy="7336155"/>
                    </a:xfrm>
                    <a:prstGeom prst="rect">
                      <a:avLst/>
                    </a:prstGeom>
                    <a:noFill/>
                    <a:ln>
                      <a:noFill/>
                    </a:ln>
                  </pic:spPr>
                </pic:pic>
              </a:graphicData>
            </a:graphic>
          </wp:inline>
        </w:drawing>
      </w:r>
    </w:p>
    <w:p w14:paraId="2A305443">
      <w:pPr>
        <w:pStyle w:val="67"/>
        <w:spacing w:line="240" w:lineRule="auto"/>
        <w:ind w:firstLine="0" w:firstLineChars="0"/>
        <w:jc w:val="center"/>
        <w:rPr>
          <w:rFonts w:hint="default" w:ascii="Times New Roman" w:hAnsi="Times New Roman" w:cs="Times New Roman"/>
          <w:color w:val="auto"/>
          <w:highlight w:val="none"/>
        </w:rPr>
        <w:sectPr>
          <w:pgSz w:w="16838" w:h="23811"/>
          <w:pgMar w:top="1800" w:right="1440" w:bottom="1800" w:left="1440" w:header="851" w:footer="850" w:gutter="0"/>
          <w:pgBorders>
            <w:top w:val="none" w:sz="0" w:space="0"/>
            <w:left w:val="none" w:sz="0" w:space="0"/>
            <w:bottom w:val="none" w:sz="0" w:space="0"/>
            <w:right w:val="none" w:sz="0" w:space="0"/>
          </w:pgBorders>
          <w:cols w:space="425" w:num="1"/>
          <w:docGrid w:type="linesAndChars" w:linePitch="326" w:charSpace="0"/>
        </w:sectPr>
      </w:pPr>
    </w:p>
    <w:p w14:paraId="3866BECB">
      <w:pPr>
        <w:pStyle w:val="5"/>
        <w:rPr>
          <w:rFonts w:hint="default" w:ascii="Times New Roman" w:hAnsi="Times New Roman" w:cs="Times New Roman"/>
          <w:color w:val="auto"/>
          <w:highlight w:val="none"/>
          <w:lang w:val="en-US" w:eastAsia="zh-CN"/>
        </w:rPr>
      </w:pPr>
      <w:bookmarkStart w:id="701" w:name="_Toc8553"/>
      <w:r>
        <w:rPr>
          <w:rFonts w:hint="default" w:ascii="Times New Roman" w:hAnsi="Times New Roman" w:cs="Times New Roman"/>
          <w:color w:val="auto"/>
          <w:highlight w:val="none"/>
        </w:rPr>
        <w:t>附图</w:t>
      </w:r>
      <w:r>
        <w:rPr>
          <w:rFonts w:hint="eastAsia" w:cs="Times New Roman"/>
          <w:color w:val="auto"/>
          <w:highlight w:val="none"/>
          <w:lang w:val="en-US" w:eastAsia="zh-CN"/>
        </w:rPr>
        <w:t>2</w:t>
      </w:r>
      <w:r>
        <w:rPr>
          <w:rFonts w:hint="eastAsia" w:ascii="Times New Roman" w:hAnsi="Times New Roman" w:cs="Times New Roman"/>
          <w:color w:val="auto"/>
          <w:highlight w:val="none"/>
          <w:lang w:val="en-US" w:eastAsia="zh-CN"/>
        </w:rPr>
        <w:t>本次建设区域</w:t>
      </w:r>
      <w:r>
        <w:rPr>
          <w:rFonts w:hint="default" w:ascii="Times New Roman" w:hAnsi="Times New Roman" w:cs="Times New Roman"/>
          <w:color w:val="auto"/>
          <w:highlight w:val="none"/>
          <w:lang w:val="en-US" w:eastAsia="zh-CN"/>
        </w:rPr>
        <w:t>分区防渗图</w:t>
      </w:r>
      <w:bookmarkEnd w:id="701"/>
    </w:p>
    <w:p w14:paraId="737AC0AC">
      <w:pPr>
        <w:pStyle w:val="67"/>
        <w:spacing w:line="240" w:lineRule="auto"/>
        <w:ind w:firstLine="0" w:firstLineChars="0"/>
        <w:jc w:val="left"/>
        <w:rPr>
          <w:rFonts w:hint="default" w:ascii="Times New Roman" w:hAnsi="Times New Roman" w:eastAsia="黑体" w:cs="Times New Roman"/>
          <w:color w:val="auto"/>
          <w:highlight w:val="none"/>
          <w:lang w:val="en-US" w:eastAsia="zh-CN"/>
        </w:rPr>
      </w:pPr>
      <w:r>
        <w:rPr>
          <w:color w:val="auto"/>
          <w:highlight w:val="none"/>
        </w:rPr>
        <w:drawing>
          <wp:anchor distT="0" distB="0" distL="114300" distR="114300" simplePos="0" relativeHeight="251741184" behindDoc="0" locked="0" layoutInCell="1" allowOverlap="1">
            <wp:simplePos x="0" y="0"/>
            <wp:positionH relativeFrom="column">
              <wp:posOffset>3175</wp:posOffset>
            </wp:positionH>
            <wp:positionV relativeFrom="paragraph">
              <wp:posOffset>9525</wp:posOffset>
            </wp:positionV>
            <wp:extent cx="434340" cy="440690"/>
            <wp:effectExtent l="0" t="0" r="3810" b="16510"/>
            <wp:wrapNone/>
            <wp:docPr id="1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
                    <pic:cNvPicPr>
                      <a:picLocks noChangeAspect="1"/>
                    </pic:cNvPicPr>
                  </pic:nvPicPr>
                  <pic:blipFill>
                    <a:blip r:embed="rId50"/>
                    <a:stretch>
                      <a:fillRect/>
                    </a:stretch>
                  </pic:blipFill>
                  <pic:spPr>
                    <a:xfrm>
                      <a:off x="0" y="0"/>
                      <a:ext cx="434340" cy="440690"/>
                    </a:xfrm>
                    <a:prstGeom prst="rect">
                      <a:avLst/>
                    </a:prstGeom>
                    <a:noFill/>
                    <a:ln>
                      <a:noFill/>
                    </a:ln>
                  </pic:spPr>
                </pic:pic>
              </a:graphicData>
            </a:graphic>
          </wp:anchor>
        </w:drawing>
      </w:r>
      <w:r>
        <w:rPr>
          <w:color w:val="auto"/>
          <w:highlight w:val="none"/>
        </w:rPr>
        <w:drawing>
          <wp:anchor distT="0" distB="0" distL="114300" distR="114300" simplePos="0" relativeHeight="251716608" behindDoc="0" locked="0" layoutInCell="1" allowOverlap="1">
            <wp:simplePos x="0" y="0"/>
            <wp:positionH relativeFrom="column">
              <wp:posOffset>4475480</wp:posOffset>
            </wp:positionH>
            <wp:positionV relativeFrom="paragraph">
              <wp:posOffset>4984750</wp:posOffset>
            </wp:positionV>
            <wp:extent cx="295275" cy="171450"/>
            <wp:effectExtent l="0" t="0" r="9525" b="0"/>
            <wp:wrapNone/>
            <wp:docPr id="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pic:cNvPicPr>
                      <a:picLocks noChangeAspect="1"/>
                    </pic:cNvPicPr>
                  </pic:nvPicPr>
                  <pic:blipFill>
                    <a:blip r:embed="rId114"/>
                    <a:stretch>
                      <a:fillRect/>
                    </a:stretch>
                  </pic:blipFill>
                  <pic:spPr>
                    <a:xfrm>
                      <a:off x="0" y="0"/>
                      <a:ext cx="295275" cy="17145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4430395</wp:posOffset>
                </wp:positionH>
                <wp:positionV relativeFrom="paragraph">
                  <wp:posOffset>4121785</wp:posOffset>
                </wp:positionV>
                <wp:extent cx="1198245" cy="1240155"/>
                <wp:effectExtent l="4445" t="4445" r="16510" b="12700"/>
                <wp:wrapNone/>
                <wp:docPr id="69" name="文本框 69"/>
                <wp:cNvGraphicFramePr/>
                <a:graphic xmlns:a="http://schemas.openxmlformats.org/drawingml/2006/main">
                  <a:graphicData uri="http://schemas.microsoft.com/office/word/2010/wordprocessingShape">
                    <wps:wsp>
                      <wps:cNvSpPr txBox="1"/>
                      <wps:spPr>
                        <a:xfrm>
                          <a:off x="5183505" y="5680710"/>
                          <a:ext cx="1198245" cy="1240155"/>
                        </a:xfrm>
                        <a:prstGeom prst="rect">
                          <a:avLst/>
                        </a:prstGeom>
                        <a:solidFill>
                          <a:schemeClr val="bg1">
                            <a:lumMod val="8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D75D03">
                            <w:pPr>
                              <w:ind w:left="0" w:leftChars="0" w:firstLine="0" w:firstLineChars="0"/>
                              <w:jc w:val="center"/>
                              <w:rPr>
                                <w:rFonts w:hint="eastAsia"/>
                                <w:sz w:val="22"/>
                                <w:szCs w:val="21"/>
                                <w:lang w:val="en-US" w:eastAsia="zh-CN"/>
                              </w:rPr>
                            </w:pPr>
                            <w:r>
                              <w:rPr>
                                <w:rFonts w:hint="eastAsia"/>
                                <w:sz w:val="22"/>
                                <w:szCs w:val="21"/>
                                <w:lang w:val="en-US" w:eastAsia="zh-CN"/>
                              </w:rPr>
                              <w:t>图例</w:t>
                            </w:r>
                          </w:p>
                          <w:p w14:paraId="5532721D">
                            <w:pPr>
                              <w:rPr>
                                <w:rFonts w:hint="eastAsia"/>
                                <w:sz w:val="22"/>
                                <w:szCs w:val="21"/>
                                <w:lang w:val="en-US" w:eastAsia="zh-CN"/>
                              </w:rPr>
                            </w:pPr>
                            <w:r>
                              <w:rPr>
                                <w:rFonts w:hint="eastAsia"/>
                                <w:sz w:val="22"/>
                                <w:szCs w:val="21"/>
                                <w:lang w:val="en-US" w:eastAsia="zh-CN"/>
                              </w:rPr>
                              <w:t>：重点防渗</w:t>
                            </w:r>
                          </w:p>
                          <w:p w14:paraId="1E22DB68">
                            <w:pPr>
                              <w:rPr>
                                <w:rFonts w:hint="eastAsia"/>
                                <w:sz w:val="22"/>
                                <w:szCs w:val="21"/>
                                <w:lang w:val="en-US" w:eastAsia="zh-CN"/>
                              </w:rPr>
                            </w:pPr>
                            <w:r>
                              <w:rPr>
                                <w:rFonts w:hint="eastAsia"/>
                                <w:sz w:val="22"/>
                                <w:szCs w:val="21"/>
                                <w:lang w:val="en-US" w:eastAsia="zh-CN"/>
                              </w:rPr>
                              <w:t>：一般防渗</w:t>
                            </w:r>
                          </w:p>
                          <w:p w14:paraId="0C2BB62B">
                            <w:pPr>
                              <w:rPr>
                                <w:rFonts w:hint="default"/>
                                <w:sz w:val="22"/>
                                <w:szCs w:val="21"/>
                                <w:lang w:val="en-US" w:eastAsia="zh-CN"/>
                              </w:rPr>
                            </w:pPr>
                            <w:r>
                              <w:rPr>
                                <w:rFonts w:hint="eastAsia"/>
                                <w:sz w:val="22"/>
                                <w:szCs w:val="21"/>
                                <w:lang w:val="en-US" w:eastAsia="zh-CN"/>
                              </w:rPr>
                              <w:t>：简单防渗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85pt;margin-top:324.55pt;height:97.65pt;width:94.35pt;z-index:251709440;mso-width-relative:page;mso-height-relative:page;" fillcolor="#D9D9D9 [2732]" filled="t" stroked="t" coordsize="21600,21600" o:gfxdata="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yuJVdtgAAAALAQAADwAAAAAAAAABACAAAAAiAAAA&#10;ZHJzL2Rvd25yZXYueG1sUEsBAhQAFAAAAAgAh07iQBBLXBt5AgAA6AQAAA4AAAAAAAAAAQAgAAAA&#10;JwEAAGRycy9lMm9Eb2MueG1sUEsFBgAAAAAGAAYAWQEAABIGAAAAAA==&#10;">
                <v:fill on="t" focussize="0,0"/>
                <v:stroke weight="0.5pt" color="#000000 [3204]" joinstyle="round"/>
                <v:imagedata o:title=""/>
                <o:lock v:ext="edit" aspectratio="f"/>
                <v:textbox>
                  <w:txbxContent>
                    <w:p w14:paraId="50D75D03">
                      <w:pPr>
                        <w:ind w:left="0" w:leftChars="0" w:firstLine="0" w:firstLineChars="0"/>
                        <w:jc w:val="center"/>
                        <w:rPr>
                          <w:rFonts w:hint="eastAsia"/>
                          <w:sz w:val="22"/>
                          <w:szCs w:val="21"/>
                          <w:lang w:val="en-US" w:eastAsia="zh-CN"/>
                        </w:rPr>
                      </w:pPr>
                      <w:r>
                        <w:rPr>
                          <w:rFonts w:hint="eastAsia"/>
                          <w:sz w:val="22"/>
                          <w:szCs w:val="21"/>
                          <w:lang w:val="en-US" w:eastAsia="zh-CN"/>
                        </w:rPr>
                        <w:t>图例</w:t>
                      </w:r>
                    </w:p>
                    <w:p w14:paraId="5532721D">
                      <w:pPr>
                        <w:rPr>
                          <w:rFonts w:hint="eastAsia"/>
                          <w:sz w:val="22"/>
                          <w:szCs w:val="21"/>
                          <w:lang w:val="en-US" w:eastAsia="zh-CN"/>
                        </w:rPr>
                      </w:pPr>
                      <w:r>
                        <w:rPr>
                          <w:rFonts w:hint="eastAsia"/>
                          <w:sz w:val="22"/>
                          <w:szCs w:val="21"/>
                          <w:lang w:val="en-US" w:eastAsia="zh-CN"/>
                        </w:rPr>
                        <w:t>：重点防渗</w:t>
                      </w:r>
                    </w:p>
                    <w:p w14:paraId="1E22DB68">
                      <w:pPr>
                        <w:rPr>
                          <w:rFonts w:hint="eastAsia"/>
                          <w:sz w:val="22"/>
                          <w:szCs w:val="21"/>
                          <w:lang w:val="en-US" w:eastAsia="zh-CN"/>
                        </w:rPr>
                      </w:pPr>
                      <w:r>
                        <w:rPr>
                          <w:rFonts w:hint="eastAsia"/>
                          <w:sz w:val="22"/>
                          <w:szCs w:val="21"/>
                          <w:lang w:val="en-US" w:eastAsia="zh-CN"/>
                        </w:rPr>
                        <w:t>：一般防渗</w:t>
                      </w:r>
                    </w:p>
                    <w:p w14:paraId="0C2BB62B">
                      <w:pPr>
                        <w:rPr>
                          <w:rFonts w:hint="default"/>
                          <w:sz w:val="22"/>
                          <w:szCs w:val="21"/>
                          <w:lang w:val="en-US" w:eastAsia="zh-CN"/>
                        </w:rPr>
                      </w:pPr>
                      <w:r>
                        <w:rPr>
                          <w:rFonts w:hint="eastAsia"/>
                          <w:sz w:val="22"/>
                          <w:szCs w:val="21"/>
                          <w:lang w:val="en-US" w:eastAsia="zh-CN"/>
                        </w:rPr>
                        <w:t>：简单防渗</w:t>
                      </w:r>
                    </w:p>
                  </w:txbxContent>
                </v:textbox>
              </v:shape>
            </w:pict>
          </mc:Fallback>
        </mc:AlternateContent>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4493260</wp:posOffset>
                </wp:positionH>
                <wp:positionV relativeFrom="paragraph">
                  <wp:posOffset>4736465</wp:posOffset>
                </wp:positionV>
                <wp:extent cx="259715" cy="156210"/>
                <wp:effectExtent l="6350" t="6350" r="19685" b="8890"/>
                <wp:wrapNone/>
                <wp:docPr id="75" name="矩形 75"/>
                <wp:cNvGraphicFramePr/>
                <a:graphic xmlns:a="http://schemas.openxmlformats.org/drawingml/2006/main">
                  <a:graphicData uri="http://schemas.microsoft.com/office/word/2010/wordprocessingShape">
                    <wps:wsp>
                      <wps:cNvSpPr/>
                      <wps:spPr>
                        <a:xfrm>
                          <a:off x="0" y="0"/>
                          <a:ext cx="259715" cy="156210"/>
                        </a:xfrm>
                        <a:prstGeom prst="rect">
                          <a:avLst/>
                        </a:prstGeom>
                        <a:solidFill>
                          <a:schemeClr val="accent1">
                            <a:alpha val="71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3.8pt;margin-top:372.95pt;height:12.3pt;width:20.45pt;z-index:251711488;v-text-anchor:middle;mso-width-relative:page;mso-height-relative:page;" fillcolor="#4472C4 [3204]" filled="t" stroked="t" coordsize="21600,21600" o:gfxdata="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BGEHz3AAA&#10;AAsBAAAPAAAAAAAAAAEAIAAAACIAAABkcnMvZG93bnJldi54bWxQSwECFAAUAAAACACHTuJAxUCg&#10;iowCAAA4BQAADgAAAAAAAAABACAAAAArAQAAZHJzL2Uyb0RvYy54bWxQSwUGAAAAAAYABgBZAQAA&#10;KQYAAAAA&#10;">
                <v:fill on="t" opacity="46530f" focussize="0,0"/>
                <v:stroke weight="1pt" color="#2F5597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4497070</wp:posOffset>
                </wp:positionH>
                <wp:positionV relativeFrom="paragraph">
                  <wp:posOffset>4443730</wp:posOffset>
                </wp:positionV>
                <wp:extent cx="259715" cy="156210"/>
                <wp:effectExtent l="6350" t="6350" r="19685" b="8890"/>
                <wp:wrapNone/>
                <wp:docPr id="74" name="矩形 74"/>
                <wp:cNvGraphicFramePr/>
                <a:graphic xmlns:a="http://schemas.openxmlformats.org/drawingml/2006/main">
                  <a:graphicData uri="http://schemas.microsoft.com/office/word/2010/wordprocessingShape">
                    <wps:wsp>
                      <wps:cNvSpPr/>
                      <wps:spPr>
                        <a:xfrm>
                          <a:off x="5287645" y="6069965"/>
                          <a:ext cx="259715" cy="156210"/>
                        </a:xfrm>
                        <a:prstGeom prst="rect">
                          <a:avLst/>
                        </a:prstGeom>
                        <a:solidFill>
                          <a:srgbClr val="FF0000">
                            <a:alpha val="71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4.1pt;margin-top:349.9pt;height:12.3pt;width:20.45pt;z-index:251710464;v-text-anchor:middle;mso-width-relative:page;mso-height-relative:page;" fillcolor="#FF0000" filled="t" stroked="t" coordsize="21600,21600" o:gfxdata="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YZuS2AAAAAsB&#10;AAAPAAAAAAAAAAEAIAAAACIAAABkcnMvZG93bnJldi54bWxQSwECFAAUAAAACACHTuJAisjxZo0C&#10;AAAiBQAADgAAAAAAAAABACAAAAAnAQAAZHJzL2Uyb0RvYy54bWxQSwUGAAAAAAYABgBZAQAAJgYA&#10;AAAA&#10;">
                <v:fill on="t" opacity="46530f" focussize="0,0"/>
                <v:stroke weight="1pt" color="#FF0000 [2404]" miterlimit="8"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2378075</wp:posOffset>
                </wp:positionH>
                <wp:positionV relativeFrom="paragraph">
                  <wp:posOffset>71120</wp:posOffset>
                </wp:positionV>
                <wp:extent cx="78105" cy="95250"/>
                <wp:effectExtent l="6985" t="6350" r="10160" b="12700"/>
                <wp:wrapNone/>
                <wp:docPr id="68" name="任意多边形 68"/>
                <wp:cNvGraphicFramePr/>
                <a:graphic xmlns:a="http://schemas.openxmlformats.org/drawingml/2006/main">
                  <a:graphicData uri="http://schemas.microsoft.com/office/word/2010/wordprocessingShape">
                    <wps:wsp>
                      <wps:cNvSpPr/>
                      <wps:spPr>
                        <a:xfrm>
                          <a:off x="0" y="0"/>
                          <a:ext cx="78105" cy="95250"/>
                        </a:xfrm>
                        <a:custGeom>
                          <a:avLst/>
                          <a:gdLst>
                            <a:gd name="connisteX0" fmla="*/ 0 w 78105"/>
                            <a:gd name="connsiteY0" fmla="*/ 0 h 95250"/>
                            <a:gd name="connisteX1" fmla="*/ 69215 w 78105"/>
                            <a:gd name="connsiteY1" fmla="*/ 0 h 95250"/>
                            <a:gd name="connisteX2" fmla="*/ 78105 w 78105"/>
                            <a:gd name="connsiteY2" fmla="*/ 95250 h 95250"/>
                            <a:gd name="connisteX3" fmla="*/ 8255 w 78105"/>
                            <a:gd name="connsiteY3" fmla="*/ 86360 h 95250"/>
                            <a:gd name="connisteX4" fmla="*/ 0 w 78105"/>
                            <a:gd name="connsiteY4" fmla="*/ 0 h 95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8105" h="95250">
                              <a:moveTo>
                                <a:pt x="0" y="0"/>
                              </a:moveTo>
                              <a:lnTo>
                                <a:pt x="69215" y="0"/>
                              </a:lnTo>
                              <a:lnTo>
                                <a:pt x="78105" y="95250"/>
                              </a:lnTo>
                              <a:lnTo>
                                <a:pt x="8255" y="86360"/>
                              </a:lnTo>
                              <a:lnTo>
                                <a:pt x="0" y="0"/>
                              </a:lnTo>
                              <a:close/>
                            </a:path>
                          </a:pathLst>
                        </a:cu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7.25pt;margin-top:5.6pt;height:7.5pt;width:6.15pt;z-index:251708416;mso-width-relative:page;mso-height-relative:page;" fillcolor="#FF0000" filled="t" stroked="t" coordsize="78105,95250" o:gfxdata="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kT2a&#10;U9sAAAAJAQAADwAAAAAAAAABACAAAAAiAAAAZHJzL2Rvd25yZXYueG1sUEsBAhQAFAAAAAgAh07i&#10;QDTH+ogDAwAAPQgAAA4AAAAAAAAAAQAgAAAAKgEAAGRycy9lMm9Eb2MueG1sUEsFBgAAAAAGAAYA&#10;WQEAAJ8GAAAAAA==&#10;" path="m0,0l69215,0,78105,95250,8255,86360,0,0xe">
                <v:path o:connectlocs="0,0;69215,0;78105,95250;8255,86360;0,0" o:connectangles="0,0,0,0,0"/>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1446530</wp:posOffset>
                </wp:positionH>
                <wp:positionV relativeFrom="paragraph">
                  <wp:posOffset>878205</wp:posOffset>
                </wp:positionV>
                <wp:extent cx="78105" cy="95250"/>
                <wp:effectExtent l="6985" t="6350" r="10160" b="12700"/>
                <wp:wrapNone/>
                <wp:docPr id="67" name="任意多边形 67"/>
                <wp:cNvGraphicFramePr/>
                <a:graphic xmlns:a="http://schemas.openxmlformats.org/drawingml/2006/main">
                  <a:graphicData uri="http://schemas.microsoft.com/office/word/2010/wordprocessingShape">
                    <wps:wsp>
                      <wps:cNvSpPr/>
                      <wps:spPr>
                        <a:xfrm>
                          <a:off x="2360930" y="2218690"/>
                          <a:ext cx="78105" cy="95250"/>
                        </a:xfrm>
                        <a:custGeom>
                          <a:avLst/>
                          <a:gdLst>
                            <a:gd name="connisteX0" fmla="*/ 0 w 78105"/>
                            <a:gd name="connsiteY0" fmla="*/ 0 h 95250"/>
                            <a:gd name="connisteX1" fmla="*/ 69215 w 78105"/>
                            <a:gd name="connsiteY1" fmla="*/ 0 h 95250"/>
                            <a:gd name="connisteX2" fmla="*/ 78105 w 78105"/>
                            <a:gd name="connsiteY2" fmla="*/ 95250 h 95250"/>
                            <a:gd name="connisteX3" fmla="*/ 8255 w 78105"/>
                            <a:gd name="connsiteY3" fmla="*/ 86360 h 95250"/>
                            <a:gd name="connisteX4" fmla="*/ 0 w 78105"/>
                            <a:gd name="connsiteY4" fmla="*/ 0 h 95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8105" h="95250">
                              <a:moveTo>
                                <a:pt x="0" y="0"/>
                              </a:moveTo>
                              <a:lnTo>
                                <a:pt x="69215" y="0"/>
                              </a:lnTo>
                              <a:lnTo>
                                <a:pt x="78105" y="95250"/>
                              </a:lnTo>
                              <a:lnTo>
                                <a:pt x="8255" y="86360"/>
                              </a:lnTo>
                              <a:lnTo>
                                <a:pt x="0" y="0"/>
                              </a:lnTo>
                              <a:close/>
                            </a:path>
                          </a:pathLst>
                        </a:cu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3.9pt;margin-top:69.15pt;height:7.5pt;width:6.15pt;z-index:251707392;mso-width-relative:page;mso-height-relative:page;" fillcolor="#FF0000" filled="t" stroked="t" coordsize="78105,95250" o:gfxdata="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o2Q6q9wAAAALAQAADwAAAAAAAAABACAAAAAiAAAAZHJzL2Rvd25yZXYueG1s&#10;UEsBAhQAFAAAAAgAh07iQHx2kj4RAwAASQgAAA4AAAAAAAAAAQAgAAAAKwEAAGRycy9lMm9Eb2Mu&#10;eG1sUEsFBgAAAAAGAAYAWQEAAK4GAAAAAA==&#10;" path="m0,0l69215,0,78105,95250,8255,86360,0,0xe">
                <v:path o:connectlocs="0,0;69215,0;78105,95250;8255,86360;0,0" o:connectangles="0,0,0,0,0"/>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346710</wp:posOffset>
                </wp:positionH>
                <wp:positionV relativeFrom="paragraph">
                  <wp:posOffset>52070</wp:posOffset>
                </wp:positionV>
                <wp:extent cx="5247640" cy="4222115"/>
                <wp:effectExtent l="6350" t="6350" r="22860" b="19685"/>
                <wp:wrapNone/>
                <wp:docPr id="66" name="任意多边形 66"/>
                <wp:cNvGraphicFramePr/>
                <a:graphic xmlns:a="http://schemas.openxmlformats.org/drawingml/2006/main">
                  <a:graphicData uri="http://schemas.microsoft.com/office/word/2010/wordprocessingShape">
                    <wps:wsp>
                      <wps:cNvSpPr/>
                      <wps:spPr>
                        <a:xfrm>
                          <a:off x="1261110" y="1392555"/>
                          <a:ext cx="5247640" cy="4222115"/>
                        </a:xfrm>
                        <a:custGeom>
                          <a:avLst/>
                          <a:gdLst>
                            <a:gd name="connisteX0" fmla="*/ 104140 w 5247640"/>
                            <a:gd name="connsiteY0" fmla="*/ 4171950 h 4222115"/>
                            <a:gd name="connisteX1" fmla="*/ 199390 w 5247640"/>
                            <a:gd name="connsiteY1" fmla="*/ 4171950 h 4222115"/>
                            <a:gd name="connisteX2" fmla="*/ 328930 w 5247640"/>
                            <a:gd name="connsiteY2" fmla="*/ 4171950 h 4222115"/>
                            <a:gd name="connisteX3" fmla="*/ 407035 w 5247640"/>
                            <a:gd name="connsiteY3" fmla="*/ 4171950 h 4222115"/>
                            <a:gd name="connisteX4" fmla="*/ 493395 w 5247640"/>
                            <a:gd name="connsiteY4" fmla="*/ 4171950 h 4222115"/>
                            <a:gd name="connisteX5" fmla="*/ 580390 w 5247640"/>
                            <a:gd name="connsiteY5" fmla="*/ 4171950 h 4222115"/>
                            <a:gd name="connisteX6" fmla="*/ 666750 w 5247640"/>
                            <a:gd name="connsiteY6" fmla="*/ 4171950 h 4222115"/>
                            <a:gd name="connisteX7" fmla="*/ 744855 w 5247640"/>
                            <a:gd name="connsiteY7" fmla="*/ 4171950 h 4222115"/>
                            <a:gd name="connisteX8" fmla="*/ 814070 w 5247640"/>
                            <a:gd name="connsiteY8" fmla="*/ 4180840 h 4222115"/>
                            <a:gd name="connisteX9" fmla="*/ 883285 w 5247640"/>
                            <a:gd name="connsiteY9" fmla="*/ 4180840 h 4222115"/>
                            <a:gd name="connisteX10" fmla="*/ 969645 w 5247640"/>
                            <a:gd name="connsiteY10" fmla="*/ 4189095 h 4222115"/>
                            <a:gd name="connisteX11" fmla="*/ 1705610 w 5247640"/>
                            <a:gd name="connsiteY11" fmla="*/ 4171950 h 4222115"/>
                            <a:gd name="connisteX12" fmla="*/ 1783715 w 5247640"/>
                            <a:gd name="connsiteY12" fmla="*/ 3617595 h 4222115"/>
                            <a:gd name="connisteX13" fmla="*/ 3498215 w 5247640"/>
                            <a:gd name="connsiteY13" fmla="*/ 3609340 h 4222115"/>
                            <a:gd name="connisteX14" fmla="*/ 3541395 w 5247640"/>
                            <a:gd name="connsiteY14" fmla="*/ 2029460 h 4222115"/>
                            <a:gd name="connisteX15" fmla="*/ 5247640 w 5247640"/>
                            <a:gd name="connsiteY15" fmla="*/ 2012315 h 4222115"/>
                            <a:gd name="connisteX16" fmla="*/ 5195570 w 5247640"/>
                            <a:gd name="connsiteY16" fmla="*/ 60960 h 4222115"/>
                            <a:gd name="connisteX17" fmla="*/ 3498215 w 5247640"/>
                            <a:gd name="connsiteY17" fmla="*/ 0 h 4222115"/>
                            <a:gd name="connisteX18" fmla="*/ 3507105 w 5247640"/>
                            <a:gd name="connsiteY18" fmla="*/ 701675 h 4222115"/>
                            <a:gd name="connisteX19" fmla="*/ 1757680 w 5247640"/>
                            <a:gd name="connsiteY19" fmla="*/ 683895 h 4222115"/>
                            <a:gd name="connisteX20" fmla="*/ 1766570 w 5247640"/>
                            <a:gd name="connsiteY20" fmla="*/ 1194435 h 4222115"/>
                            <a:gd name="connisteX21" fmla="*/ 0 w 5247640"/>
                            <a:gd name="connsiteY21" fmla="*/ 1177925 h 4222115"/>
                            <a:gd name="connisteX22" fmla="*/ 26035 w 5247640"/>
                            <a:gd name="connsiteY22" fmla="*/ 4222115 h 4222115"/>
                            <a:gd name="connisteX23" fmla="*/ 173355 w 5247640"/>
                            <a:gd name="connsiteY23" fmla="*/ 4170045 h 42221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5247640" h="4222115">
                              <a:moveTo>
                                <a:pt x="104140" y="4171950"/>
                              </a:moveTo>
                              <a:lnTo>
                                <a:pt x="199390" y="4171950"/>
                              </a:lnTo>
                              <a:lnTo>
                                <a:pt x="328930" y="4171950"/>
                              </a:lnTo>
                              <a:lnTo>
                                <a:pt x="407035" y="4171950"/>
                              </a:lnTo>
                              <a:lnTo>
                                <a:pt x="493395" y="4171950"/>
                              </a:lnTo>
                              <a:lnTo>
                                <a:pt x="580390" y="4171950"/>
                              </a:lnTo>
                              <a:lnTo>
                                <a:pt x="666750" y="4171950"/>
                              </a:lnTo>
                              <a:lnTo>
                                <a:pt x="744855" y="4171950"/>
                              </a:lnTo>
                              <a:lnTo>
                                <a:pt x="814070" y="4180840"/>
                              </a:lnTo>
                              <a:lnTo>
                                <a:pt x="883285" y="4180840"/>
                              </a:lnTo>
                              <a:lnTo>
                                <a:pt x="969645" y="4189095"/>
                              </a:lnTo>
                              <a:lnTo>
                                <a:pt x="1705610" y="4171950"/>
                              </a:lnTo>
                              <a:lnTo>
                                <a:pt x="1783715" y="3617595"/>
                              </a:lnTo>
                              <a:lnTo>
                                <a:pt x="3498215" y="3609340"/>
                              </a:lnTo>
                              <a:lnTo>
                                <a:pt x="3541395" y="2029460"/>
                              </a:lnTo>
                              <a:lnTo>
                                <a:pt x="5247640" y="2012315"/>
                              </a:lnTo>
                              <a:lnTo>
                                <a:pt x="5195570" y="60960"/>
                              </a:lnTo>
                              <a:lnTo>
                                <a:pt x="3498215" y="0"/>
                              </a:lnTo>
                              <a:lnTo>
                                <a:pt x="3507105" y="701675"/>
                              </a:lnTo>
                              <a:lnTo>
                                <a:pt x="1757680" y="683895"/>
                              </a:lnTo>
                              <a:lnTo>
                                <a:pt x="1766570" y="1194435"/>
                              </a:lnTo>
                              <a:lnTo>
                                <a:pt x="0" y="1177925"/>
                              </a:lnTo>
                              <a:lnTo>
                                <a:pt x="26035" y="4222115"/>
                              </a:lnTo>
                              <a:lnTo>
                                <a:pt x="173355" y="4170045"/>
                              </a:lnTo>
                            </a:path>
                          </a:pathLst>
                        </a:custGeom>
                        <a:solidFill>
                          <a:schemeClr val="accent1">
                            <a:alpha val="82000"/>
                          </a:schemeClr>
                        </a:solid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3pt;margin-top:4.1pt;height:332.45pt;width:413.2pt;z-index:251706368;mso-width-relative:page;mso-height-relative:page;" fillcolor="#4472C4 [3204]" filled="t" stroked="t" coordsize="5247640,4222115" o:gfxdata="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" path="m104140,4171950l199390,4171950,328930,4171950,407035,4171950,493395,4171950,580390,4171950,666750,4171950,744855,4171950,814070,4180840,883285,4180840,969645,4189095,1705610,4171950,1783715,3617595,3498215,3609340,3541395,2029460,5247640,2012315,5195570,60960,3498215,0,3507105,701675,1757680,683895,1766570,1194435,0,1177925,26035,4222115,173355,4170045e">
                <v:path o:connectlocs="104140,4171950;199390,4171950;328930,4171950;407035,4171950;493395,4171950;580390,4171950;666750,4171950;744855,4171950;814070,4180840;883285,4180840;969645,4189095;1705610,4171950;1783715,3617595;3498215,3609340;3541395,2029460;5247640,2012315;5195570,60960;3498215,0;3507105,701675;1757680,683895;1766570,1194435;0,1177925;26035,4222115;173355,4170045" o:connectangles="0,0,0,0,0,0,0,0,0,0,0,0,0,0,0,0,0,0,0,0,0,0,0,0"/>
                <v:fill on="t" opacity="53739f" focussize="0,0"/>
                <v:stroke weight="1pt" color="#4472C4 [32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3045460</wp:posOffset>
                </wp:positionH>
                <wp:positionV relativeFrom="paragraph">
                  <wp:posOffset>4046220</wp:posOffset>
                </wp:positionV>
                <wp:extent cx="735965" cy="241935"/>
                <wp:effectExtent l="0" t="6350" r="6985" b="18415"/>
                <wp:wrapNone/>
                <wp:docPr id="65" name="任意多边形 65"/>
                <wp:cNvGraphicFramePr/>
                <a:graphic xmlns:a="http://schemas.openxmlformats.org/drawingml/2006/main">
                  <a:graphicData uri="http://schemas.microsoft.com/office/word/2010/wordprocessingShape">
                    <wps:wsp>
                      <wps:cNvSpPr/>
                      <wps:spPr>
                        <a:xfrm>
                          <a:off x="0" y="0"/>
                          <a:ext cx="735965" cy="241935"/>
                        </a:xfrm>
                        <a:custGeom>
                          <a:avLst/>
                          <a:gdLst>
                            <a:gd name="connisteX0" fmla="*/ 8255 w 735965"/>
                            <a:gd name="connsiteY0" fmla="*/ 241935 h 241935"/>
                            <a:gd name="connisteX1" fmla="*/ 735965 w 735965"/>
                            <a:gd name="connsiteY1" fmla="*/ 241935 h 241935"/>
                            <a:gd name="connisteX2" fmla="*/ 735965 w 735965"/>
                            <a:gd name="connsiteY2" fmla="*/ 17145 h 241935"/>
                            <a:gd name="connisteX3" fmla="*/ 0 w 735965"/>
                            <a:gd name="connsiteY3" fmla="*/ 0 h 241935"/>
                          </a:gdLst>
                          <a:ahLst/>
                          <a:cxnLst>
                            <a:cxn ang="0">
                              <a:pos x="connisteX0" y="connsiteY0"/>
                            </a:cxn>
                            <a:cxn ang="0">
                              <a:pos x="connisteX1" y="connsiteY1"/>
                            </a:cxn>
                            <a:cxn ang="0">
                              <a:pos x="connisteX2" y="connsiteY2"/>
                            </a:cxn>
                            <a:cxn ang="0">
                              <a:pos x="connisteX3" y="connsiteY3"/>
                            </a:cxn>
                          </a:cxnLst>
                          <a:rect l="l" t="t" r="r" b="b"/>
                          <a:pathLst>
                            <a:path w="735965" h="241935">
                              <a:moveTo>
                                <a:pt x="8255" y="241935"/>
                              </a:moveTo>
                              <a:lnTo>
                                <a:pt x="735965" y="241935"/>
                              </a:lnTo>
                              <a:lnTo>
                                <a:pt x="735965" y="17145"/>
                              </a:lnTo>
                              <a:lnTo>
                                <a:pt x="0" y="0"/>
                              </a:lnTo>
                            </a:path>
                          </a:pathLst>
                        </a:custGeom>
                        <a:solidFill>
                          <a:srgbClr val="FF0000">
                            <a:alpha val="7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9.8pt;margin-top:318.6pt;height:19.05pt;width:57.95pt;z-index:251705344;mso-width-relative:page;mso-height-relative:page;" fillcolor="#FF0000" filled="t" stroked="t" coordsize="735965,241935" o:gfxdata="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xtd4ntoAAAALAQAADwAAAAAA&#10;AAABACAAAAAiAAAAZHJzL2Rvd25yZXYueG1sUEsBAhQAFAAAAAgAh07iQOJNyHn1AgAAtQcAAA4A&#10;AAAAAAAAAQAgAAAAKQEAAGRycy9lMm9Eb2MueG1sUEsFBgAAAAAGAAYAWQEAAJAGAAAAAA==&#10;" path="m8255,241935l735965,241935,735965,17145,0,0e">
                <v:path o:connectlocs="8255,241935;735965,241935;735965,17145;0,0" o:connectangles="0,0,0,0"/>
                <v:fill on="t" opacity="49152f"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2165350</wp:posOffset>
                </wp:positionH>
                <wp:positionV relativeFrom="paragraph">
                  <wp:posOffset>4023360</wp:posOffset>
                </wp:positionV>
                <wp:extent cx="735965" cy="241935"/>
                <wp:effectExtent l="0" t="0" r="6985" b="19050"/>
                <wp:wrapNone/>
                <wp:docPr id="64" name="任意多边形 64"/>
                <wp:cNvGraphicFramePr/>
                <a:graphic xmlns:a="http://schemas.openxmlformats.org/drawingml/2006/main">
                  <a:graphicData uri="http://schemas.microsoft.com/office/word/2010/wordprocessingShape">
                    <wps:wsp>
                      <wps:cNvSpPr/>
                      <wps:spPr>
                        <a:xfrm>
                          <a:off x="3079750" y="5363845"/>
                          <a:ext cx="735965" cy="241935"/>
                        </a:xfrm>
                        <a:custGeom>
                          <a:avLst/>
                          <a:gdLst>
                            <a:gd name="connisteX0" fmla="*/ 8255 w 735965"/>
                            <a:gd name="connsiteY0" fmla="*/ 241935 h 241935"/>
                            <a:gd name="connisteX1" fmla="*/ 735965 w 735965"/>
                            <a:gd name="connsiteY1" fmla="*/ 241935 h 241935"/>
                            <a:gd name="connisteX2" fmla="*/ 735965 w 735965"/>
                            <a:gd name="connsiteY2" fmla="*/ 17145 h 241935"/>
                            <a:gd name="connisteX3" fmla="*/ 0 w 735965"/>
                            <a:gd name="connsiteY3" fmla="*/ 0 h 241935"/>
                          </a:gdLst>
                          <a:ahLst/>
                          <a:cxnLst>
                            <a:cxn ang="0">
                              <a:pos x="connisteX0" y="connsiteY0"/>
                            </a:cxn>
                            <a:cxn ang="0">
                              <a:pos x="connisteX1" y="connsiteY1"/>
                            </a:cxn>
                            <a:cxn ang="0">
                              <a:pos x="connisteX2" y="connsiteY2"/>
                            </a:cxn>
                            <a:cxn ang="0">
                              <a:pos x="connisteX3" y="connsiteY3"/>
                            </a:cxn>
                          </a:cxnLst>
                          <a:rect l="l" t="t" r="r" b="b"/>
                          <a:pathLst>
                            <a:path w="735965" h="241935">
                              <a:moveTo>
                                <a:pt x="8255" y="241935"/>
                              </a:moveTo>
                              <a:lnTo>
                                <a:pt x="735965" y="241935"/>
                              </a:lnTo>
                              <a:lnTo>
                                <a:pt x="735965" y="17145"/>
                              </a:lnTo>
                              <a:lnTo>
                                <a:pt x="0" y="0"/>
                              </a:lnTo>
                            </a:path>
                          </a:pathLst>
                        </a:custGeom>
                        <a:solidFill>
                          <a:srgbClr val="FF0000">
                            <a:alpha val="7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0.5pt;margin-top:316.8pt;height:19.05pt;width:57.95pt;z-index:251704320;mso-width-relative:page;mso-height-relative:page;" fillcolor="#FF0000" filled="t" stroked="t" coordsize="735965,241935" o:gfxdata="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Jdr&#10;Kh/bAAAACwEAAA8AAAAAAAAAAQAgAAAAIgAAAGRycy9kb3ducmV2LnhtbFBLAQIUABQAAAAIAIdO&#10;4kCmoxbaBAMAAMEHAAAOAAAAAAAAAAEAIAAAACoBAABkcnMvZTJvRG9jLnhtbFBLBQYAAAAABgAG&#10;AFkBAACgBgAAAAA=&#10;" path="m8255,241935l735965,241935,735965,17145,0,0e">
                <v:path o:connectlocs="8255,241935;735965,241935;735965,17145;0,0" o:connectangles="0,0,0,0"/>
                <v:fill on="t" opacity="49152f"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2598420</wp:posOffset>
                </wp:positionH>
                <wp:positionV relativeFrom="paragraph">
                  <wp:posOffset>4488180</wp:posOffset>
                </wp:positionV>
                <wp:extent cx="1021715" cy="251460"/>
                <wp:effectExtent l="6350" t="6350" r="19685" b="8890"/>
                <wp:wrapNone/>
                <wp:docPr id="63" name="任意多边形 63"/>
                <wp:cNvGraphicFramePr/>
                <a:graphic xmlns:a="http://schemas.openxmlformats.org/drawingml/2006/main">
                  <a:graphicData uri="http://schemas.microsoft.com/office/word/2010/wordprocessingShape">
                    <wps:wsp>
                      <wps:cNvSpPr/>
                      <wps:spPr>
                        <a:xfrm>
                          <a:off x="3512820" y="5828665"/>
                          <a:ext cx="1021715" cy="251460"/>
                        </a:xfrm>
                        <a:custGeom>
                          <a:avLst/>
                          <a:gdLst>
                            <a:gd name="connisteX0" fmla="*/ 0 w 1021715"/>
                            <a:gd name="connsiteY0" fmla="*/ 0 h 251460"/>
                            <a:gd name="connisteX1" fmla="*/ 0 w 1021715"/>
                            <a:gd name="connsiteY1" fmla="*/ 121285 h 251460"/>
                            <a:gd name="connisteX2" fmla="*/ 215900 w 1021715"/>
                            <a:gd name="connsiteY2" fmla="*/ 251460 h 251460"/>
                            <a:gd name="connisteX3" fmla="*/ 675005 w 1021715"/>
                            <a:gd name="connsiteY3" fmla="*/ 234315 h 251460"/>
                            <a:gd name="connisteX4" fmla="*/ 1012825 w 1021715"/>
                            <a:gd name="connsiteY4" fmla="*/ 121285 h 251460"/>
                            <a:gd name="connisteX5" fmla="*/ 1021715 w 1021715"/>
                            <a:gd name="connsiteY5" fmla="*/ 26035 h 251460"/>
                            <a:gd name="connisteX6" fmla="*/ 0 w 1021715"/>
                            <a:gd name="connsiteY6" fmla="*/ 0 h 2514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021715" h="251460">
                              <a:moveTo>
                                <a:pt x="0" y="0"/>
                              </a:moveTo>
                              <a:lnTo>
                                <a:pt x="0" y="121285"/>
                              </a:lnTo>
                              <a:lnTo>
                                <a:pt x="215900" y="251460"/>
                              </a:lnTo>
                              <a:lnTo>
                                <a:pt x="675005" y="234315"/>
                              </a:lnTo>
                              <a:lnTo>
                                <a:pt x="1012825" y="121285"/>
                              </a:lnTo>
                              <a:lnTo>
                                <a:pt x="1021715" y="26035"/>
                              </a:lnTo>
                              <a:lnTo>
                                <a:pt x="0" y="0"/>
                              </a:lnTo>
                              <a:close/>
                            </a:path>
                          </a:pathLst>
                        </a:custGeom>
                        <a:solidFill>
                          <a:srgbClr val="FF0000">
                            <a:alpha val="75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4.6pt;margin-top:353.4pt;height:19.8pt;width:80.45pt;z-index:251703296;mso-width-relative:page;mso-height-relative:page;" fillcolor="#FF0000" filled="t" stroked="t" coordsize="1021715,251460" o:gfxdata="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BWIwCF2AAAAAsBAAAPAAAAAAAA&#10;AAEAIAAAACIAAABkcnMvZG93bnJldi54bWxQSwECFAAUAAAACACHTuJArqO9HWgDAAAxCgAADgAA&#10;AAAAAAABACAAAAAnAQAAZHJzL2Uyb0RvYy54bWxQSwUGAAAAAAYABgBZAQAAAQcAAAAA&#10;" path="m0,0l0,121285,215900,251460,675005,234315,1012825,121285,1021715,26035,0,0xe">
                <v:path o:connectlocs="0,0;0,121285;215900,251460;675005,234315;1012825,121285;1021715,26035;0,0" o:connectangles="0,0,0,0,0,0,0"/>
                <v:fill on="t" opacity="49152f"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450850</wp:posOffset>
                </wp:positionH>
                <wp:positionV relativeFrom="paragraph">
                  <wp:posOffset>4488180</wp:posOffset>
                </wp:positionV>
                <wp:extent cx="952500" cy="805815"/>
                <wp:effectExtent l="0" t="6350" r="19050" b="6985"/>
                <wp:wrapNone/>
                <wp:docPr id="57" name="任意多边形 57"/>
                <wp:cNvGraphicFramePr/>
                <a:graphic xmlns:a="http://schemas.openxmlformats.org/drawingml/2006/main">
                  <a:graphicData uri="http://schemas.microsoft.com/office/word/2010/wordprocessingShape">
                    <wps:wsp>
                      <wps:cNvSpPr/>
                      <wps:spPr>
                        <a:xfrm>
                          <a:off x="1365250" y="5828665"/>
                          <a:ext cx="952500" cy="805815"/>
                        </a:xfrm>
                        <a:custGeom>
                          <a:avLst/>
                          <a:gdLst>
                            <a:gd name="connisteX0" fmla="*/ 34290 w 952500"/>
                            <a:gd name="connsiteY0" fmla="*/ 43815 h 805815"/>
                            <a:gd name="connisteX1" fmla="*/ 138430 w 952500"/>
                            <a:gd name="connsiteY1" fmla="*/ 805815 h 805815"/>
                            <a:gd name="connisteX2" fmla="*/ 337185 w 952500"/>
                            <a:gd name="connsiteY2" fmla="*/ 796925 h 805815"/>
                            <a:gd name="connisteX3" fmla="*/ 952500 w 952500"/>
                            <a:gd name="connsiteY3" fmla="*/ 130175 h 805815"/>
                            <a:gd name="connisteX4" fmla="*/ 926465 w 952500"/>
                            <a:gd name="connsiteY4" fmla="*/ 0 h 805815"/>
                            <a:gd name="connisteX5" fmla="*/ 0 w 952500"/>
                            <a:gd name="connsiteY5" fmla="*/ 26035 h 8058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952500" h="805815">
                              <a:moveTo>
                                <a:pt x="34290" y="43815"/>
                              </a:moveTo>
                              <a:lnTo>
                                <a:pt x="138430" y="805815"/>
                              </a:lnTo>
                              <a:lnTo>
                                <a:pt x="337185" y="796925"/>
                              </a:lnTo>
                              <a:lnTo>
                                <a:pt x="952500" y="130175"/>
                              </a:lnTo>
                              <a:lnTo>
                                <a:pt x="926465" y="0"/>
                              </a:lnTo>
                              <a:lnTo>
                                <a:pt x="0" y="26035"/>
                              </a:lnTo>
                            </a:path>
                          </a:pathLst>
                        </a:custGeom>
                        <a:solidFill>
                          <a:srgbClr val="FF0000">
                            <a:alpha val="80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5.5pt;margin-top:353.4pt;height:63.45pt;width:75pt;z-index:251702272;mso-width-relative:page;mso-height-relative:page;" fillcolor="#FF0000" filled="t" stroked="t" coordsize="952500,805815" o:gfxdata="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" path="m34290,43815l138430,805815,337185,796925,952500,130175,926465,0,0,26035e">
                <v:path o:connectlocs="34290,43815;138430,805815;337185,796925;952500,130175;926465,0;0,26035" o:connectangles="0,0,0,0,0,0"/>
                <v:fill on="t" opacity="52428f" focussize="0,0"/>
                <v:stroke weight="1pt" color="#FF0000 [2404]" miterlimit="8" joinstyle="miter"/>
                <v:imagedata o:title=""/>
                <o:lock v:ext="edit" aspectratio="f"/>
              </v:shape>
            </w:pict>
          </mc:Fallback>
        </mc:AlternateContent>
      </w:r>
      <w:r>
        <w:rPr>
          <w:color w:val="auto"/>
          <w:highlight w:val="none"/>
        </w:rPr>
        <w:drawing>
          <wp:inline distT="0" distB="0" distL="114300" distR="114300">
            <wp:extent cx="5383530" cy="5634355"/>
            <wp:effectExtent l="0" t="0" r="4445" b="7620"/>
            <wp:docPr id="5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6"/>
                    <pic:cNvPicPr>
                      <a:picLocks noChangeAspect="1"/>
                    </pic:cNvPicPr>
                  </pic:nvPicPr>
                  <pic:blipFill>
                    <a:blip r:embed="rId115"/>
                    <a:stretch>
                      <a:fillRect/>
                    </a:stretch>
                  </pic:blipFill>
                  <pic:spPr>
                    <a:xfrm rot="16200000">
                      <a:off x="0" y="0"/>
                      <a:ext cx="5383530" cy="5634355"/>
                    </a:xfrm>
                    <a:prstGeom prst="rect">
                      <a:avLst/>
                    </a:prstGeom>
                    <a:noFill/>
                    <a:ln>
                      <a:noFill/>
                    </a:ln>
                  </pic:spPr>
                </pic:pic>
              </a:graphicData>
            </a:graphic>
          </wp:inline>
        </w:drawing>
      </w:r>
    </w:p>
    <w:p w14:paraId="2A30DA4B">
      <w:pPr>
        <w:pStyle w:val="67"/>
        <w:spacing w:line="240" w:lineRule="auto"/>
        <w:ind w:firstLine="0" w:firstLineChars="0"/>
        <w:jc w:val="center"/>
        <w:rPr>
          <w:rFonts w:hint="default" w:ascii="Times New Roman" w:hAnsi="Times New Roman" w:cs="Times New Roman"/>
          <w:color w:val="auto"/>
          <w:highlight w:val="none"/>
        </w:rPr>
        <w:sectPr>
          <w:pgSz w:w="11906" w:h="16838"/>
          <w:pgMar w:top="1800" w:right="1440" w:bottom="1800" w:left="1440" w:header="851" w:footer="850"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5156835</wp:posOffset>
                </wp:positionH>
                <wp:positionV relativeFrom="paragraph">
                  <wp:posOffset>6925945</wp:posOffset>
                </wp:positionV>
                <wp:extent cx="421005" cy="134620"/>
                <wp:effectExtent l="6350" t="6350" r="10795" b="11430"/>
                <wp:wrapNone/>
                <wp:docPr id="73" name="矩形 73"/>
                <wp:cNvGraphicFramePr/>
                <a:graphic xmlns:a="http://schemas.openxmlformats.org/drawingml/2006/main">
                  <a:graphicData uri="http://schemas.microsoft.com/office/word/2010/wordprocessingShape">
                    <wps:wsp>
                      <wps:cNvSpPr/>
                      <wps:spPr>
                        <a:xfrm>
                          <a:off x="0" y="0"/>
                          <a:ext cx="421005" cy="134620"/>
                        </a:xfrm>
                        <a:prstGeom prst="rect">
                          <a:avLst/>
                        </a:prstGeom>
                        <a:solidFill>
                          <a:srgbClr val="FFC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05pt;margin-top:545.35pt;height:10.6pt;width:33.15pt;z-index:251671552;v-text-anchor:middle;mso-width-relative:page;mso-height-relative:page;" fillcolor="#FFC000" filled="t" stroked="t" coordsize="21600,21600" o:gfxdata="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7J4S6dkAAAANAQAADwAAAAAAAAABACAAAAAiAAAAZHJzL2Rvd25y&#10;ZXYueG1sUEsBAhQAFAAAAAgAh07iQNoXvGlvAgAA9QQAAA4AAAAAAAAAAQAgAAAAKAEAAGRycy9l&#10;Mm9Eb2MueG1sUEsFBgAAAAAGAAYAWQEAAAkGA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5161915</wp:posOffset>
                </wp:positionH>
                <wp:positionV relativeFrom="paragraph">
                  <wp:posOffset>6671945</wp:posOffset>
                </wp:positionV>
                <wp:extent cx="421005" cy="134620"/>
                <wp:effectExtent l="6350" t="6350" r="10795" b="11430"/>
                <wp:wrapNone/>
                <wp:docPr id="72" name="矩形 72"/>
                <wp:cNvGraphicFramePr/>
                <a:graphic xmlns:a="http://schemas.openxmlformats.org/drawingml/2006/main">
                  <a:graphicData uri="http://schemas.microsoft.com/office/word/2010/wordprocessingShape">
                    <wps:wsp>
                      <wps:cNvSpPr/>
                      <wps:spPr>
                        <a:xfrm>
                          <a:off x="0" y="0"/>
                          <a:ext cx="421005" cy="134620"/>
                        </a:xfrm>
                        <a:prstGeom prst="rect">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45pt;margin-top:525.35pt;height:10.6pt;width:33.15pt;z-index:251670528;v-text-anchor:middle;mso-width-relative:page;mso-height-relative:page;" fillcolor="#00B0F0" filled="t" stroked="t" coordsize="21600,21600" o:gfxdata="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5xU6u9oAAAANAQAADwAAAAAAAAABACAAAAAiAAAAZHJz&#10;L2Rvd25yZXYueG1sUEsBAhQAFAAAAAgAh07iQJmzdJN0AgAA9QQAAA4AAAAAAAAAAQAgAAAAKQEA&#10;AGRycy9lMm9Eb2MueG1sUEsFBgAAAAAGAAYAWQEAAA8GA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5152390</wp:posOffset>
                </wp:positionH>
                <wp:positionV relativeFrom="paragraph">
                  <wp:posOffset>6429375</wp:posOffset>
                </wp:positionV>
                <wp:extent cx="421005" cy="134620"/>
                <wp:effectExtent l="6350" t="6350" r="10795" b="11430"/>
                <wp:wrapNone/>
                <wp:docPr id="71" name="矩形 71"/>
                <wp:cNvGraphicFramePr/>
                <a:graphic xmlns:a="http://schemas.openxmlformats.org/drawingml/2006/main">
                  <a:graphicData uri="http://schemas.microsoft.com/office/word/2010/wordprocessingShape">
                    <wps:wsp>
                      <wps:cNvSpPr/>
                      <wps:spPr>
                        <a:xfrm>
                          <a:off x="6162040" y="8293735"/>
                          <a:ext cx="421005" cy="13462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5.7pt;margin-top:506.25pt;height:10.6pt;width:33.15pt;z-index:251669504;v-text-anchor:middle;mso-width-relative:page;mso-height-relative:page;" fillcolor="#FF0000" filled="t" stroked="t" coordsize="21600,21600" o:gfxdata="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a1ZB62gAAAA0BAAAPAAAAAAAAAAEAIAAAACIA&#10;AABkcnMvZG93bnJldi54bWxQSwECFAAUAAAACACHTuJA8mSSEHkCAAABBQAADgAAAAAAAAABACAA&#10;AAApAQAAZHJzL2Uyb0RvYy54bWxQSwUGAAAAAAYABgBZAQAAFAY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4262755</wp:posOffset>
                </wp:positionH>
                <wp:positionV relativeFrom="paragraph">
                  <wp:posOffset>6058535</wp:posOffset>
                </wp:positionV>
                <wp:extent cx="1547495" cy="1119505"/>
                <wp:effectExtent l="4445" t="4445" r="10160" b="19050"/>
                <wp:wrapNone/>
                <wp:docPr id="70" name="文本框 70"/>
                <wp:cNvGraphicFramePr/>
                <a:graphic xmlns:a="http://schemas.openxmlformats.org/drawingml/2006/main">
                  <a:graphicData uri="http://schemas.microsoft.com/office/word/2010/wordprocessingShape">
                    <wps:wsp>
                      <wps:cNvSpPr txBox="1"/>
                      <wps:spPr>
                        <a:xfrm>
                          <a:off x="5217795" y="7936230"/>
                          <a:ext cx="1547495" cy="1119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A3F149">
                            <w:pPr>
                              <w:ind w:left="0" w:leftChars="0" w:firstLine="0" w:firstLineChars="0"/>
                              <w:jc w:val="center"/>
                              <w:rPr>
                                <w:rFonts w:hint="eastAsia"/>
                                <w:lang w:val="en-US" w:eastAsia="zh-CN"/>
                              </w:rPr>
                            </w:pPr>
                            <w:r>
                              <w:rPr>
                                <w:rFonts w:hint="eastAsia"/>
                                <w:lang w:val="en-US" w:eastAsia="zh-CN"/>
                              </w:rPr>
                              <w:t>图例</w:t>
                            </w:r>
                          </w:p>
                          <w:p w14:paraId="062541B0">
                            <w:pPr>
                              <w:ind w:left="0" w:leftChars="0" w:firstLine="0" w:firstLineChars="0"/>
                              <w:rPr>
                                <w:rFonts w:hint="eastAsia"/>
                                <w:sz w:val="21"/>
                                <w:szCs w:val="21"/>
                                <w:lang w:val="en-US" w:eastAsia="zh-CN"/>
                              </w:rPr>
                            </w:pPr>
                            <w:r>
                              <w:rPr>
                                <w:rFonts w:hint="eastAsia"/>
                                <w:sz w:val="21"/>
                                <w:szCs w:val="21"/>
                                <w:lang w:val="en-US" w:eastAsia="zh-CN"/>
                              </w:rPr>
                              <w:t>重点防渗区</w:t>
                            </w:r>
                          </w:p>
                          <w:p w14:paraId="16AAAE6C">
                            <w:pPr>
                              <w:ind w:left="0" w:leftChars="0" w:firstLine="0" w:firstLineChars="0"/>
                              <w:rPr>
                                <w:rFonts w:hint="eastAsia"/>
                                <w:sz w:val="21"/>
                                <w:szCs w:val="21"/>
                                <w:lang w:val="en-US" w:eastAsia="zh-CN"/>
                              </w:rPr>
                            </w:pPr>
                            <w:r>
                              <w:rPr>
                                <w:rFonts w:hint="eastAsia"/>
                                <w:sz w:val="21"/>
                                <w:szCs w:val="21"/>
                                <w:lang w:val="en-US" w:eastAsia="zh-CN"/>
                              </w:rPr>
                              <w:t>一般防渗区</w:t>
                            </w:r>
                          </w:p>
                          <w:p w14:paraId="0C3D132E">
                            <w:pPr>
                              <w:ind w:left="0" w:leftChars="0" w:firstLine="0" w:firstLineChars="0"/>
                              <w:rPr>
                                <w:rFonts w:hint="default"/>
                                <w:sz w:val="21"/>
                                <w:szCs w:val="21"/>
                                <w:lang w:val="en-US" w:eastAsia="zh-CN"/>
                              </w:rPr>
                            </w:pPr>
                            <w:r>
                              <w:rPr>
                                <w:rFonts w:hint="eastAsia"/>
                                <w:sz w:val="21"/>
                                <w:szCs w:val="21"/>
                                <w:lang w:val="en-US" w:eastAsia="zh-CN"/>
                              </w:rPr>
                              <w:t>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65pt;margin-top:477.05pt;height:88.15pt;width:121.85pt;z-index:251668480;mso-width-relative:page;mso-height-relative:page;" fillcolor="#FFFFFF [3201]" filled="t" stroked="t" coordsize="21600,21600" o:gfxdata="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4fF9gAAAAMAQAADwAAAAAAAAABACAAAAAiAAAAZHJzL2Rvd25yZXYueG1sUEsBAhQA&#10;FAAAAAgAh07iQGWIyEBkAgAAxgQAAA4AAAAAAAAAAQAgAAAAJwEAAGRycy9lMm9Eb2MueG1sUEsF&#10;BgAAAAAGAAYAWQEAAP0FAAAAAA==&#10;">
                <v:fill on="t" focussize="0,0"/>
                <v:stroke weight="0.5pt" color="#000000 [3204]" joinstyle="round"/>
                <v:imagedata o:title=""/>
                <o:lock v:ext="edit" aspectratio="f"/>
                <v:textbox>
                  <w:txbxContent>
                    <w:p w14:paraId="1BA3F149">
                      <w:pPr>
                        <w:ind w:left="0" w:leftChars="0" w:firstLine="0" w:firstLineChars="0"/>
                        <w:jc w:val="center"/>
                        <w:rPr>
                          <w:rFonts w:hint="eastAsia"/>
                          <w:lang w:val="en-US" w:eastAsia="zh-CN"/>
                        </w:rPr>
                      </w:pPr>
                      <w:r>
                        <w:rPr>
                          <w:rFonts w:hint="eastAsia"/>
                          <w:lang w:val="en-US" w:eastAsia="zh-CN"/>
                        </w:rPr>
                        <w:t>图例</w:t>
                      </w:r>
                    </w:p>
                    <w:p w14:paraId="062541B0">
                      <w:pPr>
                        <w:ind w:left="0" w:leftChars="0" w:firstLine="0" w:firstLineChars="0"/>
                        <w:rPr>
                          <w:rFonts w:hint="eastAsia"/>
                          <w:sz w:val="21"/>
                          <w:szCs w:val="21"/>
                          <w:lang w:val="en-US" w:eastAsia="zh-CN"/>
                        </w:rPr>
                      </w:pPr>
                      <w:r>
                        <w:rPr>
                          <w:rFonts w:hint="eastAsia"/>
                          <w:sz w:val="21"/>
                          <w:szCs w:val="21"/>
                          <w:lang w:val="en-US" w:eastAsia="zh-CN"/>
                        </w:rPr>
                        <w:t>重点防渗区</w:t>
                      </w:r>
                    </w:p>
                    <w:p w14:paraId="16AAAE6C">
                      <w:pPr>
                        <w:ind w:left="0" w:leftChars="0" w:firstLine="0" w:firstLineChars="0"/>
                        <w:rPr>
                          <w:rFonts w:hint="eastAsia"/>
                          <w:sz w:val="21"/>
                          <w:szCs w:val="21"/>
                          <w:lang w:val="en-US" w:eastAsia="zh-CN"/>
                        </w:rPr>
                      </w:pPr>
                      <w:r>
                        <w:rPr>
                          <w:rFonts w:hint="eastAsia"/>
                          <w:sz w:val="21"/>
                          <w:szCs w:val="21"/>
                          <w:lang w:val="en-US" w:eastAsia="zh-CN"/>
                        </w:rPr>
                        <w:t>一般防渗区</w:t>
                      </w:r>
                    </w:p>
                    <w:p w14:paraId="0C3D132E">
                      <w:pPr>
                        <w:ind w:left="0" w:leftChars="0" w:firstLine="0" w:firstLineChars="0"/>
                        <w:rPr>
                          <w:rFonts w:hint="default"/>
                          <w:sz w:val="21"/>
                          <w:szCs w:val="21"/>
                          <w:lang w:val="en-US" w:eastAsia="zh-CN"/>
                        </w:rPr>
                      </w:pPr>
                      <w:r>
                        <w:rPr>
                          <w:rFonts w:hint="eastAsia"/>
                          <w:sz w:val="21"/>
                          <w:szCs w:val="21"/>
                          <w:lang w:val="en-US" w:eastAsia="zh-CN"/>
                        </w:rPr>
                        <w:t>简单防渗区</w:t>
                      </w:r>
                    </w:p>
                  </w:txbxContent>
                </v:textbox>
              </v:shape>
            </w:pict>
          </mc:Fallback>
        </mc:AlternateContent>
      </w:r>
    </w:p>
    <w:p w14:paraId="48151D62">
      <w:pPr>
        <w:pStyle w:val="5"/>
        <w:rPr>
          <w:rFonts w:hint="default" w:ascii="Times New Roman" w:hAnsi="Times New Roman" w:cs="Times New Roman"/>
          <w:color w:val="auto"/>
          <w:highlight w:val="none"/>
          <w:lang w:val="en-US" w:eastAsia="zh-CN"/>
        </w:rPr>
      </w:pPr>
      <w:bookmarkStart w:id="702" w:name="_Toc22702"/>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黑河市畜禽禁养区分布总图</w:t>
      </w:r>
      <w:bookmarkEnd w:id="702"/>
    </w:p>
    <w:p w14:paraId="01468BE1">
      <w:pPr>
        <w:pStyle w:val="67"/>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4249420</wp:posOffset>
                </wp:positionH>
                <wp:positionV relativeFrom="paragraph">
                  <wp:posOffset>1781810</wp:posOffset>
                </wp:positionV>
                <wp:extent cx="981710" cy="271780"/>
                <wp:effectExtent l="4445" t="5080" r="23495" b="466090"/>
                <wp:wrapNone/>
                <wp:docPr id="28" name="对话气泡: 矩形 7"/>
                <wp:cNvGraphicFramePr/>
                <a:graphic xmlns:a="http://schemas.openxmlformats.org/drawingml/2006/main">
                  <a:graphicData uri="http://schemas.microsoft.com/office/word/2010/wordprocessingShape">
                    <wps:wsp>
                      <wps:cNvSpPr/>
                      <wps:spPr>
                        <a:xfrm>
                          <a:off x="0" y="0"/>
                          <a:ext cx="981710" cy="271780"/>
                        </a:xfrm>
                        <a:prstGeom prst="wedgeRectCallout">
                          <a:avLst>
                            <a:gd name="adj1" fmla="val -31722"/>
                            <a:gd name="adj2" fmla="val 209072"/>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60E93">
                            <w:pPr>
                              <w:ind w:firstLine="0" w:firstLineChars="0"/>
                              <w:rPr>
                                <w:rFonts w:eastAsia="仿宋"/>
                                <w:b/>
                                <w:bCs/>
                                <w:color w:val="FF0000"/>
                              </w:rPr>
                            </w:pPr>
                            <w:r>
                              <w:rPr>
                                <w:rFonts w:eastAsia="仿宋"/>
                                <w:b/>
                                <w:bCs/>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7" o:spid="_x0000_s1026" o:spt="61" type="#_x0000_t61" style="position:absolute;left:0pt;margin-left:334.6pt;margin-top:140.3pt;height:21.4pt;width:77.3pt;z-index:251665408;v-text-anchor:middle;mso-width-relative:page;mso-height-relative:page;" filled="f" stroked="t" coordsize="21600,21600" o:gfxdata="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P6cj/7ZAAAACwEAAA8AAAAAAAAAAQAgAAAA&#10;IgAAAGRycy9kb3ducmV2LnhtbFBLAQIUABQAAAAIAIdO4kC0mOmOtQIAAEIFAAAOAAAAAAAAAAEA&#10;IAAAACgBAABkcnMvZTJvRG9jLnhtbFBLBQYAAAAABgAGAFkBAABPBgAAAAA=&#10;" adj="3948,55960">
                <v:fill on="f" focussize="0,0"/>
                <v:stroke color="#FF0000 [3204]" miterlimit="8" joinstyle="miter"/>
                <v:imagedata o:title=""/>
                <o:lock v:ext="edit" aspectratio="f"/>
                <v:textbox>
                  <w:txbxContent>
                    <w:p w14:paraId="31960E93">
                      <w:pPr>
                        <w:ind w:firstLine="0" w:firstLineChars="0"/>
                        <w:rPr>
                          <w:rFonts w:eastAsia="仿宋"/>
                          <w:b/>
                          <w:bCs/>
                          <w:color w:val="FF0000"/>
                        </w:rPr>
                      </w:pPr>
                      <w:r>
                        <w:rPr>
                          <w:rFonts w:eastAsia="仿宋"/>
                          <w:b/>
                          <w:bCs/>
                          <w:color w:val="FF0000"/>
                        </w:rPr>
                        <w:t>本项目位置</w:t>
                      </w:r>
                    </w:p>
                  </w:txbxContent>
                </v:textbox>
              </v:shape>
            </w:pict>
          </mc:Fallback>
        </mc:AlternateContent>
      </w:r>
    </w:p>
    <w:p w14:paraId="444A962A">
      <w:pPr>
        <w:pStyle w:val="67"/>
        <w:spacing w:line="240" w:lineRule="auto"/>
        <w:ind w:firstLine="0" w:firstLineChars="0"/>
        <w:jc w:val="center"/>
        <w:rPr>
          <w:rFonts w:hint="default" w:ascii="Times New Roman" w:hAnsi="Times New Roman" w:cs="Times New Roman"/>
          <w:color w:val="auto"/>
          <w:highlight w:val="none"/>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highlight w:val="none"/>
        </w:rPr>
        <w:drawing>
          <wp:inline distT="0" distB="0" distL="114300" distR="114300">
            <wp:extent cx="7526020" cy="5001260"/>
            <wp:effectExtent l="0" t="0" r="0" b="0"/>
            <wp:docPr id="1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
                    <pic:cNvPicPr>
                      <a:picLocks noChangeAspect="1"/>
                    </pic:cNvPicPr>
                  </pic:nvPicPr>
                  <pic:blipFill>
                    <a:blip r:embed="rId116"/>
                    <a:srcRect t="5154"/>
                    <a:stretch>
                      <a:fillRect/>
                    </a:stretch>
                  </pic:blipFill>
                  <pic:spPr>
                    <a:xfrm>
                      <a:off x="0" y="0"/>
                      <a:ext cx="7526020" cy="5001260"/>
                    </a:xfrm>
                    <a:prstGeom prst="rect">
                      <a:avLst/>
                    </a:prstGeom>
                    <a:noFill/>
                    <a:ln>
                      <a:noFill/>
                    </a:ln>
                  </pic:spPr>
                </pic:pic>
              </a:graphicData>
            </a:graphic>
          </wp:inline>
        </w:drawing>
      </w:r>
    </w:p>
    <w:p w14:paraId="380723E2">
      <w:pPr>
        <w:pStyle w:val="5"/>
        <w:rPr>
          <w:rFonts w:hint="default" w:ascii="Times New Roman" w:hAnsi="Times New Roman" w:cs="Times New Roman"/>
          <w:color w:val="auto"/>
          <w:highlight w:val="none"/>
          <w:lang w:val="en-US" w:eastAsia="zh-CN"/>
        </w:rPr>
      </w:pPr>
      <w:bookmarkStart w:id="703" w:name="_Toc13537"/>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黑龙江省主体功能区划图</w:t>
      </w:r>
      <w:bookmarkEnd w:id="703"/>
    </w:p>
    <w:p w14:paraId="27916397">
      <w:pPr>
        <w:pStyle w:val="67"/>
        <w:spacing w:line="240" w:lineRule="auto"/>
        <w:ind w:firstLine="0" w:firstLineChars="0"/>
        <w:jc w:val="center"/>
        <w:rPr>
          <w:rFonts w:hint="default" w:ascii="Times New Roman" w:hAnsi="Times New Roman" w:cs="Times New Roman"/>
          <w:color w:val="auto"/>
          <w:highlight w:val="none"/>
          <w:lang w:val="en-US" w:eastAsia="zh-CN"/>
        </w:rPr>
        <w:sectPr>
          <w:pgSz w:w="16838" w:h="11906" w:orient="landscape"/>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3538220</wp:posOffset>
                </wp:positionH>
                <wp:positionV relativeFrom="paragraph">
                  <wp:posOffset>2275840</wp:posOffset>
                </wp:positionV>
                <wp:extent cx="956310" cy="327660"/>
                <wp:effectExtent l="4445" t="213360" r="10795" b="11430"/>
                <wp:wrapNone/>
                <wp:docPr id="33" name="矩形标注 33"/>
                <wp:cNvGraphicFramePr/>
                <a:graphic xmlns:a="http://schemas.openxmlformats.org/drawingml/2006/main">
                  <a:graphicData uri="http://schemas.microsoft.com/office/word/2010/wordprocessingShape">
                    <wps:wsp>
                      <wps:cNvSpPr/>
                      <wps:spPr>
                        <a:xfrm>
                          <a:off x="0" y="0"/>
                          <a:ext cx="956310" cy="327660"/>
                        </a:xfrm>
                        <a:prstGeom prst="wedgeRectCallout">
                          <a:avLst>
                            <a:gd name="adj1" fmla="val -14407"/>
                            <a:gd name="adj2" fmla="val -112204"/>
                          </a:avLst>
                        </a:prstGeom>
                        <a:solidFill>
                          <a:srgbClr val="FFFFFF"/>
                        </a:solidFill>
                        <a:ln w="9525" cap="flat" cmpd="sng">
                          <a:solidFill>
                            <a:srgbClr val="000000"/>
                          </a:solidFill>
                          <a:prstDash val="solid"/>
                          <a:miter/>
                          <a:headEnd type="none" w="med" len="med"/>
                          <a:tailEnd type="none" w="med" len="med"/>
                        </a:ln>
                      </wps:spPr>
                      <wps:txbx>
                        <w:txbxContent>
                          <w:p w14:paraId="75C2ED57">
                            <w:pPr>
                              <w:ind w:left="0" w:leftChars="0" w:firstLine="0" w:firstLineChars="0"/>
                              <w:rPr>
                                <w:rFonts w:hint="eastAsia" w:eastAsia="宋体"/>
                                <w:lang w:val="en-US" w:eastAsia="zh-CN"/>
                              </w:rPr>
                            </w:pPr>
                            <w:r>
                              <w:rPr>
                                <w:rFonts w:hint="eastAsia"/>
                                <w:lang w:val="en-US" w:eastAsia="zh-CN"/>
                              </w:rPr>
                              <w:t>项目所在地</w:t>
                            </w:r>
                          </w:p>
                        </w:txbxContent>
                      </wps:txbx>
                      <wps:bodyPr upright="1"/>
                    </wps:wsp>
                  </a:graphicData>
                </a:graphic>
              </wp:anchor>
            </w:drawing>
          </mc:Choice>
          <mc:Fallback>
            <w:pict>
              <v:shape id="_x0000_s1026" o:spid="_x0000_s1026" o:spt="61" type="#_x0000_t61" style="position:absolute;left:0pt;margin-left:278.6pt;margin-top:179.2pt;height:25.8pt;width:75.3pt;z-index:251666432;mso-width-relative:page;mso-height-relative:page;" fillcolor="#FFFFFF" filled="t" stroked="t" coordsize="21600,21600" o:gfxdata="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DHSbQfZAAAACwEAAA8AAAAAAAAAAQAgAAAAIgAAAGRycy9kb3du&#10;cmV2LnhtbFBLAQIUABQAAAAIAIdO4kApbiMjNwIAAJAEAAAOAAAAAAAAAAEAIAAAACgBAABkcnMv&#10;ZTJvRG9jLnhtbFBLBQYAAAAABgAGAFkBAADRBQAAAAA=&#10;" adj="7688,-13436">
                <v:fill on="t" focussize="0,0"/>
                <v:stroke color="#000000" joinstyle="miter"/>
                <v:imagedata o:title=""/>
                <o:lock v:ext="edit" aspectratio="f"/>
                <v:textbox>
                  <w:txbxContent>
                    <w:p w14:paraId="75C2ED57">
                      <w:pPr>
                        <w:ind w:left="0" w:leftChars="0" w:firstLine="0" w:firstLineChars="0"/>
                        <w:rPr>
                          <w:rFonts w:hint="eastAsia" w:eastAsia="宋体"/>
                          <w:lang w:val="en-US" w:eastAsia="zh-CN"/>
                        </w:rPr>
                      </w:pPr>
                      <w:r>
                        <w:rPr>
                          <w:rFonts w:hint="eastAsia"/>
                          <w:lang w:val="en-US" w:eastAsia="zh-CN"/>
                        </w:rPr>
                        <w:t>项目所在地</w:t>
                      </w:r>
                    </w:p>
                  </w:txbxContent>
                </v:textbox>
              </v:shape>
            </w:pict>
          </mc:Fallback>
        </mc:AlternateContent>
      </w:r>
      <w:r>
        <w:rPr>
          <w:rFonts w:hint="default" w:ascii="Times New Roman" w:hAnsi="Times New Roman" w:cs="Times New Roman"/>
          <w:color w:val="auto"/>
          <w:highlight w:val="none"/>
          <w:lang w:val="en-US" w:eastAsia="zh-CN"/>
        </w:rPr>
        <w:drawing>
          <wp:inline distT="0" distB="0" distL="114300" distR="114300">
            <wp:extent cx="6873875" cy="5198110"/>
            <wp:effectExtent l="0" t="0" r="3175" b="2540"/>
            <wp:docPr id="31" name="图片 31" descr="171213091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712130916322"/>
                    <pic:cNvPicPr>
                      <a:picLocks noChangeAspect="1"/>
                    </pic:cNvPicPr>
                  </pic:nvPicPr>
                  <pic:blipFill>
                    <a:blip r:embed="rId117"/>
                    <a:stretch>
                      <a:fillRect/>
                    </a:stretch>
                  </pic:blipFill>
                  <pic:spPr>
                    <a:xfrm>
                      <a:off x="0" y="0"/>
                      <a:ext cx="6873875" cy="5198110"/>
                    </a:xfrm>
                    <a:prstGeom prst="rect">
                      <a:avLst/>
                    </a:prstGeom>
                  </pic:spPr>
                </pic:pic>
              </a:graphicData>
            </a:graphic>
          </wp:inline>
        </w:drawing>
      </w:r>
    </w:p>
    <w:p w14:paraId="177DC140">
      <w:pPr>
        <w:pStyle w:val="5"/>
        <w:rPr>
          <w:rFonts w:hint="default" w:ascii="Times New Roman" w:hAnsi="Times New Roman" w:cs="Times New Roman"/>
          <w:color w:val="auto"/>
          <w:highlight w:val="none"/>
          <w:lang w:val="en-US" w:eastAsia="zh-CN"/>
        </w:rPr>
      </w:pPr>
      <w:bookmarkStart w:id="704" w:name="_Toc10743"/>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 xml:space="preserve"> 黑龙江省生态功能区划图</w:t>
      </w:r>
      <w:bookmarkEnd w:id="704"/>
    </w:p>
    <w:p w14:paraId="605952D4">
      <w:pPr>
        <w:pStyle w:val="67"/>
        <w:spacing w:line="240" w:lineRule="auto"/>
        <w:ind w:firstLine="0" w:firstLineChars="0"/>
        <w:jc w:val="center"/>
        <w:rPr>
          <w:rFonts w:hint="default" w:ascii="Times New Roman" w:hAnsi="Times New Roman" w:cs="Times New Roman"/>
          <w:color w:val="auto"/>
          <w:highlight w:val="none"/>
        </w:rPr>
        <w:sectPr>
          <w:pgSz w:w="11906" w:h="16838"/>
          <w:pgMar w:top="1800" w:right="1440" w:bottom="1800" w:left="1440" w:header="851" w:footer="850" w:gutter="0"/>
          <w:pgBorders>
            <w:top w:val="none" w:sz="0" w:space="0"/>
            <w:left w:val="none" w:sz="0" w:space="0"/>
            <w:bottom w:val="none" w:sz="0" w:space="0"/>
            <w:right w:val="none" w:sz="0" w:space="0"/>
          </w:pgBorders>
          <w:cols w:space="425" w:num="1"/>
          <w:docGrid w:type="linesAndChars" w:linePitch="326" w:charSpace="0"/>
        </w:sectPr>
      </w:pPr>
      <w:r>
        <w:rPr>
          <w:rFonts w:hint="default" w:ascii="Times New Roman" w:hAnsi="Times New Roman" w:eastAsia="宋体" w:cs="Times New Roman"/>
          <w:color w:val="auto"/>
          <w:sz w:val="24"/>
          <w:highlight w:val="none"/>
          <w:lang w:eastAsia="zh-CN"/>
        </w:rPr>
        <w:drawing>
          <wp:anchor distT="0" distB="0" distL="114300" distR="114300" simplePos="0" relativeHeight="251715584" behindDoc="1" locked="0" layoutInCell="1" allowOverlap="1">
            <wp:simplePos x="0" y="0"/>
            <wp:positionH relativeFrom="column">
              <wp:posOffset>19050</wp:posOffset>
            </wp:positionH>
            <wp:positionV relativeFrom="paragraph">
              <wp:posOffset>57785</wp:posOffset>
            </wp:positionV>
            <wp:extent cx="5680710" cy="6795770"/>
            <wp:effectExtent l="0" t="0" r="15240" b="5080"/>
            <wp:wrapNone/>
            <wp:docPr id="195" name="图片 5" descr="bf3aa7028ccd72fdcb1627842f605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descr="bf3aa7028ccd72fdcb1627842f605a0"/>
                    <pic:cNvPicPr>
                      <a:picLocks noChangeAspect="1"/>
                    </pic:cNvPicPr>
                  </pic:nvPicPr>
                  <pic:blipFill>
                    <a:blip r:embed="rId31"/>
                    <a:stretch>
                      <a:fillRect/>
                    </a:stretch>
                  </pic:blipFill>
                  <pic:spPr>
                    <a:xfrm>
                      <a:off x="0" y="0"/>
                      <a:ext cx="5680710" cy="679577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2952750</wp:posOffset>
                </wp:positionH>
                <wp:positionV relativeFrom="paragraph">
                  <wp:posOffset>2311400</wp:posOffset>
                </wp:positionV>
                <wp:extent cx="1038860" cy="304800"/>
                <wp:effectExtent l="560705" t="6350" r="19685" b="12700"/>
                <wp:wrapNone/>
                <wp:docPr id="23" name="矩形标注 23"/>
                <wp:cNvGraphicFramePr/>
                <a:graphic xmlns:a="http://schemas.openxmlformats.org/drawingml/2006/main">
                  <a:graphicData uri="http://schemas.microsoft.com/office/word/2010/wordprocessingShape">
                    <wps:wsp>
                      <wps:cNvSpPr/>
                      <wps:spPr>
                        <a:xfrm>
                          <a:off x="3295650" y="3775075"/>
                          <a:ext cx="1038860" cy="304800"/>
                        </a:xfrm>
                        <a:prstGeom prst="wedgeRectCallout">
                          <a:avLst>
                            <a:gd name="adj1" fmla="val -99083"/>
                            <a:gd name="adj2" fmla="val 48750"/>
                          </a:avLst>
                        </a:prstGeom>
                        <a:solidFill>
                          <a:schemeClr val="bg1">
                            <a:lumMod val="95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6A1894A7">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2.5pt;margin-top:182pt;height:24pt;width:81.8pt;z-index:251714560;v-text-anchor:middle;mso-width-relative:page;mso-height-relative:page;" fillcolor="#F2F2F2 [3052]" filled="t" stroked="t" coordsize="21600,21600" o:gfxdata="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KyRHZPYAAAACwEAAA8AAAAAAAAAAQAgAAAAIgAAAGRycy9kb3ducmV2LnhtbFBLAQIUABQA&#10;AAAIAIdO4kDKH2f11AIAALUFAAAOAAAAAAAAAAEAIAAAACcBAABkcnMvZTJvRG9jLnhtbFBLBQYA&#10;AAAABgAGAFkBAABtBgAAAAA=&#10;" adj="-10602,21330">
                <v:fill on="t" focussize="0,0"/>
                <v:stroke weight="1pt" color="#2F5597 [2404]" miterlimit="8" joinstyle="miter"/>
                <v:imagedata o:title=""/>
                <o:lock v:ext="edit" aspectratio="f"/>
                <v:textbox>
                  <w:txbxContent>
                    <w:p w14:paraId="6A1894A7">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项目所在地</w:t>
                      </w:r>
                    </w:p>
                  </w:txbxContent>
                </v:textbox>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67456" behindDoc="0" locked="0" layoutInCell="1" allowOverlap="1">
                <wp:simplePos x="0" y="0"/>
                <wp:positionH relativeFrom="column">
                  <wp:posOffset>2339340</wp:posOffset>
                </wp:positionH>
                <wp:positionV relativeFrom="paragraph">
                  <wp:posOffset>2568575</wp:posOffset>
                </wp:positionV>
                <wp:extent cx="76200" cy="76200"/>
                <wp:effectExtent l="4445" t="4445" r="14605" b="14605"/>
                <wp:wrapNone/>
                <wp:docPr id="36" name="矩形 36"/>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9525" cap="flat" cmpd="sng">
                          <a:solidFill>
                            <a:srgbClr val="FF0000"/>
                          </a:solidFill>
                          <a:prstDash val="solid"/>
                          <a:miter/>
                          <a:headEnd type="none" w="med" len="med"/>
                          <a:tailEnd type="none" w="med" len="med"/>
                        </a:ln>
                      </wps:spPr>
                      <wps:txbx>
                        <w:txbxContent>
                          <w:p w14:paraId="3C72A38D"/>
                        </w:txbxContent>
                      </wps:txbx>
                      <wps:bodyPr upright="1"/>
                    </wps:wsp>
                  </a:graphicData>
                </a:graphic>
              </wp:anchor>
            </w:drawing>
          </mc:Choice>
          <mc:Fallback>
            <w:pict>
              <v:rect id="_x0000_s1026" o:spid="_x0000_s1026" o:spt="1" style="position:absolute;left:0pt;margin-left:184.2pt;margin-top:202.25pt;height:6pt;width:6pt;z-index:251667456;mso-width-relative:page;mso-height-relative:page;" fillcolor="#FF0000" filled="t" stroked="t" coordsize="21600,21600" o:gfxdata="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gTfI52wAAAAsBAAAPAAAAAAAAAAEAIAAAACIAAABkcnMvZG93bnJl&#10;di54bWxQSwECFAAUAAAACACHTuJAZ01rPvoBAAAoBAAADgAAAAAAAAABACAAAAAqAQAAZHJzL2Uy&#10;b0RvYy54bWxQSwUGAAAAAAYABgBZAQAAlgUAAAAA&#10;">
                <v:fill on="t" focussize="0,0"/>
                <v:stroke color="#FF0000" joinstyle="miter"/>
                <v:imagedata o:title=""/>
                <o:lock v:ext="edit" aspectratio="f"/>
                <v:textbox>
                  <w:txbxContent>
                    <w:p w14:paraId="3C72A38D"/>
                  </w:txbxContent>
                </v:textbox>
              </v:rect>
            </w:pict>
          </mc:Fallback>
        </mc:AlternateContent>
      </w:r>
    </w:p>
    <w:p w14:paraId="5EBE3A45">
      <w:pPr>
        <w:pStyle w:val="4"/>
        <w:rPr>
          <w:rFonts w:hint="default" w:ascii="Times New Roman" w:hAnsi="Times New Roman" w:cs="Times New Roman"/>
          <w:color w:val="auto"/>
          <w:highlight w:val="none"/>
        </w:rPr>
      </w:pPr>
      <w:bookmarkStart w:id="705" w:name="_Toc16023"/>
      <w:r>
        <w:rPr>
          <w:rFonts w:hint="default" w:ascii="Times New Roman" w:hAnsi="Times New Roman" w:cs="Times New Roman"/>
          <w:color w:val="auto"/>
          <w:highlight w:val="none"/>
        </w:rPr>
        <w:t>附表</w:t>
      </w:r>
      <w:bookmarkEnd w:id="705"/>
    </w:p>
    <w:p w14:paraId="35026C4A">
      <w:pPr>
        <w:pStyle w:val="5"/>
        <w:rPr>
          <w:rFonts w:hint="default" w:ascii="Times New Roman" w:hAnsi="Times New Roman" w:cs="Times New Roman"/>
          <w:color w:val="auto"/>
          <w:highlight w:val="none"/>
        </w:rPr>
      </w:pPr>
      <w:bookmarkStart w:id="706" w:name="_Toc12864"/>
      <w:r>
        <w:rPr>
          <w:rFonts w:hint="default" w:ascii="Times New Roman" w:hAnsi="Times New Roman" w:cs="Times New Roman"/>
          <w:color w:val="auto"/>
          <w:highlight w:val="none"/>
        </w:rPr>
        <w:t>附表1建设项目大气环境影响评价自查表</w:t>
      </w:r>
      <w:bookmarkEnd w:id="706"/>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6"/>
        <w:gridCol w:w="1709"/>
        <w:gridCol w:w="687"/>
        <w:gridCol w:w="161"/>
        <w:gridCol w:w="398"/>
        <w:gridCol w:w="128"/>
        <w:gridCol w:w="336"/>
        <w:gridCol w:w="129"/>
        <w:gridCol w:w="439"/>
        <w:gridCol w:w="279"/>
        <w:gridCol w:w="418"/>
        <w:gridCol w:w="399"/>
        <w:gridCol w:w="366"/>
        <w:gridCol w:w="259"/>
        <w:gridCol w:w="563"/>
        <w:gridCol w:w="328"/>
        <w:gridCol w:w="701"/>
      </w:tblGrid>
      <w:tr w14:paraId="0317C8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01" w:type="dxa"/>
            <w:gridSpan w:val="2"/>
            <w:vAlign w:val="center"/>
          </w:tcPr>
          <w:p w14:paraId="6E202A21">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工作内容</w:t>
            </w:r>
          </w:p>
        </w:tc>
        <w:tc>
          <w:tcPr>
            <w:tcW w:w="5581" w:type="dxa"/>
            <w:gridSpan w:val="15"/>
            <w:vAlign w:val="center"/>
          </w:tcPr>
          <w:p w14:paraId="2B2864C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自查项目</w:t>
            </w:r>
          </w:p>
        </w:tc>
      </w:tr>
      <w:tr w14:paraId="7906CF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7AE9BBD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评价等级与范围</w:t>
            </w:r>
          </w:p>
        </w:tc>
        <w:tc>
          <w:tcPr>
            <w:tcW w:w="1720" w:type="dxa"/>
            <w:vAlign w:val="center"/>
          </w:tcPr>
          <w:p w14:paraId="306076F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评价等级</w:t>
            </w:r>
          </w:p>
        </w:tc>
        <w:tc>
          <w:tcPr>
            <w:tcW w:w="1704" w:type="dxa"/>
            <w:gridSpan w:val="5"/>
            <w:vAlign w:val="center"/>
          </w:tcPr>
          <w:p w14:paraId="3C7525FA">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一级</w:t>
            </w:r>
            <w:r>
              <w:rPr>
                <w:rFonts w:hint="eastAsia" w:eastAsia="仿宋" w:cs="Times New Roman"/>
                <w:snapToGrid w:val="0"/>
                <w:color w:val="auto"/>
                <w:sz w:val="18"/>
                <w:szCs w:val="18"/>
                <w:highlight w:val="none"/>
                <w:lang w:eastAsia="zh-CN"/>
              </w:rPr>
              <w:t>☑</w:t>
            </w:r>
          </w:p>
        </w:tc>
        <w:tc>
          <w:tcPr>
            <w:tcW w:w="1676" w:type="dxa"/>
            <w:gridSpan w:val="5"/>
            <w:vAlign w:val="center"/>
          </w:tcPr>
          <w:p w14:paraId="0E4F038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二级</w:t>
            </w:r>
            <w:r>
              <w:rPr>
                <w:rFonts w:hint="eastAsia" w:eastAsia="仿宋" w:cs="Times New Roman"/>
                <w:snapToGrid w:val="0"/>
                <w:color w:val="auto"/>
                <w:sz w:val="18"/>
                <w:szCs w:val="18"/>
                <w:highlight w:val="none"/>
                <w:lang w:eastAsia="zh-CN"/>
              </w:rPr>
              <w:t>□</w:t>
            </w:r>
          </w:p>
        </w:tc>
        <w:tc>
          <w:tcPr>
            <w:tcW w:w="2201" w:type="dxa"/>
            <w:gridSpan w:val="5"/>
            <w:vAlign w:val="center"/>
          </w:tcPr>
          <w:p w14:paraId="42D4EEB2">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三级</w:t>
            </w:r>
            <w:r>
              <w:rPr>
                <w:rFonts w:hint="eastAsia" w:eastAsia="仿宋" w:cs="Times New Roman"/>
                <w:snapToGrid w:val="0"/>
                <w:color w:val="auto"/>
                <w:sz w:val="18"/>
                <w:szCs w:val="18"/>
                <w:highlight w:val="none"/>
                <w:lang w:eastAsia="zh-CN"/>
              </w:rPr>
              <w:t>□</w:t>
            </w:r>
          </w:p>
        </w:tc>
      </w:tr>
      <w:tr w14:paraId="48F3BD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259DC8B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6E6DB37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评价范围</w:t>
            </w:r>
          </w:p>
        </w:tc>
        <w:tc>
          <w:tcPr>
            <w:tcW w:w="1704" w:type="dxa"/>
            <w:gridSpan w:val="5"/>
            <w:vAlign w:val="center"/>
          </w:tcPr>
          <w:p w14:paraId="68550D6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边长=50km□</w:t>
            </w:r>
          </w:p>
        </w:tc>
        <w:tc>
          <w:tcPr>
            <w:tcW w:w="1676" w:type="dxa"/>
            <w:gridSpan w:val="5"/>
            <w:vAlign w:val="center"/>
          </w:tcPr>
          <w:p w14:paraId="636F81CE">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边长=5~50km□</w:t>
            </w:r>
          </w:p>
        </w:tc>
        <w:tc>
          <w:tcPr>
            <w:tcW w:w="2201" w:type="dxa"/>
            <w:gridSpan w:val="5"/>
            <w:vAlign w:val="center"/>
          </w:tcPr>
          <w:p w14:paraId="27AE11A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边长=5km√</w:t>
            </w:r>
          </w:p>
        </w:tc>
      </w:tr>
      <w:tr w14:paraId="58B2C9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7C3F0F0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评价因子</w:t>
            </w:r>
          </w:p>
        </w:tc>
        <w:tc>
          <w:tcPr>
            <w:tcW w:w="1720" w:type="dxa"/>
            <w:vAlign w:val="center"/>
          </w:tcPr>
          <w:p w14:paraId="7D8B28DD">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SO</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+NOx</w:t>
            </w:r>
          </w:p>
        </w:tc>
        <w:tc>
          <w:tcPr>
            <w:tcW w:w="1704" w:type="dxa"/>
            <w:gridSpan w:val="5"/>
            <w:vAlign w:val="center"/>
          </w:tcPr>
          <w:p w14:paraId="6B6C06A9">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≥2000t/a□</w:t>
            </w:r>
          </w:p>
        </w:tc>
        <w:tc>
          <w:tcPr>
            <w:tcW w:w="1676" w:type="dxa"/>
            <w:gridSpan w:val="5"/>
            <w:vAlign w:val="center"/>
          </w:tcPr>
          <w:p w14:paraId="1FB1E61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500~2000t/a□</w:t>
            </w:r>
          </w:p>
        </w:tc>
        <w:tc>
          <w:tcPr>
            <w:tcW w:w="2201" w:type="dxa"/>
            <w:gridSpan w:val="5"/>
            <w:vAlign w:val="center"/>
          </w:tcPr>
          <w:p w14:paraId="3B052F3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＜500t/a√</w:t>
            </w:r>
          </w:p>
        </w:tc>
      </w:tr>
      <w:tr w14:paraId="1BA3A4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08924652">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6561AA77">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评价因子</w:t>
            </w:r>
          </w:p>
        </w:tc>
        <w:tc>
          <w:tcPr>
            <w:tcW w:w="3380" w:type="dxa"/>
            <w:gridSpan w:val="10"/>
            <w:vAlign w:val="center"/>
          </w:tcPr>
          <w:p w14:paraId="73F649D0">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基本污染物（SO</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、NO</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、PM</w:t>
            </w:r>
            <w:r>
              <w:rPr>
                <w:rFonts w:hint="default" w:ascii="Times New Roman" w:hAnsi="Times New Roman" w:eastAsia="仿宋" w:cs="Times New Roman"/>
                <w:snapToGrid w:val="0"/>
                <w:color w:val="auto"/>
                <w:sz w:val="18"/>
                <w:szCs w:val="18"/>
                <w:highlight w:val="none"/>
                <w:vertAlign w:val="subscript"/>
              </w:rPr>
              <w:t>10</w:t>
            </w:r>
            <w:r>
              <w:rPr>
                <w:rFonts w:hint="default" w:ascii="Times New Roman" w:hAnsi="Times New Roman" w:eastAsia="仿宋" w:cs="Times New Roman"/>
                <w:snapToGrid w:val="0"/>
                <w:color w:val="auto"/>
                <w:sz w:val="18"/>
                <w:szCs w:val="18"/>
                <w:highlight w:val="none"/>
              </w:rPr>
              <w:t>、PM</w:t>
            </w:r>
            <w:r>
              <w:rPr>
                <w:rFonts w:hint="default" w:ascii="Times New Roman" w:hAnsi="Times New Roman" w:eastAsia="仿宋" w:cs="Times New Roman"/>
                <w:snapToGrid w:val="0"/>
                <w:color w:val="auto"/>
                <w:sz w:val="18"/>
                <w:szCs w:val="18"/>
                <w:highlight w:val="none"/>
                <w:vertAlign w:val="subscript"/>
              </w:rPr>
              <w:t>2.5</w:t>
            </w:r>
            <w:r>
              <w:rPr>
                <w:rFonts w:hint="default" w:ascii="Times New Roman" w:hAnsi="Times New Roman" w:eastAsia="仿宋" w:cs="Times New Roman"/>
                <w:snapToGrid w:val="0"/>
                <w:color w:val="auto"/>
                <w:sz w:val="18"/>
                <w:szCs w:val="18"/>
                <w:highlight w:val="none"/>
              </w:rPr>
              <w:t>、O</w:t>
            </w:r>
            <w:r>
              <w:rPr>
                <w:rFonts w:hint="default" w:ascii="Times New Roman" w:hAnsi="Times New Roman" w:eastAsia="仿宋" w:cs="Times New Roman"/>
                <w:snapToGrid w:val="0"/>
                <w:color w:val="auto"/>
                <w:sz w:val="18"/>
                <w:szCs w:val="18"/>
                <w:highlight w:val="none"/>
                <w:vertAlign w:val="subscript"/>
              </w:rPr>
              <w:t>3</w:t>
            </w:r>
            <w:r>
              <w:rPr>
                <w:rFonts w:hint="default" w:ascii="Times New Roman" w:hAnsi="Times New Roman" w:eastAsia="仿宋" w:cs="Times New Roman"/>
                <w:snapToGrid w:val="0"/>
                <w:color w:val="auto"/>
                <w:sz w:val="18"/>
                <w:szCs w:val="18"/>
                <w:highlight w:val="none"/>
              </w:rPr>
              <w:t>、CO）其他污染物（H</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S、NH</w:t>
            </w:r>
            <w:r>
              <w:rPr>
                <w:rFonts w:hint="default" w:ascii="Times New Roman" w:hAnsi="Times New Roman" w:eastAsia="仿宋" w:cs="Times New Roman"/>
                <w:snapToGrid w:val="0"/>
                <w:color w:val="auto"/>
                <w:sz w:val="18"/>
                <w:szCs w:val="18"/>
                <w:highlight w:val="none"/>
                <w:vertAlign w:val="subscript"/>
              </w:rPr>
              <w:t>3</w:t>
            </w:r>
            <w:r>
              <w:rPr>
                <w:rFonts w:hint="default" w:ascii="Times New Roman" w:hAnsi="Times New Roman" w:eastAsia="仿宋" w:cs="Times New Roman"/>
                <w:snapToGrid w:val="0"/>
                <w:color w:val="auto"/>
                <w:sz w:val="18"/>
                <w:szCs w:val="18"/>
                <w:highlight w:val="none"/>
              </w:rPr>
              <w:t>、臭气浓度、TSP）</w:t>
            </w:r>
          </w:p>
        </w:tc>
        <w:tc>
          <w:tcPr>
            <w:tcW w:w="2201" w:type="dxa"/>
            <w:gridSpan w:val="5"/>
            <w:vAlign w:val="center"/>
          </w:tcPr>
          <w:p w14:paraId="5F25BE72">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包括二次PM</w:t>
            </w:r>
            <w:r>
              <w:rPr>
                <w:rFonts w:hint="default" w:ascii="Times New Roman" w:hAnsi="Times New Roman" w:eastAsia="仿宋" w:cs="Times New Roman"/>
                <w:snapToGrid w:val="0"/>
                <w:color w:val="auto"/>
                <w:sz w:val="18"/>
                <w:szCs w:val="18"/>
                <w:highlight w:val="none"/>
                <w:vertAlign w:val="subscript"/>
              </w:rPr>
              <w:t>2.5</w:t>
            </w:r>
            <w:r>
              <w:rPr>
                <w:rFonts w:hint="default" w:ascii="Times New Roman" w:hAnsi="Times New Roman" w:eastAsia="仿宋" w:cs="Times New Roman"/>
                <w:snapToGrid w:val="0"/>
                <w:color w:val="auto"/>
                <w:sz w:val="18"/>
                <w:szCs w:val="18"/>
                <w:highlight w:val="none"/>
              </w:rPr>
              <w:t>□不包括PM</w:t>
            </w:r>
            <w:r>
              <w:rPr>
                <w:rFonts w:hint="default" w:ascii="Times New Roman" w:hAnsi="Times New Roman" w:eastAsia="仿宋" w:cs="Times New Roman"/>
                <w:snapToGrid w:val="0"/>
                <w:color w:val="auto"/>
                <w:sz w:val="18"/>
                <w:szCs w:val="18"/>
                <w:highlight w:val="none"/>
                <w:vertAlign w:val="subscript"/>
              </w:rPr>
              <w:t>2.5</w:t>
            </w:r>
            <w:r>
              <w:rPr>
                <w:rFonts w:hint="default" w:ascii="Times New Roman" w:hAnsi="Times New Roman" w:eastAsia="仿宋" w:cs="Times New Roman"/>
                <w:snapToGrid w:val="0"/>
                <w:color w:val="auto"/>
                <w:sz w:val="18"/>
                <w:szCs w:val="18"/>
                <w:highlight w:val="none"/>
              </w:rPr>
              <w:t>√</w:t>
            </w:r>
          </w:p>
        </w:tc>
      </w:tr>
      <w:tr w14:paraId="666CD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Align w:val="center"/>
          </w:tcPr>
          <w:p w14:paraId="11D6A5E1">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评价标准</w:t>
            </w:r>
          </w:p>
        </w:tc>
        <w:tc>
          <w:tcPr>
            <w:tcW w:w="1720" w:type="dxa"/>
            <w:vAlign w:val="center"/>
          </w:tcPr>
          <w:p w14:paraId="50C3F33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评价标准</w:t>
            </w:r>
          </w:p>
        </w:tc>
        <w:tc>
          <w:tcPr>
            <w:tcW w:w="1704" w:type="dxa"/>
            <w:gridSpan w:val="5"/>
            <w:vAlign w:val="center"/>
          </w:tcPr>
          <w:p w14:paraId="6422D92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国家标准√</w:t>
            </w:r>
          </w:p>
        </w:tc>
        <w:tc>
          <w:tcPr>
            <w:tcW w:w="1676" w:type="dxa"/>
            <w:gridSpan w:val="5"/>
            <w:vAlign w:val="center"/>
          </w:tcPr>
          <w:p w14:paraId="1CC7C45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地方标准□</w:t>
            </w:r>
          </w:p>
        </w:tc>
        <w:tc>
          <w:tcPr>
            <w:tcW w:w="1194" w:type="dxa"/>
            <w:gridSpan w:val="3"/>
            <w:vAlign w:val="center"/>
          </w:tcPr>
          <w:p w14:paraId="26CA31E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附录D√</w:t>
            </w:r>
          </w:p>
        </w:tc>
        <w:tc>
          <w:tcPr>
            <w:tcW w:w="1007" w:type="dxa"/>
            <w:gridSpan w:val="2"/>
            <w:vAlign w:val="center"/>
          </w:tcPr>
          <w:p w14:paraId="5E91AA6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其他标准□</w:t>
            </w:r>
          </w:p>
        </w:tc>
      </w:tr>
      <w:tr w14:paraId="0E239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3B3AF11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现状评价</w:t>
            </w:r>
          </w:p>
        </w:tc>
        <w:tc>
          <w:tcPr>
            <w:tcW w:w="1720" w:type="dxa"/>
            <w:vAlign w:val="center"/>
          </w:tcPr>
          <w:p w14:paraId="3C4ECB6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评价功能区</w:t>
            </w:r>
          </w:p>
        </w:tc>
        <w:tc>
          <w:tcPr>
            <w:tcW w:w="1704" w:type="dxa"/>
            <w:gridSpan w:val="5"/>
            <w:vAlign w:val="center"/>
          </w:tcPr>
          <w:p w14:paraId="713A3269">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一类区□</w:t>
            </w:r>
          </w:p>
        </w:tc>
        <w:tc>
          <w:tcPr>
            <w:tcW w:w="1676" w:type="dxa"/>
            <w:gridSpan w:val="5"/>
            <w:vAlign w:val="center"/>
          </w:tcPr>
          <w:p w14:paraId="43FCCDD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二类区√</w:t>
            </w:r>
          </w:p>
        </w:tc>
        <w:tc>
          <w:tcPr>
            <w:tcW w:w="2201" w:type="dxa"/>
            <w:gridSpan w:val="5"/>
            <w:vAlign w:val="center"/>
          </w:tcPr>
          <w:p w14:paraId="37C9F0C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一类和二类区□</w:t>
            </w:r>
          </w:p>
        </w:tc>
      </w:tr>
      <w:tr w14:paraId="027963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F2D9A82">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693BD20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评价基准年</w:t>
            </w:r>
          </w:p>
        </w:tc>
        <w:tc>
          <w:tcPr>
            <w:tcW w:w="5581" w:type="dxa"/>
            <w:gridSpan w:val="15"/>
            <w:vAlign w:val="center"/>
          </w:tcPr>
          <w:p w14:paraId="0D675749">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（202</w:t>
            </w:r>
            <w:r>
              <w:rPr>
                <w:rFonts w:hint="eastAsia" w:eastAsia="仿宋" w:cs="Times New Roman"/>
                <w:snapToGrid w:val="0"/>
                <w:color w:val="auto"/>
                <w:sz w:val="18"/>
                <w:szCs w:val="18"/>
                <w:highlight w:val="none"/>
                <w:lang w:val="en-US" w:eastAsia="zh-CN"/>
              </w:rPr>
              <w:t>5</w:t>
            </w:r>
            <w:r>
              <w:rPr>
                <w:rFonts w:hint="default" w:ascii="Times New Roman" w:hAnsi="Times New Roman" w:eastAsia="仿宋" w:cs="Times New Roman"/>
                <w:snapToGrid w:val="0"/>
                <w:color w:val="auto"/>
                <w:sz w:val="18"/>
                <w:szCs w:val="18"/>
                <w:highlight w:val="none"/>
              </w:rPr>
              <w:t>）年</w:t>
            </w:r>
          </w:p>
        </w:tc>
      </w:tr>
      <w:tr w14:paraId="3D34E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3197F919">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02B240B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环境空气质量现状调查数据来源</w:t>
            </w:r>
          </w:p>
        </w:tc>
        <w:tc>
          <w:tcPr>
            <w:tcW w:w="1704" w:type="dxa"/>
            <w:gridSpan w:val="5"/>
            <w:vAlign w:val="center"/>
          </w:tcPr>
          <w:p w14:paraId="2969205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长期例行监测数据□</w:t>
            </w:r>
          </w:p>
        </w:tc>
        <w:tc>
          <w:tcPr>
            <w:tcW w:w="1676" w:type="dxa"/>
            <w:gridSpan w:val="5"/>
            <w:vAlign w:val="center"/>
          </w:tcPr>
          <w:p w14:paraId="0D190E7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主管部门发布的数据√</w:t>
            </w:r>
          </w:p>
        </w:tc>
        <w:tc>
          <w:tcPr>
            <w:tcW w:w="2201" w:type="dxa"/>
            <w:gridSpan w:val="5"/>
            <w:vAlign w:val="center"/>
          </w:tcPr>
          <w:p w14:paraId="71DB73AE">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现状补充监测√</w:t>
            </w:r>
          </w:p>
        </w:tc>
      </w:tr>
      <w:tr w14:paraId="126CED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20963AF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6D88901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现状评价</w:t>
            </w:r>
          </w:p>
        </w:tc>
        <w:tc>
          <w:tcPr>
            <w:tcW w:w="3380" w:type="dxa"/>
            <w:gridSpan w:val="10"/>
            <w:vAlign w:val="center"/>
          </w:tcPr>
          <w:p w14:paraId="2CB87E7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达标区</w:t>
            </w:r>
            <w:r>
              <w:rPr>
                <w:rFonts w:hint="eastAsia" w:eastAsia="仿宋" w:cs="Times New Roman"/>
                <w:snapToGrid w:val="0"/>
                <w:color w:val="auto"/>
                <w:sz w:val="18"/>
                <w:szCs w:val="18"/>
                <w:highlight w:val="none"/>
                <w:lang w:eastAsia="zh-CN"/>
              </w:rPr>
              <w:t>☑</w:t>
            </w:r>
          </w:p>
        </w:tc>
        <w:tc>
          <w:tcPr>
            <w:tcW w:w="2201" w:type="dxa"/>
            <w:gridSpan w:val="5"/>
            <w:vAlign w:val="center"/>
          </w:tcPr>
          <w:p w14:paraId="12DC0DE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不达标区□</w:t>
            </w:r>
          </w:p>
        </w:tc>
      </w:tr>
      <w:tr w14:paraId="67564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Align w:val="center"/>
          </w:tcPr>
          <w:p w14:paraId="1336786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污染源</w:t>
            </w:r>
          </w:p>
          <w:p w14:paraId="2AF512A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调查</w:t>
            </w:r>
          </w:p>
        </w:tc>
        <w:tc>
          <w:tcPr>
            <w:tcW w:w="1720" w:type="dxa"/>
            <w:vAlign w:val="center"/>
          </w:tcPr>
          <w:p w14:paraId="491C18B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调查内容</w:t>
            </w:r>
          </w:p>
        </w:tc>
        <w:tc>
          <w:tcPr>
            <w:tcW w:w="1850" w:type="dxa"/>
            <w:gridSpan w:val="6"/>
            <w:vAlign w:val="center"/>
          </w:tcPr>
          <w:p w14:paraId="06910B0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本项目正常排放√</w:t>
            </w:r>
          </w:p>
          <w:p w14:paraId="5E0A6FA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本项目非正常排放源√</w:t>
            </w:r>
          </w:p>
        </w:tc>
        <w:tc>
          <w:tcPr>
            <w:tcW w:w="1530" w:type="dxa"/>
            <w:gridSpan w:val="4"/>
            <w:vAlign w:val="center"/>
          </w:tcPr>
          <w:p w14:paraId="63FB62B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现有污染源□</w:t>
            </w:r>
          </w:p>
          <w:p w14:paraId="03A6365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拟替代的污染源□</w:t>
            </w:r>
          </w:p>
        </w:tc>
        <w:tc>
          <w:tcPr>
            <w:tcW w:w="1194" w:type="dxa"/>
            <w:gridSpan w:val="3"/>
            <w:vAlign w:val="center"/>
          </w:tcPr>
          <w:p w14:paraId="3DCEF904">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其他在建、拟建项目污染源□</w:t>
            </w:r>
          </w:p>
        </w:tc>
        <w:tc>
          <w:tcPr>
            <w:tcW w:w="1007" w:type="dxa"/>
            <w:gridSpan w:val="2"/>
            <w:vAlign w:val="center"/>
          </w:tcPr>
          <w:p w14:paraId="30E6250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区域污染源□</w:t>
            </w:r>
          </w:p>
        </w:tc>
      </w:tr>
      <w:tr w14:paraId="76D65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230A1539">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大气环境影响预测与评价</w:t>
            </w:r>
          </w:p>
        </w:tc>
        <w:tc>
          <w:tcPr>
            <w:tcW w:w="1720" w:type="dxa"/>
            <w:vAlign w:val="center"/>
          </w:tcPr>
          <w:p w14:paraId="1C95531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预测模型</w:t>
            </w:r>
          </w:p>
        </w:tc>
        <w:tc>
          <w:tcPr>
            <w:tcW w:w="691" w:type="dxa"/>
            <w:vAlign w:val="center"/>
          </w:tcPr>
          <w:p w14:paraId="45B02DAE">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AERMOD□</w:t>
            </w:r>
          </w:p>
        </w:tc>
        <w:tc>
          <w:tcPr>
            <w:tcW w:w="691" w:type="dxa"/>
            <w:gridSpan w:val="3"/>
            <w:vAlign w:val="center"/>
          </w:tcPr>
          <w:p w14:paraId="2899FAA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ADMS□</w:t>
            </w:r>
          </w:p>
        </w:tc>
        <w:tc>
          <w:tcPr>
            <w:tcW w:w="910" w:type="dxa"/>
            <w:gridSpan w:val="3"/>
            <w:vAlign w:val="center"/>
          </w:tcPr>
          <w:p w14:paraId="0BA41BC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AUSTAL2000□</w:t>
            </w:r>
          </w:p>
        </w:tc>
        <w:tc>
          <w:tcPr>
            <w:tcW w:w="1088" w:type="dxa"/>
            <w:gridSpan w:val="3"/>
            <w:vAlign w:val="center"/>
          </w:tcPr>
          <w:p w14:paraId="6349927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ENMSS/AEDT□</w:t>
            </w:r>
          </w:p>
        </w:tc>
        <w:tc>
          <w:tcPr>
            <w:tcW w:w="628" w:type="dxa"/>
            <w:gridSpan w:val="2"/>
            <w:vAlign w:val="center"/>
          </w:tcPr>
          <w:p w14:paraId="77BDACC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CALPUFF□</w:t>
            </w:r>
          </w:p>
        </w:tc>
        <w:tc>
          <w:tcPr>
            <w:tcW w:w="896" w:type="dxa"/>
            <w:gridSpan w:val="2"/>
            <w:vAlign w:val="center"/>
          </w:tcPr>
          <w:p w14:paraId="7BD4210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网格模型□</w:t>
            </w:r>
          </w:p>
        </w:tc>
        <w:tc>
          <w:tcPr>
            <w:tcW w:w="677" w:type="dxa"/>
            <w:vAlign w:val="center"/>
          </w:tcPr>
          <w:p w14:paraId="1DBA908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其他□</w:t>
            </w:r>
          </w:p>
        </w:tc>
      </w:tr>
      <w:tr w14:paraId="6C3F06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E64A0E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225B63E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预测范围</w:t>
            </w:r>
          </w:p>
        </w:tc>
        <w:tc>
          <w:tcPr>
            <w:tcW w:w="1704" w:type="dxa"/>
            <w:gridSpan w:val="5"/>
            <w:vAlign w:val="center"/>
          </w:tcPr>
          <w:p w14:paraId="2A68705F">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边长=50km</w:t>
            </w:r>
            <w:r>
              <w:rPr>
                <w:rFonts w:hint="eastAsia" w:eastAsia="仿宋" w:cs="Times New Roman"/>
                <w:snapToGrid w:val="0"/>
                <w:color w:val="auto"/>
                <w:sz w:val="18"/>
                <w:szCs w:val="18"/>
                <w:highlight w:val="none"/>
                <w:lang w:eastAsia="zh-CN"/>
              </w:rPr>
              <w:t>☑</w:t>
            </w:r>
          </w:p>
        </w:tc>
        <w:tc>
          <w:tcPr>
            <w:tcW w:w="1676" w:type="dxa"/>
            <w:gridSpan w:val="5"/>
            <w:vAlign w:val="center"/>
          </w:tcPr>
          <w:p w14:paraId="1B23E9E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边长=5~50km□</w:t>
            </w:r>
          </w:p>
        </w:tc>
        <w:tc>
          <w:tcPr>
            <w:tcW w:w="2201" w:type="dxa"/>
            <w:gridSpan w:val="5"/>
            <w:vAlign w:val="center"/>
          </w:tcPr>
          <w:p w14:paraId="64E7920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边长=5km□</w:t>
            </w:r>
          </w:p>
        </w:tc>
      </w:tr>
      <w:tr w14:paraId="4E5714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0FE5B3F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3A06056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预测因子</w:t>
            </w:r>
          </w:p>
        </w:tc>
        <w:tc>
          <w:tcPr>
            <w:tcW w:w="2994" w:type="dxa"/>
            <w:gridSpan w:val="9"/>
            <w:vAlign w:val="center"/>
          </w:tcPr>
          <w:p w14:paraId="0045A88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预测因子（H</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S、NH</w:t>
            </w:r>
            <w:r>
              <w:rPr>
                <w:rFonts w:hint="default" w:ascii="Times New Roman" w:hAnsi="Times New Roman" w:eastAsia="仿宋" w:cs="Times New Roman"/>
                <w:snapToGrid w:val="0"/>
                <w:color w:val="auto"/>
                <w:sz w:val="18"/>
                <w:szCs w:val="18"/>
                <w:highlight w:val="none"/>
                <w:vertAlign w:val="subscript"/>
              </w:rPr>
              <w:t>3</w:t>
            </w:r>
            <w:r>
              <w:rPr>
                <w:rFonts w:hint="default" w:ascii="Times New Roman" w:hAnsi="Times New Roman" w:eastAsia="仿宋" w:cs="Times New Roman"/>
                <w:snapToGrid w:val="0"/>
                <w:color w:val="auto"/>
                <w:sz w:val="18"/>
                <w:szCs w:val="18"/>
                <w:highlight w:val="none"/>
              </w:rPr>
              <w:t>）</w:t>
            </w:r>
          </w:p>
        </w:tc>
        <w:tc>
          <w:tcPr>
            <w:tcW w:w="2587" w:type="dxa"/>
            <w:gridSpan w:val="6"/>
            <w:vAlign w:val="center"/>
          </w:tcPr>
          <w:p w14:paraId="3F46191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包括二次PM</w:t>
            </w:r>
            <w:r>
              <w:rPr>
                <w:rFonts w:hint="default" w:ascii="Times New Roman" w:hAnsi="Times New Roman" w:eastAsia="仿宋" w:cs="Times New Roman"/>
                <w:snapToGrid w:val="0"/>
                <w:color w:val="auto"/>
                <w:sz w:val="18"/>
                <w:szCs w:val="18"/>
                <w:highlight w:val="none"/>
                <w:vertAlign w:val="subscript"/>
              </w:rPr>
              <w:t>2.5</w:t>
            </w:r>
            <w:r>
              <w:rPr>
                <w:rFonts w:hint="default" w:ascii="Times New Roman" w:hAnsi="Times New Roman" w:eastAsia="仿宋" w:cs="Times New Roman"/>
                <w:snapToGrid w:val="0"/>
                <w:color w:val="auto"/>
                <w:sz w:val="18"/>
                <w:szCs w:val="18"/>
                <w:highlight w:val="none"/>
              </w:rPr>
              <w:t>□</w:t>
            </w:r>
          </w:p>
          <w:p w14:paraId="3B9035BB">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不包括PM</w:t>
            </w:r>
            <w:r>
              <w:rPr>
                <w:rFonts w:hint="default" w:ascii="Times New Roman" w:hAnsi="Times New Roman" w:eastAsia="仿宋" w:cs="Times New Roman"/>
                <w:snapToGrid w:val="0"/>
                <w:color w:val="auto"/>
                <w:sz w:val="18"/>
                <w:szCs w:val="18"/>
                <w:highlight w:val="none"/>
                <w:vertAlign w:val="subscript"/>
              </w:rPr>
              <w:t>2.5</w:t>
            </w:r>
            <w:r>
              <w:rPr>
                <w:rFonts w:hint="eastAsia" w:eastAsia="仿宋" w:cs="Times New Roman"/>
                <w:snapToGrid w:val="0"/>
                <w:color w:val="auto"/>
                <w:sz w:val="18"/>
                <w:szCs w:val="18"/>
                <w:highlight w:val="none"/>
                <w:lang w:eastAsia="zh-CN"/>
              </w:rPr>
              <w:t>☑</w:t>
            </w:r>
          </w:p>
        </w:tc>
      </w:tr>
      <w:tr w14:paraId="53D248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6AB0861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44566557">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正常排放短期浓度贡献值</w:t>
            </w:r>
          </w:p>
        </w:tc>
        <w:tc>
          <w:tcPr>
            <w:tcW w:w="2994" w:type="dxa"/>
            <w:gridSpan w:val="9"/>
            <w:vAlign w:val="center"/>
          </w:tcPr>
          <w:p w14:paraId="0833F754">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最大占标率≤100%</w:t>
            </w:r>
            <w:r>
              <w:rPr>
                <w:rFonts w:hint="eastAsia" w:eastAsia="仿宋" w:cs="Times New Roman"/>
                <w:snapToGrid w:val="0"/>
                <w:color w:val="auto"/>
                <w:sz w:val="18"/>
                <w:szCs w:val="18"/>
                <w:highlight w:val="none"/>
                <w:lang w:eastAsia="zh-CN"/>
              </w:rPr>
              <w:t>☑</w:t>
            </w:r>
          </w:p>
        </w:tc>
        <w:tc>
          <w:tcPr>
            <w:tcW w:w="2587" w:type="dxa"/>
            <w:gridSpan w:val="6"/>
            <w:vAlign w:val="center"/>
          </w:tcPr>
          <w:p w14:paraId="7299E2A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最大占标率＞100%□</w:t>
            </w:r>
          </w:p>
        </w:tc>
      </w:tr>
      <w:tr w14:paraId="58B757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34ED757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Merge w:val="restart"/>
            <w:vAlign w:val="center"/>
          </w:tcPr>
          <w:p w14:paraId="5FB7231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正常排放年均浓度贡献值</w:t>
            </w:r>
          </w:p>
        </w:tc>
        <w:tc>
          <w:tcPr>
            <w:tcW w:w="853" w:type="dxa"/>
            <w:gridSpan w:val="2"/>
            <w:vAlign w:val="center"/>
          </w:tcPr>
          <w:p w14:paraId="05B8339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一类区</w:t>
            </w:r>
          </w:p>
        </w:tc>
        <w:tc>
          <w:tcPr>
            <w:tcW w:w="2527" w:type="dxa"/>
            <w:gridSpan w:val="8"/>
            <w:vAlign w:val="center"/>
          </w:tcPr>
          <w:p w14:paraId="790AE83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最大占标率≤10%□</w:t>
            </w:r>
          </w:p>
        </w:tc>
        <w:tc>
          <w:tcPr>
            <w:tcW w:w="2201" w:type="dxa"/>
            <w:gridSpan w:val="5"/>
            <w:vAlign w:val="center"/>
          </w:tcPr>
          <w:p w14:paraId="1A5BCD0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最大占标率＞10%□</w:t>
            </w:r>
          </w:p>
        </w:tc>
      </w:tr>
      <w:tr w14:paraId="48C3D3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4C924C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Merge w:val="continue"/>
            <w:vAlign w:val="center"/>
          </w:tcPr>
          <w:p w14:paraId="31B3A1B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853" w:type="dxa"/>
            <w:gridSpan w:val="2"/>
            <w:vAlign w:val="center"/>
          </w:tcPr>
          <w:p w14:paraId="64C7A28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二类区</w:t>
            </w:r>
          </w:p>
        </w:tc>
        <w:tc>
          <w:tcPr>
            <w:tcW w:w="2527" w:type="dxa"/>
            <w:gridSpan w:val="8"/>
            <w:vAlign w:val="center"/>
          </w:tcPr>
          <w:p w14:paraId="7D71D780">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最大占标率≤30%</w:t>
            </w:r>
            <w:r>
              <w:rPr>
                <w:rFonts w:hint="eastAsia" w:eastAsia="仿宋" w:cs="Times New Roman"/>
                <w:snapToGrid w:val="0"/>
                <w:color w:val="auto"/>
                <w:sz w:val="18"/>
                <w:szCs w:val="18"/>
                <w:highlight w:val="none"/>
                <w:lang w:eastAsia="zh-CN"/>
              </w:rPr>
              <w:t>☑</w:t>
            </w:r>
          </w:p>
        </w:tc>
        <w:tc>
          <w:tcPr>
            <w:tcW w:w="2201" w:type="dxa"/>
            <w:gridSpan w:val="5"/>
            <w:vAlign w:val="center"/>
          </w:tcPr>
          <w:p w14:paraId="0A2FC0C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本项目</w:t>
            </w:r>
            <w:r>
              <w:rPr>
                <w:rFonts w:hint="default" w:ascii="Times New Roman" w:hAnsi="Times New Roman" w:eastAsia="仿宋" w:cs="Times New Roman"/>
                <w:snapToGrid w:val="0"/>
                <w:color w:val="auto"/>
                <w:sz w:val="18"/>
                <w:szCs w:val="18"/>
                <w:highlight w:val="none"/>
              </w:rPr>
              <w:t>最大占标率＞30%□</w:t>
            </w:r>
          </w:p>
        </w:tc>
      </w:tr>
      <w:tr w14:paraId="092378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111192D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7DCFB69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非正常排放1h浓度贡献值</w:t>
            </w:r>
          </w:p>
        </w:tc>
        <w:tc>
          <w:tcPr>
            <w:tcW w:w="1720" w:type="dxa"/>
            <w:gridSpan w:val="5"/>
            <w:vAlign w:val="center"/>
          </w:tcPr>
          <w:p w14:paraId="71DEB4B7">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非正常持续时长（</w:t>
            </w:r>
            <w:r>
              <w:rPr>
                <w:rFonts w:hint="eastAsia" w:eastAsia="仿宋" w:cs="Times New Roman"/>
                <w:snapToGrid w:val="0"/>
                <w:color w:val="auto"/>
                <w:sz w:val="18"/>
                <w:szCs w:val="18"/>
                <w:highlight w:val="none"/>
                <w:lang w:val="en-US" w:eastAsia="zh-CN"/>
              </w:rPr>
              <w:t>1</w:t>
            </w:r>
            <w:r>
              <w:rPr>
                <w:rFonts w:hint="default" w:ascii="Times New Roman" w:hAnsi="Times New Roman" w:eastAsia="仿宋" w:cs="Times New Roman"/>
                <w:snapToGrid w:val="0"/>
                <w:color w:val="auto"/>
                <w:sz w:val="18"/>
                <w:szCs w:val="18"/>
                <w:highlight w:val="none"/>
              </w:rPr>
              <w:t>）h</w:t>
            </w:r>
          </w:p>
        </w:tc>
        <w:tc>
          <w:tcPr>
            <w:tcW w:w="1660" w:type="dxa"/>
            <w:gridSpan w:val="5"/>
            <w:vAlign w:val="center"/>
          </w:tcPr>
          <w:p w14:paraId="232FF17F">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非正常</w:t>
            </w:r>
            <w:r>
              <w:rPr>
                <w:rFonts w:hint="default" w:ascii="Times New Roman" w:hAnsi="Times New Roman" w:eastAsia="仿宋" w:cs="Times New Roman"/>
                <w:snapToGrid w:val="0"/>
                <w:color w:val="auto"/>
                <w:sz w:val="18"/>
                <w:szCs w:val="18"/>
                <w:highlight w:val="none"/>
              </w:rPr>
              <w:t>占标率≤100%</w:t>
            </w:r>
            <w:r>
              <w:rPr>
                <w:rFonts w:hint="eastAsia" w:eastAsia="仿宋" w:cs="Times New Roman"/>
                <w:snapToGrid w:val="0"/>
                <w:color w:val="auto"/>
                <w:sz w:val="18"/>
                <w:szCs w:val="18"/>
                <w:highlight w:val="none"/>
                <w:lang w:eastAsia="zh-CN"/>
              </w:rPr>
              <w:t>☑</w:t>
            </w:r>
          </w:p>
        </w:tc>
        <w:tc>
          <w:tcPr>
            <w:tcW w:w="2201" w:type="dxa"/>
            <w:gridSpan w:val="5"/>
            <w:vAlign w:val="center"/>
          </w:tcPr>
          <w:p w14:paraId="0469E8B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非正常</w:t>
            </w:r>
            <w:r>
              <w:rPr>
                <w:rFonts w:hint="default" w:ascii="Times New Roman" w:hAnsi="Times New Roman" w:eastAsia="仿宋" w:cs="Times New Roman"/>
                <w:snapToGrid w:val="0"/>
                <w:color w:val="auto"/>
                <w:sz w:val="18"/>
                <w:szCs w:val="18"/>
                <w:highlight w:val="none"/>
              </w:rPr>
              <w:t>占标率＞100%□</w:t>
            </w:r>
          </w:p>
        </w:tc>
      </w:tr>
      <w:tr w14:paraId="4D27F5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5F75D017">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204573D3">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保证率日平均浓度和年平均跌价值</w:t>
            </w:r>
          </w:p>
        </w:tc>
        <w:tc>
          <w:tcPr>
            <w:tcW w:w="2529" w:type="dxa"/>
            <w:gridSpan w:val="8"/>
            <w:vAlign w:val="center"/>
          </w:tcPr>
          <w:p w14:paraId="337505C8">
            <w:pPr>
              <w:spacing w:line="240" w:lineRule="auto"/>
              <w:ind w:firstLine="0" w:firstLineChars="0"/>
              <w:jc w:val="center"/>
              <w:rPr>
                <w:rFonts w:hint="eastAsia" w:ascii="Times New Roman" w:hAnsi="Times New Roman" w:eastAsia="仿宋" w:cs="Times New Roman"/>
                <w:snapToGrid w:val="0"/>
                <w:color w:val="auto"/>
                <w:sz w:val="18"/>
                <w:szCs w:val="18"/>
                <w:highlight w:val="none"/>
                <w:lang w:eastAsia="zh-CN"/>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叠加</w:t>
            </w:r>
            <w:r>
              <w:rPr>
                <w:rFonts w:hint="default" w:ascii="Times New Roman" w:hAnsi="Times New Roman" w:eastAsia="仿宋" w:cs="Times New Roman"/>
                <w:snapToGrid w:val="0"/>
                <w:color w:val="auto"/>
                <w:sz w:val="18"/>
                <w:szCs w:val="18"/>
                <w:highlight w:val="none"/>
              </w:rPr>
              <w:t>达标</w:t>
            </w:r>
            <w:r>
              <w:rPr>
                <w:rFonts w:hint="eastAsia" w:eastAsia="仿宋" w:cs="Times New Roman"/>
                <w:snapToGrid w:val="0"/>
                <w:color w:val="auto"/>
                <w:sz w:val="18"/>
                <w:szCs w:val="18"/>
                <w:highlight w:val="none"/>
                <w:lang w:eastAsia="zh-CN"/>
              </w:rPr>
              <w:t>☑</w:t>
            </w:r>
          </w:p>
        </w:tc>
        <w:tc>
          <w:tcPr>
            <w:tcW w:w="3052" w:type="dxa"/>
            <w:gridSpan w:val="7"/>
            <w:vAlign w:val="center"/>
          </w:tcPr>
          <w:p w14:paraId="66965BF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C</w:t>
            </w:r>
            <w:r>
              <w:rPr>
                <w:rFonts w:hint="default" w:ascii="Times New Roman" w:hAnsi="Times New Roman" w:eastAsia="仿宋" w:cs="Times New Roman"/>
                <w:snapToGrid w:val="0"/>
                <w:color w:val="auto"/>
                <w:sz w:val="18"/>
                <w:szCs w:val="18"/>
                <w:highlight w:val="none"/>
                <w:vertAlign w:val="subscript"/>
              </w:rPr>
              <w:t>叠加</w:t>
            </w:r>
            <w:r>
              <w:rPr>
                <w:rFonts w:hint="default" w:ascii="Times New Roman" w:hAnsi="Times New Roman" w:eastAsia="仿宋" w:cs="Times New Roman"/>
                <w:snapToGrid w:val="0"/>
                <w:color w:val="auto"/>
                <w:sz w:val="18"/>
                <w:szCs w:val="18"/>
                <w:highlight w:val="none"/>
              </w:rPr>
              <w:t>不达标□</w:t>
            </w:r>
          </w:p>
        </w:tc>
      </w:tr>
      <w:tr w14:paraId="662EC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E466A0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59495FFE">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区域环境质量的正太变化情况</w:t>
            </w:r>
          </w:p>
        </w:tc>
        <w:tc>
          <w:tcPr>
            <w:tcW w:w="2529" w:type="dxa"/>
            <w:gridSpan w:val="8"/>
            <w:vAlign w:val="center"/>
          </w:tcPr>
          <w:p w14:paraId="59278D10">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K≤-20%</w:t>
            </w:r>
          </w:p>
        </w:tc>
        <w:tc>
          <w:tcPr>
            <w:tcW w:w="3052" w:type="dxa"/>
            <w:gridSpan w:val="7"/>
            <w:vAlign w:val="center"/>
          </w:tcPr>
          <w:p w14:paraId="7040135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K＞-20%</w:t>
            </w:r>
          </w:p>
        </w:tc>
      </w:tr>
      <w:tr w14:paraId="49E5C2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55098126">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环境监测计划</w:t>
            </w:r>
          </w:p>
        </w:tc>
        <w:tc>
          <w:tcPr>
            <w:tcW w:w="1720" w:type="dxa"/>
            <w:vAlign w:val="center"/>
          </w:tcPr>
          <w:p w14:paraId="14A49FF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污染源监测</w:t>
            </w:r>
          </w:p>
        </w:tc>
        <w:tc>
          <w:tcPr>
            <w:tcW w:w="2529" w:type="dxa"/>
            <w:gridSpan w:val="8"/>
            <w:vAlign w:val="center"/>
          </w:tcPr>
          <w:p w14:paraId="529D222D">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监测因子：（H</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S、NH</w:t>
            </w:r>
            <w:r>
              <w:rPr>
                <w:rFonts w:hint="default" w:ascii="Times New Roman" w:hAnsi="Times New Roman" w:eastAsia="仿宋" w:cs="Times New Roman"/>
                <w:snapToGrid w:val="0"/>
                <w:color w:val="auto"/>
                <w:sz w:val="18"/>
                <w:szCs w:val="18"/>
                <w:highlight w:val="none"/>
                <w:vertAlign w:val="subscript"/>
              </w:rPr>
              <w:t>3</w:t>
            </w:r>
            <w:r>
              <w:rPr>
                <w:rFonts w:hint="default" w:ascii="Times New Roman" w:hAnsi="Times New Roman" w:eastAsia="仿宋" w:cs="Times New Roman"/>
                <w:snapToGrid w:val="0"/>
                <w:color w:val="auto"/>
                <w:sz w:val="18"/>
                <w:szCs w:val="18"/>
                <w:highlight w:val="none"/>
              </w:rPr>
              <w:t>、臭气浓度）</w:t>
            </w:r>
          </w:p>
          <w:p w14:paraId="1FFABDAB">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有组织废气监测√</w:t>
            </w:r>
          </w:p>
        </w:tc>
        <w:tc>
          <w:tcPr>
            <w:tcW w:w="1191" w:type="dxa"/>
            <w:gridSpan w:val="3"/>
            <w:vAlign w:val="center"/>
          </w:tcPr>
          <w:p w14:paraId="25EA3A5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无组织废气监测√</w:t>
            </w:r>
          </w:p>
        </w:tc>
        <w:tc>
          <w:tcPr>
            <w:tcW w:w="1861" w:type="dxa"/>
            <w:gridSpan w:val="4"/>
            <w:vAlign w:val="center"/>
          </w:tcPr>
          <w:p w14:paraId="1303781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无监测□</w:t>
            </w:r>
          </w:p>
        </w:tc>
      </w:tr>
      <w:tr w14:paraId="66F30E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9CAFF8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42CD2C2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环境质量监测</w:t>
            </w:r>
          </w:p>
        </w:tc>
        <w:tc>
          <w:tcPr>
            <w:tcW w:w="1720" w:type="dxa"/>
            <w:gridSpan w:val="5"/>
            <w:vAlign w:val="center"/>
          </w:tcPr>
          <w:p w14:paraId="42AC458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监测因子：（H</w:t>
            </w:r>
            <w:r>
              <w:rPr>
                <w:rFonts w:hint="default" w:ascii="Times New Roman" w:hAnsi="Times New Roman" w:eastAsia="仿宋" w:cs="Times New Roman"/>
                <w:snapToGrid w:val="0"/>
                <w:color w:val="auto"/>
                <w:sz w:val="18"/>
                <w:szCs w:val="18"/>
                <w:highlight w:val="none"/>
                <w:vertAlign w:val="subscript"/>
              </w:rPr>
              <w:t>2</w:t>
            </w:r>
            <w:r>
              <w:rPr>
                <w:rFonts w:hint="default" w:ascii="Times New Roman" w:hAnsi="Times New Roman" w:eastAsia="仿宋" w:cs="Times New Roman"/>
                <w:snapToGrid w:val="0"/>
                <w:color w:val="auto"/>
                <w:sz w:val="18"/>
                <w:szCs w:val="18"/>
                <w:highlight w:val="none"/>
              </w:rPr>
              <w:t>S、NH</w:t>
            </w:r>
            <w:r>
              <w:rPr>
                <w:rFonts w:hint="default" w:ascii="Times New Roman" w:hAnsi="Times New Roman" w:eastAsia="仿宋" w:cs="Times New Roman"/>
                <w:snapToGrid w:val="0"/>
                <w:color w:val="auto"/>
                <w:sz w:val="18"/>
                <w:szCs w:val="18"/>
                <w:highlight w:val="none"/>
                <w:vertAlign w:val="subscript"/>
              </w:rPr>
              <w:t>3</w:t>
            </w:r>
            <w:r>
              <w:rPr>
                <w:rFonts w:hint="default" w:ascii="Times New Roman" w:hAnsi="Times New Roman" w:eastAsia="仿宋" w:cs="Times New Roman"/>
                <w:snapToGrid w:val="0"/>
                <w:color w:val="auto"/>
                <w:sz w:val="18"/>
                <w:szCs w:val="18"/>
                <w:highlight w:val="none"/>
              </w:rPr>
              <w:t>）</w:t>
            </w:r>
          </w:p>
        </w:tc>
        <w:tc>
          <w:tcPr>
            <w:tcW w:w="1660" w:type="dxa"/>
            <w:gridSpan w:val="5"/>
            <w:vAlign w:val="center"/>
          </w:tcPr>
          <w:p w14:paraId="5EDD90FB">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监测点位（</w:t>
            </w:r>
            <w:r>
              <w:rPr>
                <w:rFonts w:hint="eastAsia" w:eastAsia="仿宋" w:cs="Times New Roman"/>
                <w:snapToGrid w:val="0"/>
                <w:color w:val="auto"/>
                <w:sz w:val="18"/>
                <w:szCs w:val="18"/>
                <w:highlight w:val="none"/>
                <w:lang w:val="en-US" w:eastAsia="zh-CN"/>
              </w:rPr>
              <w:t>厂区</w:t>
            </w:r>
            <w:r>
              <w:rPr>
                <w:rFonts w:hint="default" w:ascii="Times New Roman" w:hAnsi="Times New Roman" w:eastAsia="仿宋" w:cs="Times New Roman"/>
                <w:snapToGrid w:val="0"/>
                <w:color w:val="auto"/>
                <w:sz w:val="18"/>
                <w:szCs w:val="18"/>
                <w:highlight w:val="none"/>
              </w:rPr>
              <w:t>）</w:t>
            </w:r>
          </w:p>
        </w:tc>
        <w:tc>
          <w:tcPr>
            <w:tcW w:w="2201" w:type="dxa"/>
            <w:gridSpan w:val="5"/>
            <w:vAlign w:val="center"/>
          </w:tcPr>
          <w:p w14:paraId="0FC45B05">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无监测□</w:t>
            </w:r>
          </w:p>
        </w:tc>
      </w:tr>
      <w:tr w14:paraId="4C914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restart"/>
            <w:vAlign w:val="center"/>
          </w:tcPr>
          <w:p w14:paraId="177EF0D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评价结论</w:t>
            </w:r>
          </w:p>
        </w:tc>
        <w:tc>
          <w:tcPr>
            <w:tcW w:w="1720" w:type="dxa"/>
            <w:vAlign w:val="center"/>
          </w:tcPr>
          <w:p w14:paraId="62E4888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环境影响</w:t>
            </w:r>
          </w:p>
        </w:tc>
        <w:tc>
          <w:tcPr>
            <w:tcW w:w="2556" w:type="dxa"/>
            <w:gridSpan w:val="8"/>
            <w:vAlign w:val="center"/>
          </w:tcPr>
          <w:p w14:paraId="456EF7B8">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可以接受√</w:t>
            </w:r>
          </w:p>
        </w:tc>
        <w:tc>
          <w:tcPr>
            <w:tcW w:w="3025" w:type="dxa"/>
            <w:gridSpan w:val="7"/>
            <w:vAlign w:val="center"/>
          </w:tcPr>
          <w:p w14:paraId="224BD95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不可以接受□</w:t>
            </w:r>
          </w:p>
        </w:tc>
      </w:tr>
      <w:tr w14:paraId="309E3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73223ADC">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73107A0F">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大气环境防护距离</w:t>
            </w:r>
          </w:p>
        </w:tc>
        <w:tc>
          <w:tcPr>
            <w:tcW w:w="5581" w:type="dxa"/>
            <w:gridSpan w:val="15"/>
            <w:vAlign w:val="center"/>
          </w:tcPr>
          <w:p w14:paraId="731EB621">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距（）厂界最远（）m</w:t>
            </w:r>
          </w:p>
        </w:tc>
      </w:tr>
      <w:tr w14:paraId="662EC5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81" w:type="dxa"/>
            <w:vMerge w:val="continue"/>
            <w:vAlign w:val="center"/>
          </w:tcPr>
          <w:p w14:paraId="33172034">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p>
        </w:tc>
        <w:tc>
          <w:tcPr>
            <w:tcW w:w="1720" w:type="dxa"/>
            <w:vAlign w:val="center"/>
          </w:tcPr>
          <w:p w14:paraId="358E677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污染源年排放量</w:t>
            </w:r>
          </w:p>
        </w:tc>
        <w:tc>
          <w:tcPr>
            <w:tcW w:w="1253" w:type="dxa"/>
            <w:gridSpan w:val="3"/>
            <w:vAlign w:val="center"/>
          </w:tcPr>
          <w:p w14:paraId="0E11A214">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SO</w:t>
            </w:r>
            <w:r>
              <w:rPr>
                <w:rFonts w:hint="default" w:ascii="Times New Roman" w:hAnsi="Times New Roman" w:eastAsia="仿宋" w:cs="Times New Roman"/>
                <w:snapToGrid w:val="0"/>
                <w:color w:val="auto"/>
                <w:sz w:val="18"/>
                <w:szCs w:val="18"/>
                <w:highlight w:val="none"/>
                <w:vertAlign w:val="subscript"/>
              </w:rPr>
              <w:t>2</w:t>
            </w:r>
          </w:p>
          <w:p w14:paraId="58822159">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w:t>
            </w:r>
            <w:r>
              <w:rPr>
                <w:rFonts w:hint="eastAsia" w:eastAsia="仿宋" w:cs="Times New Roman"/>
                <w:snapToGrid w:val="0"/>
                <w:color w:val="auto"/>
                <w:kern w:val="0"/>
                <w:sz w:val="18"/>
                <w:szCs w:val="18"/>
                <w:highlight w:val="none"/>
                <w:lang w:val="en-US" w:eastAsia="zh-CN"/>
              </w:rPr>
              <w:t xml:space="preserve"> </w:t>
            </w:r>
            <w:r>
              <w:rPr>
                <w:rFonts w:hint="default" w:ascii="Times New Roman" w:hAnsi="Times New Roman" w:eastAsia="仿宋" w:cs="Times New Roman"/>
                <w:snapToGrid w:val="0"/>
                <w:color w:val="auto"/>
                <w:sz w:val="18"/>
                <w:szCs w:val="18"/>
                <w:highlight w:val="none"/>
              </w:rPr>
              <w:t>）t/a</w:t>
            </w:r>
          </w:p>
        </w:tc>
        <w:tc>
          <w:tcPr>
            <w:tcW w:w="1320" w:type="dxa"/>
            <w:gridSpan w:val="5"/>
            <w:vAlign w:val="center"/>
          </w:tcPr>
          <w:p w14:paraId="2C758358">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NO</w:t>
            </w:r>
            <w:r>
              <w:rPr>
                <w:rFonts w:hint="default" w:ascii="Times New Roman" w:hAnsi="Times New Roman" w:eastAsia="仿宋" w:cs="Times New Roman"/>
                <w:snapToGrid w:val="0"/>
                <w:color w:val="auto"/>
                <w:sz w:val="18"/>
                <w:szCs w:val="18"/>
                <w:highlight w:val="none"/>
                <w:vertAlign w:val="subscript"/>
              </w:rPr>
              <w:t>X</w:t>
            </w:r>
          </w:p>
          <w:p w14:paraId="229EB2C3">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w:t>
            </w:r>
            <w:r>
              <w:rPr>
                <w:rFonts w:hint="eastAsia" w:eastAsia="仿宋" w:cs="Times New Roman"/>
                <w:snapToGrid w:val="0"/>
                <w:color w:val="auto"/>
                <w:sz w:val="18"/>
                <w:szCs w:val="18"/>
                <w:highlight w:val="none"/>
                <w:lang w:val="en-US" w:eastAsia="zh-CN"/>
              </w:rPr>
              <w:t xml:space="preserve"> </w:t>
            </w:r>
            <w:r>
              <w:rPr>
                <w:rFonts w:hint="default" w:ascii="Times New Roman" w:hAnsi="Times New Roman" w:eastAsia="仿宋" w:cs="Times New Roman"/>
                <w:snapToGrid w:val="0"/>
                <w:color w:val="auto"/>
                <w:sz w:val="18"/>
                <w:szCs w:val="18"/>
                <w:highlight w:val="none"/>
              </w:rPr>
              <w:t>）t/a</w:t>
            </w:r>
          </w:p>
        </w:tc>
        <w:tc>
          <w:tcPr>
            <w:tcW w:w="1435" w:type="dxa"/>
            <w:gridSpan w:val="4"/>
            <w:vAlign w:val="center"/>
          </w:tcPr>
          <w:p w14:paraId="3E1D636D">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颗粒物</w:t>
            </w:r>
          </w:p>
          <w:p w14:paraId="6DCD559A">
            <w:pPr>
              <w:spacing w:line="240" w:lineRule="auto"/>
              <w:ind w:firstLine="0" w:firstLineChars="0"/>
              <w:jc w:val="center"/>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w:t>
            </w:r>
            <w:r>
              <w:rPr>
                <w:rFonts w:hint="eastAsia" w:eastAsia="仿宋" w:cs="Times New Roman"/>
                <w:snapToGrid w:val="0"/>
                <w:color w:val="auto"/>
                <w:sz w:val="18"/>
                <w:szCs w:val="18"/>
                <w:highlight w:val="none"/>
                <w:lang w:val="en-US" w:eastAsia="zh-CN"/>
              </w:rPr>
              <w:t xml:space="preserve"> </w:t>
            </w:r>
            <w:r>
              <w:rPr>
                <w:rFonts w:hint="default" w:ascii="Times New Roman" w:hAnsi="Times New Roman" w:eastAsia="仿宋" w:cs="Times New Roman"/>
                <w:snapToGrid w:val="0"/>
                <w:color w:val="auto"/>
                <w:sz w:val="18"/>
                <w:szCs w:val="18"/>
                <w:highlight w:val="none"/>
              </w:rPr>
              <w:t>）t/a</w:t>
            </w:r>
          </w:p>
        </w:tc>
        <w:tc>
          <w:tcPr>
            <w:tcW w:w="1573" w:type="dxa"/>
            <w:gridSpan w:val="3"/>
            <w:vAlign w:val="center"/>
          </w:tcPr>
          <w:p w14:paraId="45D19E27">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VOC</w:t>
            </w:r>
            <w:r>
              <w:rPr>
                <w:rFonts w:hint="default" w:ascii="Times New Roman" w:hAnsi="Times New Roman" w:eastAsia="仿宋" w:cs="Times New Roman"/>
                <w:snapToGrid w:val="0"/>
                <w:color w:val="auto"/>
                <w:sz w:val="18"/>
                <w:szCs w:val="18"/>
                <w:highlight w:val="none"/>
                <w:vertAlign w:val="subscript"/>
              </w:rPr>
              <w:t>s</w:t>
            </w:r>
          </w:p>
          <w:p w14:paraId="4D2C6CF0">
            <w:pPr>
              <w:spacing w:line="240" w:lineRule="auto"/>
              <w:ind w:firstLine="0" w:firstLineChars="0"/>
              <w:jc w:val="center"/>
              <w:rPr>
                <w:rFonts w:hint="default" w:ascii="Times New Roman" w:hAnsi="Times New Roman" w:eastAsia="仿宋" w:cs="Times New Roman"/>
                <w:snapToGrid w:val="0"/>
                <w:color w:val="auto"/>
                <w:sz w:val="18"/>
                <w:szCs w:val="18"/>
                <w:highlight w:val="none"/>
                <w:vertAlign w:val="subscript"/>
              </w:rPr>
            </w:pPr>
            <w:r>
              <w:rPr>
                <w:rFonts w:hint="default" w:ascii="Times New Roman" w:hAnsi="Times New Roman" w:eastAsia="仿宋" w:cs="Times New Roman"/>
                <w:snapToGrid w:val="0"/>
                <w:color w:val="auto"/>
                <w:sz w:val="18"/>
                <w:szCs w:val="18"/>
                <w:highlight w:val="none"/>
              </w:rPr>
              <w:t>（ ）t/a</w:t>
            </w:r>
          </w:p>
        </w:tc>
      </w:tr>
      <w:tr w14:paraId="30700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8282" w:type="dxa"/>
            <w:gridSpan w:val="17"/>
            <w:vAlign w:val="center"/>
          </w:tcPr>
          <w:p w14:paraId="001260D2">
            <w:pPr>
              <w:spacing w:line="240" w:lineRule="auto"/>
              <w:ind w:firstLine="0" w:firstLineChars="0"/>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snapToGrid w:val="0"/>
                <w:color w:val="auto"/>
                <w:sz w:val="18"/>
                <w:szCs w:val="18"/>
                <w:highlight w:val="none"/>
              </w:rPr>
              <w:t>注：“□”为勾选项，填“√”；“（  ）”为内容填写项</w:t>
            </w:r>
          </w:p>
        </w:tc>
      </w:tr>
    </w:tbl>
    <w:p w14:paraId="513F34D9">
      <w:pPr>
        <w:pStyle w:val="67"/>
        <w:ind w:firstLine="0" w:firstLineChars="0"/>
        <w:jc w:val="center"/>
        <w:rPr>
          <w:rFonts w:hint="default" w:ascii="Times New Roman" w:hAnsi="Times New Roman" w:cs="Times New Roman"/>
          <w:color w:val="auto"/>
          <w:highlight w:val="none"/>
        </w:rPr>
      </w:pPr>
    </w:p>
    <w:p w14:paraId="36B92920">
      <w:pPr>
        <w:pStyle w:val="67"/>
        <w:ind w:firstLine="0" w:firstLineChars="0"/>
        <w:jc w:val="center"/>
        <w:rPr>
          <w:rFonts w:hint="default" w:ascii="Times New Roman" w:hAnsi="Times New Roman" w:cs="Times New Roman"/>
          <w:color w:val="auto"/>
          <w:highlight w:val="none"/>
        </w:rPr>
      </w:pPr>
    </w:p>
    <w:p w14:paraId="2BE5A429">
      <w:pPr>
        <w:pStyle w:val="67"/>
        <w:ind w:firstLine="0" w:firstLineChars="0"/>
        <w:jc w:val="center"/>
        <w:rPr>
          <w:rFonts w:hint="default" w:ascii="Times New Roman" w:hAnsi="Times New Roman" w:cs="Times New Roman"/>
          <w:color w:val="auto"/>
          <w:highlight w:val="none"/>
        </w:rPr>
      </w:pPr>
    </w:p>
    <w:p w14:paraId="057E0AD3">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pPr>
      <w:bookmarkStart w:id="707" w:name="_Toc23316"/>
      <w:bookmarkStart w:id="708" w:name="_Toc92265109"/>
      <w:r>
        <w:rPr>
          <w:rFonts w:hint="default" w:ascii="Times New Roman" w:hAnsi="Times New Roman" w:eastAsia="黑体" w:cs="Times New Roman"/>
          <w:bCs/>
          <w:snapToGrid w:val="0"/>
          <w:color w:val="auto"/>
          <w:kern w:val="0"/>
          <w:szCs w:val="32"/>
          <w:highlight w:val="none"/>
        </w:rPr>
        <w:t>附表2建设项目地表水环境影响评价自查表</w:t>
      </w:r>
      <w:bookmarkEnd w:id="707"/>
      <w:bookmarkEnd w:id="708"/>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97"/>
        <w:gridCol w:w="1469"/>
        <w:gridCol w:w="1172"/>
        <w:gridCol w:w="525"/>
        <w:gridCol w:w="184"/>
        <w:gridCol w:w="805"/>
        <w:gridCol w:w="425"/>
        <w:gridCol w:w="848"/>
        <w:gridCol w:w="853"/>
        <w:gridCol w:w="425"/>
        <w:gridCol w:w="1086"/>
      </w:tblGrid>
      <w:tr w14:paraId="703814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 w:hRule="atLeast"/>
          <w:tblHeader/>
          <w:jc w:val="center"/>
        </w:trPr>
        <w:tc>
          <w:tcPr>
            <w:tcW w:w="1968" w:type="dxa"/>
            <w:gridSpan w:val="2"/>
            <w:tcBorders>
              <w:top w:val="single" w:color="auto" w:sz="12" w:space="0"/>
              <w:left w:val="single" w:color="auto" w:sz="12" w:space="0"/>
            </w:tcBorders>
            <w:noWrap/>
            <w:vAlign w:val="center"/>
          </w:tcPr>
          <w:p w14:paraId="4C89259F">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工作内容</w:t>
            </w:r>
          </w:p>
        </w:tc>
        <w:tc>
          <w:tcPr>
            <w:tcW w:w="6308" w:type="dxa"/>
            <w:gridSpan w:val="9"/>
            <w:tcBorders>
              <w:top w:val="single" w:color="auto" w:sz="12" w:space="0"/>
              <w:right w:val="single" w:color="auto" w:sz="12" w:space="0"/>
            </w:tcBorders>
            <w:noWrap/>
            <w:vAlign w:val="center"/>
          </w:tcPr>
          <w:p w14:paraId="3DF57478">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自查项目</w:t>
            </w:r>
          </w:p>
        </w:tc>
      </w:tr>
      <w:tr w14:paraId="77D2D2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497" w:type="dxa"/>
            <w:vMerge w:val="restart"/>
            <w:tcBorders>
              <w:left w:val="single" w:color="auto" w:sz="12" w:space="0"/>
            </w:tcBorders>
            <w:noWrap/>
            <w:textDirection w:val="tbRlV"/>
            <w:vAlign w:val="center"/>
          </w:tcPr>
          <w:p w14:paraId="29736009">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影响识别</w:t>
            </w:r>
          </w:p>
        </w:tc>
        <w:tc>
          <w:tcPr>
            <w:tcW w:w="1471" w:type="dxa"/>
            <w:vAlign w:val="center"/>
          </w:tcPr>
          <w:p w14:paraId="5B2B4D5C">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影响类型</w:t>
            </w:r>
          </w:p>
        </w:tc>
        <w:tc>
          <w:tcPr>
            <w:tcW w:w="6308" w:type="dxa"/>
            <w:gridSpan w:val="9"/>
            <w:tcBorders>
              <w:right w:val="single" w:color="auto" w:sz="12" w:space="0"/>
            </w:tcBorders>
            <w:noWrap/>
            <w:vAlign w:val="center"/>
          </w:tcPr>
          <w:p w14:paraId="7FFF68B5">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xml:space="preserve">水污染影响型 </w:t>
            </w:r>
            <w:r>
              <w:rPr>
                <w:rFonts w:hint="default" w:ascii="Times New Roman" w:hAnsi="Times New Roman" w:eastAsia="仿宋" w:cs="Times New Roman"/>
                <w:snapToGrid w:val="0"/>
                <w:color w:val="auto"/>
                <w:sz w:val="18"/>
                <w:szCs w:val="18"/>
                <w:highlight w:val="none"/>
              </w:rPr>
              <w:t>√</w:t>
            </w:r>
            <w:r>
              <w:rPr>
                <w:rFonts w:hint="default" w:ascii="Times New Roman" w:hAnsi="Times New Roman" w:eastAsia="仿宋" w:cs="Times New Roman"/>
                <w:color w:val="auto"/>
                <w:kern w:val="0"/>
                <w:sz w:val="18"/>
                <w:szCs w:val="18"/>
                <w:highlight w:val="none"/>
              </w:rPr>
              <w:t>；水文要素影响型 □</w:t>
            </w:r>
          </w:p>
        </w:tc>
      </w:tr>
      <w:tr w14:paraId="2D8A8C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497" w:type="dxa"/>
            <w:vMerge w:val="continue"/>
            <w:tcBorders>
              <w:left w:val="single" w:color="auto" w:sz="12" w:space="0"/>
            </w:tcBorders>
            <w:vAlign w:val="center"/>
          </w:tcPr>
          <w:p w14:paraId="79F65926">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0A1067B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水环境保护目标</w:t>
            </w:r>
          </w:p>
        </w:tc>
        <w:tc>
          <w:tcPr>
            <w:tcW w:w="6308" w:type="dxa"/>
            <w:gridSpan w:val="9"/>
            <w:tcBorders>
              <w:right w:val="single" w:color="auto" w:sz="12" w:space="0"/>
            </w:tcBorders>
            <w:vAlign w:val="center"/>
          </w:tcPr>
          <w:p w14:paraId="28A026A6">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饮用水水源保护区 □；饮用水取水口 □；涉水的自然保护区 □；重要湿地 □；重点保护与珍稀水生生物的栖息地 □；重要水生生物的自然产卵场及索饵场、越冬场和洄游通道、天然渔场等渔业水体 □；涉水的风景名胜区 □；其他□</w:t>
            </w:r>
          </w:p>
        </w:tc>
      </w:tr>
      <w:tr w14:paraId="369B14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497" w:type="dxa"/>
            <w:vMerge w:val="continue"/>
            <w:tcBorders>
              <w:left w:val="single" w:color="auto" w:sz="12" w:space="0"/>
            </w:tcBorders>
            <w:vAlign w:val="center"/>
          </w:tcPr>
          <w:p w14:paraId="0696E7FB">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47B3650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影响途径</w:t>
            </w:r>
          </w:p>
        </w:tc>
        <w:tc>
          <w:tcPr>
            <w:tcW w:w="3116" w:type="dxa"/>
            <w:gridSpan w:val="5"/>
            <w:vAlign w:val="center"/>
          </w:tcPr>
          <w:p w14:paraId="10ABABB0">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水污染影响型</w:t>
            </w:r>
          </w:p>
        </w:tc>
        <w:tc>
          <w:tcPr>
            <w:tcW w:w="3192" w:type="dxa"/>
            <w:gridSpan w:val="4"/>
            <w:tcBorders>
              <w:right w:val="single" w:color="auto" w:sz="12" w:space="0"/>
            </w:tcBorders>
            <w:vAlign w:val="center"/>
          </w:tcPr>
          <w:p w14:paraId="6884F1F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水文要素影响型</w:t>
            </w:r>
          </w:p>
        </w:tc>
      </w:tr>
      <w:tr w14:paraId="3F9EE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5B3F433C">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57D4B7D9">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3116" w:type="dxa"/>
            <w:gridSpan w:val="5"/>
            <w:vAlign w:val="center"/>
          </w:tcPr>
          <w:p w14:paraId="2368E60D">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直接排放 □；间接排放□；其他</w:t>
            </w:r>
            <w:r>
              <w:rPr>
                <w:rFonts w:hint="default" w:ascii="Times New Roman" w:hAnsi="Times New Roman" w:eastAsia="仿宋" w:cs="Times New Roman"/>
                <w:snapToGrid w:val="0"/>
                <w:color w:val="auto"/>
                <w:sz w:val="18"/>
                <w:szCs w:val="18"/>
                <w:highlight w:val="none"/>
              </w:rPr>
              <w:t>√</w:t>
            </w:r>
          </w:p>
        </w:tc>
        <w:tc>
          <w:tcPr>
            <w:tcW w:w="3192" w:type="dxa"/>
            <w:gridSpan w:val="4"/>
            <w:tcBorders>
              <w:right w:val="single" w:color="auto" w:sz="12" w:space="0"/>
            </w:tcBorders>
            <w:vAlign w:val="center"/>
          </w:tcPr>
          <w:p w14:paraId="32A2F565">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水温 □；径流 □；水域面积 □</w:t>
            </w:r>
          </w:p>
        </w:tc>
      </w:tr>
      <w:tr w14:paraId="12BE37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6DF9DF2E">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72C2489D">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影响因子</w:t>
            </w:r>
          </w:p>
        </w:tc>
        <w:tc>
          <w:tcPr>
            <w:tcW w:w="3116" w:type="dxa"/>
            <w:gridSpan w:val="5"/>
            <w:vAlign w:val="center"/>
          </w:tcPr>
          <w:p w14:paraId="4EE0C99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持久性污染物 □；有毒有害污染物 □；非持久性污染物</w:t>
            </w:r>
            <w:r>
              <w:rPr>
                <w:rFonts w:hint="default" w:ascii="Times New Roman" w:hAnsi="Times New Roman" w:eastAsia="仿宋" w:cs="Times New Roman"/>
                <w:snapToGrid w:val="0"/>
                <w:color w:val="auto"/>
                <w:sz w:val="18"/>
                <w:szCs w:val="18"/>
                <w:highlight w:val="none"/>
              </w:rPr>
              <w:t>√</w:t>
            </w:r>
            <w:r>
              <w:rPr>
                <w:rFonts w:hint="default" w:ascii="Times New Roman" w:hAnsi="Times New Roman" w:eastAsia="仿宋" w:cs="Times New Roman"/>
                <w:color w:val="auto"/>
                <w:kern w:val="0"/>
                <w:sz w:val="18"/>
                <w:szCs w:val="18"/>
                <w:highlight w:val="none"/>
              </w:rPr>
              <w:t xml:space="preserve">；pH值 </w:t>
            </w:r>
            <w:r>
              <w:rPr>
                <w:rFonts w:hint="eastAsia" w:eastAsia="仿宋" w:cs="Times New Roman"/>
                <w:color w:val="auto"/>
                <w:kern w:val="0"/>
                <w:sz w:val="18"/>
                <w:szCs w:val="18"/>
                <w:highlight w:val="none"/>
                <w:lang w:eastAsia="zh-CN"/>
              </w:rPr>
              <w:t>□</w:t>
            </w:r>
            <w:r>
              <w:rPr>
                <w:rFonts w:hint="default" w:ascii="Times New Roman" w:hAnsi="Times New Roman" w:eastAsia="仿宋" w:cs="Times New Roman"/>
                <w:color w:val="auto"/>
                <w:kern w:val="0"/>
                <w:sz w:val="18"/>
                <w:szCs w:val="18"/>
                <w:highlight w:val="none"/>
              </w:rPr>
              <w:t>；热污染 □；富营养化 □；其他□</w:t>
            </w:r>
          </w:p>
        </w:tc>
        <w:tc>
          <w:tcPr>
            <w:tcW w:w="3192" w:type="dxa"/>
            <w:gridSpan w:val="4"/>
            <w:tcBorders>
              <w:right w:val="single" w:color="auto" w:sz="12" w:space="0"/>
            </w:tcBorders>
            <w:vAlign w:val="center"/>
          </w:tcPr>
          <w:p w14:paraId="5FDFA8B0">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水温 □；水位（水深） □；流速 □；流量 □；其他 □</w:t>
            </w:r>
          </w:p>
        </w:tc>
      </w:tr>
      <w:tr w14:paraId="3C868B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968" w:type="dxa"/>
            <w:gridSpan w:val="2"/>
            <w:vMerge w:val="restart"/>
            <w:tcBorders>
              <w:left w:val="single" w:color="auto" w:sz="12" w:space="0"/>
            </w:tcBorders>
            <w:noWrap/>
            <w:vAlign w:val="center"/>
          </w:tcPr>
          <w:p w14:paraId="49AAA07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评价等级</w:t>
            </w:r>
          </w:p>
        </w:tc>
        <w:tc>
          <w:tcPr>
            <w:tcW w:w="3116" w:type="dxa"/>
            <w:gridSpan w:val="5"/>
            <w:noWrap/>
            <w:vAlign w:val="center"/>
          </w:tcPr>
          <w:p w14:paraId="2BB22E64">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水污染影响型</w:t>
            </w:r>
          </w:p>
        </w:tc>
        <w:tc>
          <w:tcPr>
            <w:tcW w:w="3192" w:type="dxa"/>
            <w:gridSpan w:val="4"/>
            <w:tcBorders>
              <w:right w:val="single" w:color="auto" w:sz="12" w:space="0"/>
            </w:tcBorders>
            <w:vAlign w:val="center"/>
          </w:tcPr>
          <w:p w14:paraId="37DBD11D">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水文要素影响型</w:t>
            </w:r>
          </w:p>
        </w:tc>
      </w:tr>
      <w:tr w14:paraId="0BE9C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1968" w:type="dxa"/>
            <w:gridSpan w:val="2"/>
            <w:vMerge w:val="continue"/>
            <w:tcBorders>
              <w:left w:val="single" w:color="auto" w:sz="12" w:space="0"/>
            </w:tcBorders>
            <w:noWrap/>
            <w:vAlign w:val="center"/>
          </w:tcPr>
          <w:p w14:paraId="267013A8">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3116" w:type="dxa"/>
            <w:gridSpan w:val="5"/>
            <w:noWrap/>
            <w:vAlign w:val="center"/>
          </w:tcPr>
          <w:p w14:paraId="1CE6D3E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一级□；二级□；三级A □；三级B</w:t>
            </w:r>
            <w:r>
              <w:rPr>
                <w:rFonts w:hint="default" w:ascii="Times New Roman" w:hAnsi="Times New Roman" w:eastAsia="仿宋" w:cs="Times New Roman"/>
                <w:snapToGrid w:val="0"/>
                <w:color w:val="auto"/>
                <w:sz w:val="18"/>
                <w:szCs w:val="18"/>
                <w:highlight w:val="none"/>
              </w:rPr>
              <w:t>√</w:t>
            </w:r>
          </w:p>
        </w:tc>
        <w:tc>
          <w:tcPr>
            <w:tcW w:w="3192" w:type="dxa"/>
            <w:gridSpan w:val="4"/>
            <w:tcBorders>
              <w:right w:val="single" w:color="auto" w:sz="12" w:space="0"/>
            </w:tcBorders>
            <w:vAlign w:val="center"/>
          </w:tcPr>
          <w:p w14:paraId="15D2E2EC">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一级□；二级□；三级□</w:t>
            </w:r>
          </w:p>
        </w:tc>
      </w:tr>
      <w:tr w14:paraId="26CB5A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497" w:type="dxa"/>
            <w:vMerge w:val="restart"/>
            <w:tcBorders>
              <w:left w:val="single" w:color="auto" w:sz="12" w:space="0"/>
            </w:tcBorders>
            <w:noWrap/>
            <w:textDirection w:val="tbRlV"/>
            <w:vAlign w:val="center"/>
          </w:tcPr>
          <w:p w14:paraId="700CF17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现状调查</w:t>
            </w:r>
          </w:p>
        </w:tc>
        <w:tc>
          <w:tcPr>
            <w:tcW w:w="1471" w:type="dxa"/>
            <w:vMerge w:val="restart"/>
            <w:vAlign w:val="center"/>
          </w:tcPr>
          <w:p w14:paraId="1A62A39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区域污染源</w:t>
            </w:r>
          </w:p>
        </w:tc>
        <w:tc>
          <w:tcPr>
            <w:tcW w:w="3116" w:type="dxa"/>
            <w:gridSpan w:val="5"/>
            <w:noWrap/>
            <w:vAlign w:val="center"/>
          </w:tcPr>
          <w:p w14:paraId="766E218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调查项目</w:t>
            </w:r>
          </w:p>
        </w:tc>
        <w:tc>
          <w:tcPr>
            <w:tcW w:w="3192" w:type="dxa"/>
            <w:gridSpan w:val="4"/>
            <w:tcBorders>
              <w:right w:val="single" w:color="auto" w:sz="12" w:space="0"/>
            </w:tcBorders>
            <w:noWrap/>
            <w:vAlign w:val="center"/>
          </w:tcPr>
          <w:p w14:paraId="7A6D11C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数据来源</w:t>
            </w:r>
          </w:p>
        </w:tc>
      </w:tr>
      <w:tr w14:paraId="2D980B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497" w:type="dxa"/>
            <w:vMerge w:val="continue"/>
            <w:tcBorders>
              <w:left w:val="single" w:color="auto" w:sz="12" w:space="0"/>
            </w:tcBorders>
            <w:vAlign w:val="center"/>
          </w:tcPr>
          <w:p w14:paraId="29EEC5CC">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00ECAD4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700" w:type="dxa"/>
            <w:gridSpan w:val="2"/>
            <w:vAlign w:val="center"/>
          </w:tcPr>
          <w:p w14:paraId="72F000B9">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已建 □；在建 □；拟建 □；其他 □</w:t>
            </w:r>
          </w:p>
        </w:tc>
        <w:tc>
          <w:tcPr>
            <w:tcW w:w="1416" w:type="dxa"/>
            <w:gridSpan w:val="3"/>
            <w:vAlign w:val="center"/>
          </w:tcPr>
          <w:p w14:paraId="3ACBEDCD">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拟替代的污染源 □</w:t>
            </w:r>
          </w:p>
        </w:tc>
        <w:tc>
          <w:tcPr>
            <w:tcW w:w="3192" w:type="dxa"/>
            <w:gridSpan w:val="4"/>
            <w:tcBorders>
              <w:right w:val="single" w:color="auto" w:sz="12" w:space="0"/>
            </w:tcBorders>
            <w:vAlign w:val="center"/>
          </w:tcPr>
          <w:p w14:paraId="5F39A786">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排污许可证 □；环评 □；环保验收 □；既有实测 □；现场监测 □；入河排放口数据 □；其他 □</w:t>
            </w:r>
          </w:p>
        </w:tc>
      </w:tr>
      <w:tr w14:paraId="7A86C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1DB8ABC3">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622E070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受影响水体水环境质量　</w:t>
            </w:r>
          </w:p>
        </w:tc>
        <w:tc>
          <w:tcPr>
            <w:tcW w:w="3116" w:type="dxa"/>
            <w:gridSpan w:val="5"/>
            <w:noWrap/>
            <w:vAlign w:val="center"/>
          </w:tcPr>
          <w:p w14:paraId="479D41B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调查时期</w:t>
            </w:r>
          </w:p>
        </w:tc>
        <w:tc>
          <w:tcPr>
            <w:tcW w:w="3192" w:type="dxa"/>
            <w:gridSpan w:val="4"/>
            <w:tcBorders>
              <w:right w:val="single" w:color="auto" w:sz="12" w:space="0"/>
            </w:tcBorders>
            <w:noWrap/>
            <w:vAlign w:val="center"/>
          </w:tcPr>
          <w:p w14:paraId="087C0F18">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数据来源</w:t>
            </w:r>
          </w:p>
        </w:tc>
      </w:tr>
      <w:tr w14:paraId="29C13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497" w:type="dxa"/>
            <w:vMerge w:val="continue"/>
            <w:tcBorders>
              <w:left w:val="single" w:color="auto" w:sz="12" w:space="0"/>
            </w:tcBorders>
            <w:vAlign w:val="center"/>
          </w:tcPr>
          <w:p w14:paraId="255B0F67">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47EE186C">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3116" w:type="dxa"/>
            <w:gridSpan w:val="5"/>
            <w:vAlign w:val="center"/>
          </w:tcPr>
          <w:p w14:paraId="0DED5000">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丰水期□；平水期□；枯水期□；冰封期□春季□；夏季□；秋季□；冬季□</w:t>
            </w:r>
          </w:p>
        </w:tc>
        <w:tc>
          <w:tcPr>
            <w:tcW w:w="3192" w:type="dxa"/>
            <w:gridSpan w:val="4"/>
            <w:tcBorders>
              <w:right w:val="single" w:color="auto" w:sz="12" w:space="0"/>
            </w:tcBorders>
            <w:noWrap/>
            <w:vAlign w:val="center"/>
          </w:tcPr>
          <w:p w14:paraId="03663DA7">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生态环境保护主管部门</w:t>
            </w:r>
            <w:r>
              <w:rPr>
                <w:rFonts w:hint="default" w:ascii="Times New Roman" w:hAnsi="Times New Roman" w:eastAsia="仿宋" w:cs="Times New Roman"/>
                <w:snapToGrid w:val="0"/>
                <w:color w:val="auto"/>
                <w:sz w:val="18"/>
                <w:szCs w:val="18"/>
                <w:highlight w:val="none"/>
              </w:rPr>
              <w:t xml:space="preserve">√ </w:t>
            </w:r>
            <w:r>
              <w:rPr>
                <w:rFonts w:hint="default" w:ascii="Times New Roman" w:hAnsi="Times New Roman" w:eastAsia="仿宋" w:cs="Times New Roman"/>
                <w:color w:val="auto"/>
                <w:kern w:val="0"/>
                <w:sz w:val="18"/>
                <w:szCs w:val="18"/>
                <w:highlight w:val="none"/>
              </w:rPr>
              <w:t xml:space="preserve">补充监测 </w:t>
            </w:r>
            <w:r>
              <w:rPr>
                <w:rFonts w:hint="eastAsia" w:eastAsia="仿宋" w:cs="Times New Roman"/>
                <w:color w:val="auto"/>
                <w:kern w:val="0"/>
                <w:sz w:val="18"/>
                <w:szCs w:val="18"/>
                <w:highlight w:val="none"/>
                <w:lang w:eastAsia="zh-CN"/>
              </w:rPr>
              <w:t>☑</w:t>
            </w:r>
            <w:r>
              <w:rPr>
                <w:rFonts w:hint="default" w:ascii="Times New Roman" w:hAnsi="Times New Roman" w:eastAsia="仿宋" w:cs="Times New Roman"/>
                <w:color w:val="auto"/>
                <w:kern w:val="0"/>
                <w:sz w:val="18"/>
                <w:szCs w:val="18"/>
                <w:highlight w:val="none"/>
              </w:rPr>
              <w:t>；其他 □</w:t>
            </w:r>
          </w:p>
        </w:tc>
      </w:tr>
      <w:tr w14:paraId="2BB909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0EF43D8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6F94904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区域水资源开发利用状况</w:t>
            </w:r>
          </w:p>
        </w:tc>
        <w:tc>
          <w:tcPr>
            <w:tcW w:w="6308" w:type="dxa"/>
            <w:gridSpan w:val="9"/>
            <w:tcBorders>
              <w:right w:val="single" w:color="auto" w:sz="12" w:space="0"/>
            </w:tcBorders>
            <w:noWrap/>
            <w:vAlign w:val="center"/>
          </w:tcPr>
          <w:p w14:paraId="251E412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未开发 □；开发量40%以下 □；开发量40%以上 □</w:t>
            </w:r>
          </w:p>
        </w:tc>
      </w:tr>
      <w:tr w14:paraId="3553D4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3D88C20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3986BF4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水文情势调查　</w:t>
            </w:r>
          </w:p>
        </w:tc>
        <w:tc>
          <w:tcPr>
            <w:tcW w:w="3116" w:type="dxa"/>
            <w:gridSpan w:val="5"/>
            <w:noWrap/>
            <w:vAlign w:val="center"/>
          </w:tcPr>
          <w:p w14:paraId="74DAD3E0">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调查时期</w:t>
            </w:r>
          </w:p>
        </w:tc>
        <w:tc>
          <w:tcPr>
            <w:tcW w:w="3192" w:type="dxa"/>
            <w:gridSpan w:val="4"/>
            <w:tcBorders>
              <w:right w:val="single" w:color="auto" w:sz="12" w:space="0"/>
            </w:tcBorders>
            <w:noWrap/>
            <w:vAlign w:val="center"/>
          </w:tcPr>
          <w:p w14:paraId="5B3B1C2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数据来源</w:t>
            </w:r>
          </w:p>
        </w:tc>
      </w:tr>
      <w:tr w14:paraId="68A047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497" w:type="dxa"/>
            <w:vMerge w:val="continue"/>
            <w:tcBorders>
              <w:left w:val="single" w:color="auto" w:sz="12" w:space="0"/>
            </w:tcBorders>
            <w:vAlign w:val="center"/>
          </w:tcPr>
          <w:p w14:paraId="145567C5">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640AE571">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3116" w:type="dxa"/>
            <w:gridSpan w:val="5"/>
            <w:vAlign w:val="center"/>
          </w:tcPr>
          <w:p w14:paraId="2C99B882">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丰水期 □；平水期 □；枯水期 □；冰封期 □春季 □；夏季 □；秋季 □；冬季 □</w:t>
            </w:r>
          </w:p>
        </w:tc>
        <w:tc>
          <w:tcPr>
            <w:tcW w:w="3192" w:type="dxa"/>
            <w:gridSpan w:val="4"/>
            <w:tcBorders>
              <w:right w:val="single" w:color="auto" w:sz="12" w:space="0"/>
            </w:tcBorders>
            <w:noWrap/>
            <w:vAlign w:val="center"/>
          </w:tcPr>
          <w:p w14:paraId="19048280">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水行政主管部门 □；补充监测 □；其他 □</w:t>
            </w:r>
          </w:p>
        </w:tc>
      </w:tr>
      <w:tr w14:paraId="652BB7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 w:hRule="atLeast"/>
          <w:jc w:val="center"/>
        </w:trPr>
        <w:tc>
          <w:tcPr>
            <w:tcW w:w="497" w:type="dxa"/>
            <w:vMerge w:val="continue"/>
            <w:tcBorders>
              <w:left w:val="single" w:color="auto" w:sz="12" w:space="0"/>
            </w:tcBorders>
            <w:vAlign w:val="center"/>
          </w:tcPr>
          <w:p w14:paraId="5A4AC565">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3757289B">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补充监测</w:t>
            </w:r>
            <w:r>
              <w:rPr>
                <w:rFonts w:hint="default" w:ascii="Times New Roman" w:hAnsi="Times New Roman" w:eastAsia="仿宋" w:cs="Times New Roman"/>
                <w:snapToGrid w:val="0"/>
                <w:color w:val="auto"/>
                <w:sz w:val="18"/>
                <w:szCs w:val="18"/>
                <w:highlight w:val="none"/>
              </w:rPr>
              <w:t>√</w:t>
            </w:r>
          </w:p>
        </w:tc>
        <w:tc>
          <w:tcPr>
            <w:tcW w:w="3116" w:type="dxa"/>
            <w:gridSpan w:val="5"/>
            <w:vAlign w:val="center"/>
          </w:tcPr>
          <w:p w14:paraId="69577B3D">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监测时期</w:t>
            </w:r>
          </w:p>
        </w:tc>
        <w:tc>
          <w:tcPr>
            <w:tcW w:w="1705" w:type="dxa"/>
            <w:gridSpan w:val="2"/>
            <w:noWrap/>
            <w:vAlign w:val="center"/>
          </w:tcPr>
          <w:p w14:paraId="2EE26857">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监测因子</w:t>
            </w:r>
          </w:p>
        </w:tc>
        <w:tc>
          <w:tcPr>
            <w:tcW w:w="1487" w:type="dxa"/>
            <w:gridSpan w:val="2"/>
            <w:tcBorders>
              <w:right w:val="single" w:color="auto" w:sz="12" w:space="0"/>
            </w:tcBorders>
            <w:noWrap/>
            <w:vAlign w:val="center"/>
          </w:tcPr>
          <w:p w14:paraId="2625F4F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监测断面或点位</w:t>
            </w:r>
          </w:p>
        </w:tc>
      </w:tr>
      <w:tr w14:paraId="3B740B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497" w:type="dxa"/>
            <w:vMerge w:val="continue"/>
            <w:tcBorders>
              <w:left w:val="single" w:color="auto" w:sz="12" w:space="0"/>
            </w:tcBorders>
            <w:vAlign w:val="center"/>
          </w:tcPr>
          <w:p w14:paraId="44AD7723">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65D91144">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3116" w:type="dxa"/>
            <w:gridSpan w:val="5"/>
            <w:vAlign w:val="center"/>
          </w:tcPr>
          <w:p w14:paraId="4DF4C6E2">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丰水期 □；平水期 □；枯水期 □；冰封期 □春季 □；夏季 □；秋季 □；冬季 □</w:t>
            </w:r>
          </w:p>
        </w:tc>
        <w:tc>
          <w:tcPr>
            <w:tcW w:w="1705" w:type="dxa"/>
            <w:gridSpan w:val="2"/>
            <w:noWrap/>
            <w:vAlign w:val="center"/>
          </w:tcPr>
          <w:p w14:paraId="11E79C3F">
            <w:pPr>
              <w:spacing w:line="240" w:lineRule="auto"/>
              <w:ind w:firstLine="0" w:firstLineChars="0"/>
              <w:jc w:val="center"/>
              <w:rPr>
                <w:rFonts w:hint="eastAsia" w:ascii="Times New Roman" w:hAnsi="Times New Roman" w:eastAsia="仿宋" w:cs="Times New Roman"/>
                <w:color w:val="auto"/>
                <w:kern w:val="0"/>
                <w:sz w:val="18"/>
                <w:szCs w:val="18"/>
                <w:highlight w:val="none"/>
                <w:lang w:eastAsia="zh-CN"/>
              </w:rPr>
            </w:pPr>
            <w:r>
              <w:rPr>
                <w:rFonts w:hint="eastAsia" w:eastAsia="仿宋" w:cs="Times New Roman"/>
                <w:color w:val="auto"/>
                <w:kern w:val="0"/>
                <w:sz w:val="18"/>
                <w:szCs w:val="18"/>
                <w:highlight w:val="none"/>
                <w:lang w:val="en-US" w:eastAsia="zh-CN"/>
              </w:rPr>
              <w:t>/</w:t>
            </w:r>
          </w:p>
        </w:tc>
        <w:tc>
          <w:tcPr>
            <w:tcW w:w="1487" w:type="dxa"/>
            <w:gridSpan w:val="2"/>
            <w:tcBorders>
              <w:right w:val="single" w:color="auto" w:sz="12" w:space="0"/>
            </w:tcBorders>
            <w:noWrap/>
            <w:vAlign w:val="center"/>
          </w:tcPr>
          <w:p w14:paraId="6282C79C">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eastAsia" w:eastAsia="仿宋" w:cs="Times New Roman"/>
                <w:color w:val="auto"/>
                <w:kern w:val="0"/>
                <w:sz w:val="18"/>
                <w:szCs w:val="18"/>
                <w:highlight w:val="none"/>
                <w:lang w:val="en-US" w:eastAsia="zh-CN"/>
              </w:rPr>
              <w:t>/</w:t>
            </w:r>
          </w:p>
        </w:tc>
      </w:tr>
      <w:tr w14:paraId="691CD0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restart"/>
            <w:tcBorders>
              <w:left w:val="single" w:color="auto" w:sz="12" w:space="0"/>
            </w:tcBorders>
            <w:noWrap/>
            <w:textDirection w:val="tbRlV"/>
            <w:vAlign w:val="center"/>
          </w:tcPr>
          <w:p w14:paraId="3A6E8647">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现状评价</w:t>
            </w:r>
          </w:p>
        </w:tc>
        <w:tc>
          <w:tcPr>
            <w:tcW w:w="1471" w:type="dxa"/>
            <w:vAlign w:val="center"/>
          </w:tcPr>
          <w:p w14:paraId="6C8559C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评价范围</w:t>
            </w:r>
          </w:p>
        </w:tc>
        <w:tc>
          <w:tcPr>
            <w:tcW w:w="6308" w:type="dxa"/>
            <w:gridSpan w:val="9"/>
            <w:tcBorders>
              <w:right w:val="single" w:color="auto" w:sz="12" w:space="0"/>
            </w:tcBorders>
            <w:noWrap/>
            <w:vAlign w:val="center"/>
          </w:tcPr>
          <w:p w14:paraId="4001EDB4">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河流：长度（   ）km；湖库、河口及近岸海域：面积（   ）km</w:t>
            </w:r>
            <w:r>
              <w:rPr>
                <w:rFonts w:hint="default" w:ascii="Times New Roman" w:hAnsi="Times New Roman" w:eastAsia="仿宋" w:cs="Times New Roman"/>
                <w:color w:val="auto"/>
                <w:kern w:val="0"/>
                <w:sz w:val="18"/>
                <w:szCs w:val="18"/>
                <w:highlight w:val="none"/>
                <w:vertAlign w:val="superscript"/>
              </w:rPr>
              <w:t>2</w:t>
            </w:r>
          </w:p>
        </w:tc>
      </w:tr>
      <w:tr w14:paraId="3FB29F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003D464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6499D22B">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评价因子</w:t>
            </w:r>
          </w:p>
        </w:tc>
        <w:tc>
          <w:tcPr>
            <w:tcW w:w="6308" w:type="dxa"/>
            <w:gridSpan w:val="9"/>
            <w:tcBorders>
              <w:right w:val="single" w:color="auto" w:sz="12" w:space="0"/>
            </w:tcBorders>
            <w:noWrap/>
            <w:vAlign w:val="center"/>
          </w:tcPr>
          <w:p w14:paraId="6E9B3E7E">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（pH、溶解氧、COD、高锰酸盐指数、BOD5、氨氮、总氮、SS、总磷、粪大肠菌群）</w:t>
            </w:r>
          </w:p>
        </w:tc>
      </w:tr>
      <w:tr w14:paraId="49567E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7D26026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35D75F5C">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评价标准</w:t>
            </w:r>
          </w:p>
        </w:tc>
        <w:tc>
          <w:tcPr>
            <w:tcW w:w="6308" w:type="dxa"/>
            <w:gridSpan w:val="9"/>
            <w:tcBorders>
              <w:right w:val="single" w:color="auto" w:sz="12" w:space="0"/>
            </w:tcBorders>
            <w:noWrap/>
            <w:vAlign w:val="center"/>
          </w:tcPr>
          <w:p w14:paraId="0DA59E55">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河流、湖库、河口：Ⅰ类 □；Ⅱ类□；Ⅲ类□；Ⅳ类√；Ⅴ类 □</w:t>
            </w:r>
          </w:p>
          <w:p w14:paraId="26F9E02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近岸海域：第一类 □；第二类 □；第三类 □；第四类 □</w:t>
            </w:r>
          </w:p>
          <w:p w14:paraId="4A3A434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规划年评价标准（Ⅳ</w:t>
            </w:r>
            <w:r>
              <w:rPr>
                <w:rFonts w:hint="default" w:ascii="Times New Roman" w:hAnsi="Times New Roman" w:eastAsia="仿宋" w:cs="Times New Roman"/>
                <w:color w:val="auto"/>
                <w:sz w:val="18"/>
                <w:szCs w:val="18"/>
                <w:highlight w:val="none"/>
                <w:lang w:bidi="ar"/>
              </w:rPr>
              <w:t>类</w:t>
            </w:r>
            <w:r>
              <w:rPr>
                <w:rFonts w:hint="default" w:ascii="Times New Roman" w:hAnsi="Times New Roman" w:eastAsia="仿宋" w:cs="Times New Roman"/>
                <w:color w:val="auto"/>
                <w:kern w:val="0"/>
                <w:sz w:val="18"/>
                <w:szCs w:val="18"/>
                <w:highlight w:val="none"/>
              </w:rPr>
              <w:t>）</w:t>
            </w:r>
          </w:p>
        </w:tc>
      </w:tr>
      <w:tr w14:paraId="70E26D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497" w:type="dxa"/>
            <w:vMerge w:val="continue"/>
            <w:tcBorders>
              <w:left w:val="single" w:color="auto" w:sz="12" w:space="0"/>
            </w:tcBorders>
            <w:vAlign w:val="center"/>
          </w:tcPr>
          <w:p w14:paraId="7127B263">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2FF9AC08">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评价时期</w:t>
            </w:r>
          </w:p>
        </w:tc>
        <w:tc>
          <w:tcPr>
            <w:tcW w:w="6308" w:type="dxa"/>
            <w:gridSpan w:val="9"/>
            <w:tcBorders>
              <w:right w:val="single" w:color="auto" w:sz="12" w:space="0"/>
            </w:tcBorders>
            <w:vAlign w:val="center"/>
          </w:tcPr>
          <w:p w14:paraId="2F1B3B70">
            <w:pPr>
              <w:spacing w:line="240" w:lineRule="auto"/>
              <w:ind w:firstLine="0" w:firstLineChars="0"/>
              <w:jc w:val="left"/>
              <w:rPr>
                <w:rFonts w:hint="default" w:ascii="Times New Roman" w:hAnsi="Times New Roman" w:eastAsia="仿宋" w:cs="Times New Roman"/>
                <w:snapToGrid w:val="0"/>
                <w:color w:val="auto"/>
                <w:sz w:val="18"/>
                <w:szCs w:val="18"/>
                <w:highlight w:val="none"/>
              </w:rPr>
            </w:pPr>
            <w:r>
              <w:rPr>
                <w:rFonts w:hint="default" w:ascii="Times New Roman" w:hAnsi="Times New Roman" w:eastAsia="仿宋" w:cs="Times New Roman"/>
                <w:color w:val="auto"/>
                <w:kern w:val="0"/>
                <w:sz w:val="18"/>
                <w:szCs w:val="18"/>
                <w:highlight w:val="none"/>
              </w:rPr>
              <w:t>丰水期□；平水期□；枯水期□；冰封期□</w:t>
            </w:r>
          </w:p>
          <w:p w14:paraId="169E389D">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春季□；夏季 □；秋季□；冬季□</w:t>
            </w:r>
          </w:p>
        </w:tc>
      </w:tr>
      <w:tr w14:paraId="69726A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4" w:hRule="atLeast"/>
          <w:jc w:val="center"/>
        </w:trPr>
        <w:tc>
          <w:tcPr>
            <w:tcW w:w="497" w:type="dxa"/>
            <w:vMerge w:val="continue"/>
            <w:tcBorders>
              <w:left w:val="single" w:color="auto" w:sz="12" w:space="0"/>
            </w:tcBorders>
            <w:vAlign w:val="center"/>
          </w:tcPr>
          <w:p w14:paraId="56997CDB">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398204C9">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评价结论</w:t>
            </w:r>
          </w:p>
        </w:tc>
        <w:tc>
          <w:tcPr>
            <w:tcW w:w="5247" w:type="dxa"/>
            <w:gridSpan w:val="8"/>
            <w:vAlign w:val="center"/>
          </w:tcPr>
          <w:p w14:paraId="6A807C47">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水环境功能区或水功能区、近岸海域环境功能区水质达标状况 □：达标</w:t>
            </w:r>
            <w:r>
              <w:rPr>
                <w:rFonts w:hint="default" w:ascii="Times New Roman" w:hAnsi="Times New Roman" w:eastAsia="仿宋" w:cs="Times New Roman"/>
                <w:snapToGrid w:val="0"/>
                <w:color w:val="auto"/>
                <w:sz w:val="18"/>
                <w:szCs w:val="18"/>
                <w:highlight w:val="none"/>
              </w:rPr>
              <w:t>√</w:t>
            </w:r>
            <w:r>
              <w:rPr>
                <w:rFonts w:hint="default" w:ascii="Times New Roman" w:hAnsi="Times New Roman" w:eastAsia="仿宋" w:cs="Times New Roman"/>
                <w:color w:val="auto"/>
                <w:kern w:val="0"/>
                <w:sz w:val="18"/>
                <w:szCs w:val="18"/>
                <w:highlight w:val="none"/>
              </w:rPr>
              <w:t>；不达标□</w:t>
            </w:r>
          </w:p>
          <w:p w14:paraId="74D44F89">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水环境控制单元或断面水质达标状况 □：达标</w:t>
            </w:r>
            <w:r>
              <w:rPr>
                <w:rFonts w:hint="default" w:ascii="Times New Roman" w:hAnsi="Times New Roman" w:eastAsia="仿宋" w:cs="Times New Roman"/>
                <w:snapToGrid w:val="0"/>
                <w:color w:val="auto"/>
                <w:sz w:val="18"/>
                <w:szCs w:val="18"/>
                <w:highlight w:val="none"/>
              </w:rPr>
              <w:t>√</w:t>
            </w:r>
            <w:r>
              <w:rPr>
                <w:rFonts w:hint="default" w:ascii="Times New Roman" w:hAnsi="Times New Roman" w:eastAsia="仿宋" w:cs="Times New Roman"/>
                <w:color w:val="auto"/>
                <w:kern w:val="0"/>
                <w:sz w:val="18"/>
                <w:szCs w:val="18"/>
                <w:highlight w:val="none"/>
              </w:rPr>
              <w:t>；不达标□</w:t>
            </w:r>
          </w:p>
          <w:p w14:paraId="61B9D3F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水环境保护目标质量状况 □：达标 □；不达标 □</w:t>
            </w:r>
          </w:p>
          <w:p w14:paraId="41876131">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对照断面、控制断面等代表性断面的水质状况 □：达标 □；不达标 □</w:t>
            </w:r>
          </w:p>
          <w:p w14:paraId="2106E794">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底泥污染评价 □</w:t>
            </w:r>
          </w:p>
          <w:p w14:paraId="47D025CF">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水资源与开发利用程度及其水文情势评价 □</w:t>
            </w:r>
          </w:p>
          <w:p w14:paraId="54A5A946">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水环境质量回顾评价□</w:t>
            </w:r>
          </w:p>
          <w:p w14:paraId="6550CC37">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流域（区域）水资源（包括水能资源）与开发利用总体状况、生态流量管理要求与现状满足程度、建设项目占用水域空间的水流状况与河湖演变状况 □</w:t>
            </w:r>
          </w:p>
        </w:tc>
        <w:tc>
          <w:tcPr>
            <w:tcW w:w="1061" w:type="dxa"/>
            <w:tcBorders>
              <w:right w:val="single" w:color="auto" w:sz="12" w:space="0"/>
            </w:tcBorders>
            <w:vAlign w:val="center"/>
          </w:tcPr>
          <w:p w14:paraId="776E0922">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达标区</w:t>
            </w:r>
            <w:r>
              <w:rPr>
                <w:rFonts w:hint="default" w:ascii="Times New Roman" w:hAnsi="Times New Roman" w:eastAsia="仿宋" w:cs="Times New Roman"/>
                <w:snapToGrid w:val="0"/>
                <w:color w:val="auto"/>
                <w:sz w:val="18"/>
                <w:szCs w:val="18"/>
                <w:highlight w:val="none"/>
              </w:rPr>
              <w:t>√</w:t>
            </w:r>
          </w:p>
          <w:p w14:paraId="0DF0DD4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不达标区□</w:t>
            </w:r>
          </w:p>
          <w:p w14:paraId="017D8787">
            <w:pPr>
              <w:ind w:firstLine="360"/>
              <w:rPr>
                <w:rFonts w:hint="default" w:ascii="Times New Roman" w:hAnsi="Times New Roman" w:eastAsia="仿宋" w:cs="Times New Roman"/>
                <w:color w:val="auto"/>
                <w:kern w:val="0"/>
                <w:sz w:val="18"/>
                <w:szCs w:val="18"/>
                <w:highlight w:val="none"/>
              </w:rPr>
            </w:pPr>
          </w:p>
          <w:p w14:paraId="60C5B2DB">
            <w:pPr>
              <w:ind w:firstLine="360"/>
              <w:rPr>
                <w:rFonts w:hint="default" w:ascii="Times New Roman" w:hAnsi="Times New Roman" w:eastAsia="仿宋" w:cs="Times New Roman"/>
                <w:color w:val="auto"/>
                <w:kern w:val="0"/>
                <w:sz w:val="18"/>
                <w:szCs w:val="18"/>
                <w:highlight w:val="none"/>
              </w:rPr>
            </w:pPr>
          </w:p>
          <w:p w14:paraId="6FD2FF97">
            <w:pPr>
              <w:ind w:firstLine="360"/>
              <w:rPr>
                <w:rFonts w:hint="default" w:ascii="Times New Roman" w:hAnsi="Times New Roman" w:eastAsia="仿宋" w:cs="Times New Roman"/>
                <w:color w:val="auto"/>
                <w:kern w:val="0"/>
                <w:sz w:val="18"/>
                <w:szCs w:val="18"/>
                <w:highlight w:val="none"/>
              </w:rPr>
            </w:pPr>
          </w:p>
          <w:p w14:paraId="3D32B398">
            <w:pPr>
              <w:ind w:firstLine="360"/>
              <w:rPr>
                <w:rFonts w:hint="default" w:ascii="Times New Roman" w:hAnsi="Times New Roman" w:eastAsia="仿宋" w:cs="Times New Roman"/>
                <w:color w:val="auto"/>
                <w:sz w:val="18"/>
                <w:szCs w:val="18"/>
                <w:highlight w:val="none"/>
              </w:rPr>
            </w:pPr>
          </w:p>
        </w:tc>
      </w:tr>
      <w:tr w14:paraId="27588F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restart"/>
            <w:tcBorders>
              <w:left w:val="single" w:color="auto" w:sz="12" w:space="0"/>
            </w:tcBorders>
            <w:noWrap/>
            <w:textDirection w:val="tbRlV"/>
            <w:vAlign w:val="center"/>
          </w:tcPr>
          <w:p w14:paraId="2DAAC99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影响预测</w:t>
            </w:r>
          </w:p>
        </w:tc>
        <w:tc>
          <w:tcPr>
            <w:tcW w:w="1471" w:type="dxa"/>
            <w:vAlign w:val="center"/>
          </w:tcPr>
          <w:p w14:paraId="12DB5C8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预测范围</w:t>
            </w:r>
          </w:p>
        </w:tc>
        <w:tc>
          <w:tcPr>
            <w:tcW w:w="6308" w:type="dxa"/>
            <w:gridSpan w:val="9"/>
            <w:tcBorders>
              <w:right w:val="single" w:color="auto" w:sz="12" w:space="0"/>
            </w:tcBorders>
            <w:noWrap/>
            <w:vAlign w:val="center"/>
          </w:tcPr>
          <w:p w14:paraId="36E05DC2">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河流：长度（   ）km；湖库、河口及近岸海域：面积（   ）km</w:t>
            </w:r>
            <w:r>
              <w:rPr>
                <w:rFonts w:hint="default" w:ascii="Times New Roman" w:hAnsi="Times New Roman" w:eastAsia="仿宋" w:cs="Times New Roman"/>
                <w:color w:val="auto"/>
                <w:kern w:val="0"/>
                <w:sz w:val="18"/>
                <w:szCs w:val="18"/>
                <w:highlight w:val="none"/>
                <w:vertAlign w:val="superscript"/>
              </w:rPr>
              <w:t>2</w:t>
            </w:r>
          </w:p>
        </w:tc>
      </w:tr>
      <w:tr w14:paraId="10A39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267" w:hRule="atLeast"/>
          <w:jc w:val="center"/>
        </w:trPr>
        <w:tc>
          <w:tcPr>
            <w:tcW w:w="497" w:type="dxa"/>
            <w:vMerge w:val="continue"/>
            <w:tcBorders>
              <w:left w:val="single" w:color="auto" w:sz="12" w:space="0"/>
            </w:tcBorders>
            <w:vAlign w:val="center"/>
          </w:tcPr>
          <w:p w14:paraId="1660B671">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16120EE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预测因子</w:t>
            </w:r>
          </w:p>
        </w:tc>
        <w:tc>
          <w:tcPr>
            <w:tcW w:w="6308" w:type="dxa"/>
            <w:gridSpan w:val="9"/>
            <w:tcBorders>
              <w:right w:val="single" w:color="auto" w:sz="12" w:space="0"/>
            </w:tcBorders>
            <w:noWrap/>
            <w:vAlign w:val="center"/>
          </w:tcPr>
          <w:p w14:paraId="59EB3AA8">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r>
      <w:tr w14:paraId="5A47CD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0F8FB87C">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2FCB9F9B">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预测时期</w:t>
            </w:r>
          </w:p>
        </w:tc>
        <w:tc>
          <w:tcPr>
            <w:tcW w:w="6308" w:type="dxa"/>
            <w:gridSpan w:val="9"/>
            <w:tcBorders>
              <w:right w:val="single" w:color="auto" w:sz="12" w:space="0"/>
            </w:tcBorders>
            <w:vAlign w:val="center"/>
          </w:tcPr>
          <w:p w14:paraId="5D5CAE5D">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丰水期 □；平水期 □；枯水期 □；冰封期 □</w:t>
            </w:r>
          </w:p>
          <w:p w14:paraId="4F5F6F0F">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春季 □；夏季 □；秋季 □；冬季 □</w:t>
            </w:r>
          </w:p>
          <w:p w14:paraId="6C923FDF">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设计水文条件 □</w:t>
            </w:r>
          </w:p>
        </w:tc>
      </w:tr>
      <w:tr w14:paraId="7B0C38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13864486">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748C6C2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预测情景</w:t>
            </w:r>
          </w:p>
        </w:tc>
        <w:tc>
          <w:tcPr>
            <w:tcW w:w="6308" w:type="dxa"/>
            <w:gridSpan w:val="9"/>
            <w:tcBorders>
              <w:right w:val="single" w:color="auto" w:sz="12" w:space="0"/>
            </w:tcBorders>
            <w:vAlign w:val="center"/>
          </w:tcPr>
          <w:p w14:paraId="442DCC3B">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建设期 □；生产运行期 □；服务期满后 □</w:t>
            </w:r>
          </w:p>
          <w:p w14:paraId="58AC61D3">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正常工况 □；非正常工况 □</w:t>
            </w:r>
          </w:p>
          <w:p w14:paraId="6C44595E">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污染控制和减缓措施方案 □</w:t>
            </w:r>
          </w:p>
          <w:p w14:paraId="76634E55">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区（流）域环境质量改善目标要求情景 □</w:t>
            </w:r>
          </w:p>
        </w:tc>
      </w:tr>
      <w:tr w14:paraId="3EAD82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698A1CB0">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4BD7B39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预测方法</w:t>
            </w:r>
          </w:p>
        </w:tc>
        <w:tc>
          <w:tcPr>
            <w:tcW w:w="6308" w:type="dxa"/>
            <w:gridSpan w:val="9"/>
            <w:tcBorders>
              <w:right w:val="single" w:color="auto" w:sz="12" w:space="0"/>
            </w:tcBorders>
            <w:noWrap/>
            <w:vAlign w:val="center"/>
          </w:tcPr>
          <w:p w14:paraId="2F6FB151">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数值解 □：解析解 □；其他 □</w:t>
            </w:r>
          </w:p>
          <w:p w14:paraId="64B8EF98">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导则推荐模式 □：其他 □</w:t>
            </w:r>
          </w:p>
        </w:tc>
      </w:tr>
      <w:tr w14:paraId="405C53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497" w:type="dxa"/>
            <w:vMerge w:val="restart"/>
            <w:tcBorders>
              <w:left w:val="single" w:color="auto" w:sz="12" w:space="0"/>
            </w:tcBorders>
            <w:noWrap/>
            <w:textDirection w:val="tbRlV"/>
            <w:vAlign w:val="center"/>
          </w:tcPr>
          <w:p w14:paraId="23BF0AE6">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影响评价</w:t>
            </w:r>
          </w:p>
        </w:tc>
        <w:tc>
          <w:tcPr>
            <w:tcW w:w="1471" w:type="dxa"/>
            <w:vAlign w:val="center"/>
          </w:tcPr>
          <w:p w14:paraId="5170AAB1">
            <w:pPr>
              <w:spacing w:line="240" w:lineRule="auto"/>
              <w:ind w:firstLine="0" w:firstLineChars="0"/>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水污染控制和水环境影响减缓措施有效性评价</w:t>
            </w:r>
          </w:p>
        </w:tc>
        <w:tc>
          <w:tcPr>
            <w:tcW w:w="6308" w:type="dxa"/>
            <w:gridSpan w:val="9"/>
            <w:tcBorders>
              <w:right w:val="single" w:color="auto" w:sz="12" w:space="0"/>
            </w:tcBorders>
            <w:noWrap/>
            <w:vAlign w:val="center"/>
          </w:tcPr>
          <w:p w14:paraId="446E131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区（流）域水环境质量改善目标 □；替代削减源 □</w:t>
            </w:r>
          </w:p>
        </w:tc>
      </w:tr>
      <w:tr w14:paraId="72C68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71" w:hRule="atLeast"/>
          <w:jc w:val="center"/>
        </w:trPr>
        <w:tc>
          <w:tcPr>
            <w:tcW w:w="497" w:type="dxa"/>
            <w:vMerge w:val="continue"/>
            <w:tcBorders>
              <w:left w:val="single" w:color="auto" w:sz="12" w:space="0"/>
            </w:tcBorders>
            <w:vAlign w:val="center"/>
          </w:tcPr>
          <w:p w14:paraId="5CCFAE86">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3B6EE1E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水环境影响评价</w:t>
            </w:r>
          </w:p>
        </w:tc>
        <w:tc>
          <w:tcPr>
            <w:tcW w:w="6308" w:type="dxa"/>
            <w:gridSpan w:val="9"/>
            <w:tcBorders>
              <w:right w:val="single" w:color="auto" w:sz="12" w:space="0"/>
            </w:tcBorders>
            <w:vAlign w:val="center"/>
          </w:tcPr>
          <w:p w14:paraId="7CE6EAC8">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排放口混合区外满足水环境管理要求 □</w:t>
            </w:r>
          </w:p>
          <w:p w14:paraId="28A553B8">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水环境功能区或水功能区、近岸海域环境功能区水质达标 □</w:t>
            </w:r>
          </w:p>
          <w:p w14:paraId="4C56F0D2">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满足水环境保护目标水域水环境质量要求 □</w:t>
            </w:r>
          </w:p>
          <w:p w14:paraId="7FC6431E">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水环境控制单元或断面水质达标 □</w:t>
            </w:r>
          </w:p>
          <w:p w14:paraId="2F7972B1">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满足重点水污染物排放总量控制指标要求，重点行业建设项目， 主要污染物排放满足等量或减量替代要求 □</w:t>
            </w:r>
          </w:p>
          <w:p w14:paraId="0D9902BB">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满足区（流）域水环境质量改善目标要求 □</w:t>
            </w:r>
          </w:p>
          <w:p w14:paraId="6E27560E">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水文要素影响型建设项目同时应包括水文情势变化评价、主要水文特征值影响评价、生态流量符合性评价 □</w:t>
            </w:r>
          </w:p>
          <w:p w14:paraId="7035D134">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对于新设或调整入河（湖库、近岸海域）排放口的建设项目，应包括排放口设置的环境合理性评价 □</w:t>
            </w:r>
          </w:p>
          <w:p w14:paraId="58A4EBEF">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满足生态保护红线、水环境质量底线、资源利用上线和环境准入清单管理要求 □</w:t>
            </w:r>
          </w:p>
        </w:tc>
      </w:tr>
      <w:tr w14:paraId="597C3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5786636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0E9AD047">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污染源排放量核算</w:t>
            </w:r>
          </w:p>
        </w:tc>
        <w:tc>
          <w:tcPr>
            <w:tcW w:w="1884" w:type="dxa"/>
            <w:gridSpan w:val="3"/>
            <w:noWrap/>
            <w:vAlign w:val="center"/>
          </w:tcPr>
          <w:p w14:paraId="0C5E7688">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污染物名称</w:t>
            </w:r>
          </w:p>
        </w:tc>
        <w:tc>
          <w:tcPr>
            <w:tcW w:w="2937" w:type="dxa"/>
            <w:gridSpan w:val="4"/>
            <w:vAlign w:val="center"/>
          </w:tcPr>
          <w:p w14:paraId="06EAFCA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排放量/（t/a）</w:t>
            </w:r>
          </w:p>
        </w:tc>
        <w:tc>
          <w:tcPr>
            <w:tcW w:w="1487" w:type="dxa"/>
            <w:gridSpan w:val="2"/>
            <w:tcBorders>
              <w:right w:val="single" w:color="auto" w:sz="12" w:space="0"/>
            </w:tcBorders>
            <w:vAlign w:val="center"/>
          </w:tcPr>
          <w:p w14:paraId="5F12A567">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排放浓度/（mg/L）</w:t>
            </w:r>
          </w:p>
        </w:tc>
      </w:tr>
      <w:tr w14:paraId="5E0F18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497" w:type="dxa"/>
            <w:vMerge w:val="continue"/>
            <w:tcBorders>
              <w:left w:val="single" w:color="auto" w:sz="12" w:space="0"/>
            </w:tcBorders>
            <w:vAlign w:val="center"/>
          </w:tcPr>
          <w:p w14:paraId="6D4812DB">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35D9854C">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884" w:type="dxa"/>
            <w:gridSpan w:val="3"/>
            <w:noWrap/>
            <w:vAlign w:val="center"/>
          </w:tcPr>
          <w:p w14:paraId="03AF8BD4">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2937" w:type="dxa"/>
            <w:gridSpan w:val="4"/>
            <w:vAlign w:val="center"/>
          </w:tcPr>
          <w:p w14:paraId="3437F66A">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487" w:type="dxa"/>
            <w:gridSpan w:val="2"/>
            <w:tcBorders>
              <w:right w:val="single" w:color="auto" w:sz="12" w:space="0"/>
            </w:tcBorders>
            <w:vAlign w:val="center"/>
          </w:tcPr>
          <w:p w14:paraId="5A79D258">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r>
      <w:tr w14:paraId="5BC5A0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07AAC847">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281BB11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替代源排放情况</w:t>
            </w:r>
          </w:p>
        </w:tc>
        <w:tc>
          <w:tcPr>
            <w:tcW w:w="1174" w:type="dxa"/>
            <w:noWrap/>
            <w:vAlign w:val="center"/>
          </w:tcPr>
          <w:p w14:paraId="10E1541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污染源名称</w:t>
            </w:r>
          </w:p>
        </w:tc>
        <w:tc>
          <w:tcPr>
            <w:tcW w:w="1517" w:type="dxa"/>
            <w:gridSpan w:val="3"/>
            <w:vAlign w:val="center"/>
          </w:tcPr>
          <w:p w14:paraId="3F9B549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排污许可证编号</w:t>
            </w:r>
          </w:p>
        </w:tc>
        <w:tc>
          <w:tcPr>
            <w:tcW w:w="1275" w:type="dxa"/>
            <w:gridSpan w:val="2"/>
            <w:vAlign w:val="center"/>
          </w:tcPr>
          <w:p w14:paraId="79E2A15F">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污染物名称</w:t>
            </w:r>
          </w:p>
        </w:tc>
        <w:tc>
          <w:tcPr>
            <w:tcW w:w="1275" w:type="dxa"/>
            <w:gridSpan w:val="2"/>
            <w:vAlign w:val="center"/>
          </w:tcPr>
          <w:p w14:paraId="668C1A75">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排放量/（</w:t>
            </w:r>
            <w:r>
              <w:rPr>
                <w:rFonts w:hint="default" w:ascii="Times New Roman" w:hAnsi="Times New Roman" w:eastAsia="仿宋" w:cs="Times New Roman"/>
                <w:color w:val="auto"/>
                <w:sz w:val="18"/>
                <w:szCs w:val="18"/>
                <w:highlight w:val="none"/>
              </w:rPr>
              <w:t>t/a</w:t>
            </w:r>
            <w:r>
              <w:rPr>
                <w:rFonts w:hint="default" w:ascii="Times New Roman" w:hAnsi="Times New Roman" w:eastAsia="仿宋" w:cs="Times New Roman"/>
                <w:color w:val="auto"/>
                <w:kern w:val="0"/>
                <w:sz w:val="18"/>
                <w:szCs w:val="18"/>
                <w:highlight w:val="none"/>
              </w:rPr>
              <w:t>）</w:t>
            </w:r>
          </w:p>
        </w:tc>
        <w:tc>
          <w:tcPr>
            <w:tcW w:w="1067" w:type="dxa"/>
            <w:tcBorders>
              <w:right w:val="single" w:color="auto" w:sz="12" w:space="0"/>
            </w:tcBorders>
            <w:vAlign w:val="center"/>
          </w:tcPr>
          <w:p w14:paraId="4A7F233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排放浓度/（mg/L）</w:t>
            </w:r>
          </w:p>
        </w:tc>
      </w:tr>
      <w:tr w14:paraId="76BA71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497" w:type="dxa"/>
            <w:vMerge w:val="continue"/>
            <w:tcBorders>
              <w:left w:val="single" w:color="auto" w:sz="12" w:space="0"/>
            </w:tcBorders>
            <w:vAlign w:val="center"/>
          </w:tcPr>
          <w:p w14:paraId="304789B9">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35A9DA87">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174" w:type="dxa"/>
            <w:noWrap/>
            <w:vAlign w:val="center"/>
          </w:tcPr>
          <w:p w14:paraId="7197959F">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1517" w:type="dxa"/>
            <w:gridSpan w:val="3"/>
            <w:vAlign w:val="center"/>
          </w:tcPr>
          <w:p w14:paraId="558BE6B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1275" w:type="dxa"/>
            <w:gridSpan w:val="2"/>
            <w:vAlign w:val="center"/>
          </w:tcPr>
          <w:p w14:paraId="20114AE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1275" w:type="dxa"/>
            <w:gridSpan w:val="2"/>
            <w:vAlign w:val="center"/>
          </w:tcPr>
          <w:p w14:paraId="6A4E4E60">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1067" w:type="dxa"/>
            <w:tcBorders>
              <w:right w:val="single" w:color="auto" w:sz="12" w:space="0"/>
            </w:tcBorders>
            <w:vAlign w:val="center"/>
          </w:tcPr>
          <w:p w14:paraId="5892111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r>
      <w:tr w14:paraId="47991A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continue"/>
            <w:tcBorders>
              <w:left w:val="single" w:color="auto" w:sz="12" w:space="0"/>
            </w:tcBorders>
            <w:vAlign w:val="center"/>
          </w:tcPr>
          <w:p w14:paraId="4C80BE7E">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Align w:val="center"/>
          </w:tcPr>
          <w:p w14:paraId="57F34EF9">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生态流量确定</w:t>
            </w:r>
          </w:p>
        </w:tc>
        <w:tc>
          <w:tcPr>
            <w:tcW w:w="6308" w:type="dxa"/>
            <w:gridSpan w:val="9"/>
            <w:tcBorders>
              <w:right w:val="single" w:color="auto" w:sz="12" w:space="0"/>
            </w:tcBorders>
            <w:noWrap/>
            <w:vAlign w:val="center"/>
          </w:tcPr>
          <w:p w14:paraId="1224C580">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生态流量：一般水期（   ）m</w:t>
            </w:r>
            <w:r>
              <w:rPr>
                <w:rFonts w:hint="default" w:ascii="Times New Roman" w:hAnsi="Times New Roman" w:eastAsia="仿宋" w:cs="Times New Roman"/>
                <w:color w:val="auto"/>
                <w:kern w:val="0"/>
                <w:sz w:val="18"/>
                <w:szCs w:val="18"/>
                <w:highlight w:val="none"/>
                <w:vertAlign w:val="superscript"/>
              </w:rPr>
              <w:t>3</w:t>
            </w:r>
            <w:r>
              <w:rPr>
                <w:rFonts w:hint="default" w:ascii="Times New Roman" w:hAnsi="Times New Roman" w:eastAsia="仿宋" w:cs="Times New Roman"/>
                <w:color w:val="auto"/>
                <w:kern w:val="0"/>
                <w:sz w:val="18"/>
                <w:szCs w:val="18"/>
                <w:highlight w:val="none"/>
              </w:rPr>
              <w:t>/s；鱼类繁殖期（   ）m</w:t>
            </w:r>
            <w:r>
              <w:rPr>
                <w:rFonts w:hint="default" w:ascii="Times New Roman" w:hAnsi="Times New Roman" w:eastAsia="仿宋" w:cs="Times New Roman"/>
                <w:color w:val="auto"/>
                <w:kern w:val="0"/>
                <w:sz w:val="18"/>
                <w:szCs w:val="18"/>
                <w:highlight w:val="none"/>
                <w:vertAlign w:val="superscript"/>
              </w:rPr>
              <w:t>3</w:t>
            </w:r>
            <w:r>
              <w:rPr>
                <w:rFonts w:hint="default" w:ascii="Times New Roman" w:hAnsi="Times New Roman" w:eastAsia="仿宋" w:cs="Times New Roman"/>
                <w:color w:val="auto"/>
                <w:kern w:val="0"/>
                <w:sz w:val="18"/>
                <w:szCs w:val="18"/>
                <w:highlight w:val="none"/>
              </w:rPr>
              <w:t>/s；其他（   ）m</w:t>
            </w:r>
            <w:r>
              <w:rPr>
                <w:rFonts w:hint="default" w:ascii="Times New Roman" w:hAnsi="Times New Roman" w:eastAsia="仿宋" w:cs="Times New Roman"/>
                <w:color w:val="auto"/>
                <w:kern w:val="0"/>
                <w:sz w:val="18"/>
                <w:szCs w:val="18"/>
                <w:highlight w:val="none"/>
                <w:vertAlign w:val="superscript"/>
              </w:rPr>
              <w:t>3</w:t>
            </w:r>
            <w:r>
              <w:rPr>
                <w:rFonts w:hint="default" w:ascii="Times New Roman" w:hAnsi="Times New Roman" w:eastAsia="仿宋" w:cs="Times New Roman"/>
                <w:color w:val="auto"/>
                <w:kern w:val="0"/>
                <w:sz w:val="18"/>
                <w:szCs w:val="18"/>
                <w:highlight w:val="none"/>
              </w:rPr>
              <w:t>/s</w:t>
            </w:r>
          </w:p>
          <w:p w14:paraId="45796F6E">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生态水位：一般水期（   ）m；鱼类繁殖期（   ）m；其他（   ）m</w:t>
            </w:r>
          </w:p>
        </w:tc>
      </w:tr>
      <w:tr w14:paraId="4F62CB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497" w:type="dxa"/>
            <w:vMerge w:val="restart"/>
            <w:tcBorders>
              <w:left w:val="single" w:color="auto" w:sz="12" w:space="0"/>
            </w:tcBorders>
            <w:noWrap/>
            <w:textDirection w:val="tbRlV"/>
            <w:vAlign w:val="center"/>
          </w:tcPr>
          <w:p w14:paraId="23D8E800">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防治措施</w:t>
            </w:r>
          </w:p>
        </w:tc>
        <w:tc>
          <w:tcPr>
            <w:tcW w:w="1471" w:type="dxa"/>
            <w:vAlign w:val="center"/>
          </w:tcPr>
          <w:p w14:paraId="6B523CE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环保措施</w:t>
            </w:r>
          </w:p>
        </w:tc>
        <w:tc>
          <w:tcPr>
            <w:tcW w:w="6308" w:type="dxa"/>
            <w:gridSpan w:val="9"/>
            <w:tcBorders>
              <w:right w:val="single" w:color="auto" w:sz="12" w:space="0"/>
            </w:tcBorders>
            <w:noWrap/>
            <w:vAlign w:val="center"/>
          </w:tcPr>
          <w:p w14:paraId="2D9923B3">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污水处理设施 □；水文减缓设施 □；生态流量保障设施 □；区域削减 □；依托其他工程措施 □；其他</w:t>
            </w:r>
            <w:r>
              <w:rPr>
                <w:rFonts w:hint="default" w:ascii="Times New Roman" w:hAnsi="Times New Roman" w:eastAsia="仿宋" w:cs="Times New Roman"/>
                <w:snapToGrid w:val="0"/>
                <w:color w:val="auto"/>
                <w:sz w:val="18"/>
                <w:szCs w:val="18"/>
                <w:highlight w:val="none"/>
              </w:rPr>
              <w:t>√</w:t>
            </w:r>
          </w:p>
        </w:tc>
      </w:tr>
      <w:tr w14:paraId="368282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497" w:type="dxa"/>
            <w:vMerge w:val="continue"/>
            <w:tcBorders>
              <w:left w:val="single" w:color="auto" w:sz="12" w:space="0"/>
            </w:tcBorders>
            <w:vAlign w:val="center"/>
          </w:tcPr>
          <w:p w14:paraId="03752F67">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restart"/>
            <w:vAlign w:val="center"/>
          </w:tcPr>
          <w:p w14:paraId="5FFB0B3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监测计划</w:t>
            </w:r>
          </w:p>
        </w:tc>
        <w:tc>
          <w:tcPr>
            <w:tcW w:w="1700" w:type="dxa"/>
            <w:gridSpan w:val="2"/>
            <w:noWrap/>
            <w:vAlign w:val="center"/>
          </w:tcPr>
          <w:p w14:paraId="6337D9A4">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2239" w:type="dxa"/>
            <w:gridSpan w:val="4"/>
            <w:vAlign w:val="center"/>
          </w:tcPr>
          <w:p w14:paraId="6EE19C5A">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环境质量</w:t>
            </w:r>
          </w:p>
        </w:tc>
        <w:tc>
          <w:tcPr>
            <w:tcW w:w="2369" w:type="dxa"/>
            <w:gridSpan w:val="3"/>
            <w:tcBorders>
              <w:right w:val="single" w:color="auto" w:sz="12" w:space="0"/>
            </w:tcBorders>
            <w:vAlign w:val="center"/>
          </w:tcPr>
          <w:p w14:paraId="7D4B0E5E">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污染源</w:t>
            </w:r>
          </w:p>
        </w:tc>
      </w:tr>
      <w:tr w14:paraId="58A684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497" w:type="dxa"/>
            <w:vMerge w:val="continue"/>
            <w:tcBorders>
              <w:left w:val="single" w:color="auto" w:sz="12" w:space="0"/>
            </w:tcBorders>
            <w:vAlign w:val="center"/>
          </w:tcPr>
          <w:p w14:paraId="65BFE570">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1847FCF5">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700" w:type="dxa"/>
            <w:gridSpan w:val="2"/>
            <w:noWrap/>
            <w:vAlign w:val="center"/>
          </w:tcPr>
          <w:p w14:paraId="5B07E73B">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监测方式</w:t>
            </w:r>
          </w:p>
        </w:tc>
        <w:tc>
          <w:tcPr>
            <w:tcW w:w="2239" w:type="dxa"/>
            <w:gridSpan w:val="4"/>
            <w:vAlign w:val="center"/>
          </w:tcPr>
          <w:p w14:paraId="2883ED8A">
            <w:pPr>
              <w:spacing w:line="240" w:lineRule="auto"/>
              <w:ind w:firstLine="0" w:firstLineChars="0"/>
              <w:jc w:val="center"/>
              <w:rPr>
                <w:rFonts w:hint="default" w:ascii="Times New Roman" w:hAnsi="Times New Roman" w:eastAsia="仿宋" w:cs="Times New Roman"/>
                <w:b/>
                <w:color w:val="auto"/>
                <w:kern w:val="0"/>
                <w:sz w:val="18"/>
                <w:szCs w:val="18"/>
                <w:highlight w:val="none"/>
              </w:rPr>
            </w:pPr>
            <w:r>
              <w:rPr>
                <w:rFonts w:hint="default" w:ascii="Times New Roman" w:hAnsi="Times New Roman" w:eastAsia="仿宋" w:cs="Times New Roman"/>
                <w:color w:val="auto"/>
                <w:kern w:val="0"/>
                <w:sz w:val="18"/>
                <w:szCs w:val="18"/>
                <w:highlight w:val="none"/>
              </w:rPr>
              <w:t>手动 □；自动 □；无监测 □</w:t>
            </w:r>
          </w:p>
        </w:tc>
        <w:tc>
          <w:tcPr>
            <w:tcW w:w="2369" w:type="dxa"/>
            <w:gridSpan w:val="3"/>
            <w:tcBorders>
              <w:right w:val="single" w:color="auto" w:sz="12" w:space="0"/>
            </w:tcBorders>
            <w:vAlign w:val="center"/>
          </w:tcPr>
          <w:p w14:paraId="74A721E4">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手动 □；自动 □；无监测</w:t>
            </w:r>
            <w:r>
              <w:rPr>
                <w:rFonts w:hint="default" w:ascii="Times New Roman" w:hAnsi="Times New Roman" w:eastAsia="仿宋" w:cs="Times New Roman"/>
                <w:snapToGrid w:val="0"/>
                <w:color w:val="auto"/>
                <w:sz w:val="18"/>
                <w:szCs w:val="18"/>
                <w:highlight w:val="none"/>
              </w:rPr>
              <w:t>√</w:t>
            </w:r>
          </w:p>
        </w:tc>
      </w:tr>
      <w:tr w14:paraId="1C8838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497" w:type="dxa"/>
            <w:vMerge w:val="continue"/>
            <w:tcBorders>
              <w:left w:val="single" w:color="auto" w:sz="12" w:space="0"/>
            </w:tcBorders>
            <w:vAlign w:val="center"/>
          </w:tcPr>
          <w:p w14:paraId="09300F0B">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52D2AE71">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700" w:type="dxa"/>
            <w:gridSpan w:val="2"/>
            <w:noWrap/>
            <w:vAlign w:val="center"/>
          </w:tcPr>
          <w:p w14:paraId="18D900B4">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监测点位</w:t>
            </w:r>
          </w:p>
        </w:tc>
        <w:tc>
          <w:tcPr>
            <w:tcW w:w="2239" w:type="dxa"/>
            <w:gridSpan w:val="4"/>
            <w:vAlign w:val="center"/>
          </w:tcPr>
          <w:p w14:paraId="7C7FC9BC">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2369" w:type="dxa"/>
            <w:gridSpan w:val="3"/>
            <w:tcBorders>
              <w:right w:val="single" w:color="auto" w:sz="12" w:space="0"/>
            </w:tcBorders>
            <w:vAlign w:val="center"/>
          </w:tcPr>
          <w:p w14:paraId="7B2D30B2">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r>
      <w:tr w14:paraId="058381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21" w:hRule="atLeast"/>
          <w:jc w:val="center"/>
        </w:trPr>
        <w:tc>
          <w:tcPr>
            <w:tcW w:w="497" w:type="dxa"/>
            <w:vMerge w:val="continue"/>
            <w:tcBorders>
              <w:left w:val="single" w:color="auto" w:sz="12" w:space="0"/>
            </w:tcBorders>
            <w:vAlign w:val="center"/>
          </w:tcPr>
          <w:p w14:paraId="2CEB71F8">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vMerge w:val="continue"/>
            <w:vAlign w:val="center"/>
          </w:tcPr>
          <w:p w14:paraId="250BFF63">
            <w:pPr>
              <w:spacing w:line="240" w:lineRule="auto"/>
              <w:ind w:firstLine="0" w:firstLineChars="0"/>
              <w:jc w:val="center"/>
              <w:rPr>
                <w:rFonts w:hint="default" w:ascii="Times New Roman" w:hAnsi="Times New Roman" w:eastAsia="仿宋" w:cs="Times New Roman"/>
                <w:color w:val="auto"/>
                <w:kern w:val="0"/>
                <w:sz w:val="18"/>
                <w:szCs w:val="18"/>
                <w:highlight w:val="none"/>
              </w:rPr>
            </w:pPr>
          </w:p>
        </w:tc>
        <w:tc>
          <w:tcPr>
            <w:tcW w:w="1700" w:type="dxa"/>
            <w:gridSpan w:val="2"/>
            <w:noWrap/>
            <w:vAlign w:val="center"/>
          </w:tcPr>
          <w:p w14:paraId="53F1BEE3">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监测因子</w:t>
            </w:r>
          </w:p>
        </w:tc>
        <w:tc>
          <w:tcPr>
            <w:tcW w:w="2239" w:type="dxa"/>
            <w:gridSpan w:val="4"/>
            <w:vAlign w:val="center"/>
          </w:tcPr>
          <w:p w14:paraId="37B3BE04">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c>
          <w:tcPr>
            <w:tcW w:w="2369" w:type="dxa"/>
            <w:gridSpan w:val="3"/>
            <w:tcBorders>
              <w:right w:val="single" w:color="auto" w:sz="12" w:space="0"/>
            </w:tcBorders>
            <w:vAlign w:val="center"/>
          </w:tcPr>
          <w:p w14:paraId="25392AC9">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   ）</w:t>
            </w:r>
          </w:p>
        </w:tc>
      </w:tr>
      <w:tr w14:paraId="098BD3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6" w:hRule="atLeast"/>
          <w:jc w:val="center"/>
        </w:trPr>
        <w:tc>
          <w:tcPr>
            <w:tcW w:w="497" w:type="dxa"/>
            <w:vMerge w:val="continue"/>
            <w:tcBorders>
              <w:left w:val="single" w:color="auto" w:sz="12" w:space="0"/>
              <w:bottom w:val="single" w:color="auto" w:sz="6" w:space="0"/>
            </w:tcBorders>
            <w:vAlign w:val="center"/>
          </w:tcPr>
          <w:p w14:paraId="3376CB7B">
            <w:pPr>
              <w:spacing w:line="240" w:lineRule="auto"/>
              <w:ind w:firstLine="0" w:firstLineChars="0"/>
              <w:jc w:val="left"/>
              <w:rPr>
                <w:rFonts w:hint="default" w:ascii="Times New Roman" w:hAnsi="Times New Roman" w:eastAsia="仿宋" w:cs="Times New Roman"/>
                <w:color w:val="auto"/>
                <w:kern w:val="0"/>
                <w:sz w:val="18"/>
                <w:szCs w:val="18"/>
                <w:highlight w:val="none"/>
              </w:rPr>
            </w:pPr>
          </w:p>
        </w:tc>
        <w:tc>
          <w:tcPr>
            <w:tcW w:w="1471" w:type="dxa"/>
            <w:tcBorders>
              <w:bottom w:val="single" w:color="auto" w:sz="6" w:space="0"/>
            </w:tcBorders>
            <w:vAlign w:val="center"/>
          </w:tcPr>
          <w:p w14:paraId="013DEB61">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污染物排放清单</w:t>
            </w:r>
          </w:p>
        </w:tc>
        <w:tc>
          <w:tcPr>
            <w:tcW w:w="6308" w:type="dxa"/>
            <w:gridSpan w:val="9"/>
            <w:tcBorders>
              <w:bottom w:val="single" w:color="auto" w:sz="6" w:space="0"/>
              <w:right w:val="single" w:color="auto" w:sz="12" w:space="0"/>
            </w:tcBorders>
            <w:noWrap/>
            <w:vAlign w:val="center"/>
          </w:tcPr>
          <w:p w14:paraId="3A0E9D9D">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snapToGrid w:val="0"/>
                <w:color w:val="auto"/>
                <w:sz w:val="18"/>
                <w:szCs w:val="18"/>
                <w:highlight w:val="none"/>
              </w:rPr>
              <w:t>√</w:t>
            </w:r>
          </w:p>
        </w:tc>
      </w:tr>
      <w:tr w14:paraId="0540D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1968" w:type="dxa"/>
            <w:gridSpan w:val="2"/>
            <w:tcBorders>
              <w:top w:val="single" w:color="auto" w:sz="6" w:space="0"/>
              <w:left w:val="single" w:color="auto" w:sz="12" w:space="0"/>
              <w:bottom w:val="single" w:color="auto" w:sz="4" w:space="0"/>
            </w:tcBorders>
            <w:noWrap/>
            <w:vAlign w:val="center"/>
          </w:tcPr>
          <w:p w14:paraId="0D6FAC67">
            <w:pPr>
              <w:spacing w:line="240" w:lineRule="auto"/>
              <w:ind w:firstLine="0" w:firstLineChars="0"/>
              <w:jc w:val="center"/>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评价结论</w:t>
            </w:r>
          </w:p>
        </w:tc>
        <w:tc>
          <w:tcPr>
            <w:tcW w:w="6308" w:type="dxa"/>
            <w:gridSpan w:val="9"/>
            <w:tcBorders>
              <w:top w:val="single" w:color="auto" w:sz="6" w:space="0"/>
              <w:bottom w:val="single" w:color="auto" w:sz="4" w:space="0"/>
              <w:right w:val="single" w:color="auto" w:sz="12" w:space="0"/>
            </w:tcBorders>
            <w:noWrap/>
            <w:vAlign w:val="center"/>
          </w:tcPr>
          <w:p w14:paraId="5AD1944C">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可以接受</w:t>
            </w:r>
            <w:r>
              <w:rPr>
                <w:rFonts w:hint="default" w:ascii="Times New Roman" w:hAnsi="Times New Roman" w:eastAsia="仿宋" w:cs="Times New Roman"/>
                <w:snapToGrid w:val="0"/>
                <w:color w:val="auto"/>
                <w:sz w:val="18"/>
                <w:szCs w:val="18"/>
                <w:highlight w:val="none"/>
              </w:rPr>
              <w:t>√</w:t>
            </w:r>
            <w:r>
              <w:rPr>
                <w:rFonts w:hint="default" w:ascii="Times New Roman" w:hAnsi="Times New Roman" w:eastAsia="仿宋" w:cs="Times New Roman"/>
                <w:color w:val="auto"/>
                <w:kern w:val="0"/>
                <w:sz w:val="18"/>
                <w:szCs w:val="18"/>
                <w:highlight w:val="none"/>
              </w:rPr>
              <w:t>；不可以接受 □</w:t>
            </w:r>
          </w:p>
        </w:tc>
      </w:tr>
      <w:tr w14:paraId="6E7B33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67" w:hRule="atLeast"/>
          <w:jc w:val="center"/>
        </w:trPr>
        <w:tc>
          <w:tcPr>
            <w:tcW w:w="8276" w:type="dxa"/>
            <w:gridSpan w:val="11"/>
            <w:tcBorders>
              <w:top w:val="single" w:color="auto" w:sz="4" w:space="0"/>
              <w:left w:val="single" w:color="auto" w:sz="12" w:space="0"/>
              <w:bottom w:val="single" w:color="auto" w:sz="12" w:space="0"/>
              <w:right w:val="single" w:color="auto" w:sz="12" w:space="0"/>
            </w:tcBorders>
            <w:noWrap/>
            <w:vAlign w:val="center"/>
          </w:tcPr>
          <w:p w14:paraId="6F10AD5D">
            <w:pPr>
              <w:spacing w:line="240" w:lineRule="auto"/>
              <w:ind w:firstLine="0" w:firstLineChars="0"/>
              <w:jc w:val="left"/>
              <w:rPr>
                <w:rFonts w:hint="default" w:ascii="Times New Roman" w:hAnsi="Times New Roman" w:eastAsia="仿宋" w:cs="Times New Roman"/>
                <w:color w:val="auto"/>
                <w:kern w:val="0"/>
                <w:sz w:val="18"/>
                <w:szCs w:val="18"/>
                <w:highlight w:val="none"/>
              </w:rPr>
            </w:pPr>
            <w:r>
              <w:rPr>
                <w:rFonts w:hint="default" w:ascii="Times New Roman" w:hAnsi="Times New Roman" w:eastAsia="仿宋" w:cs="Times New Roman"/>
                <w:color w:val="auto"/>
                <w:kern w:val="0"/>
                <w:sz w:val="18"/>
                <w:szCs w:val="18"/>
                <w:highlight w:val="none"/>
              </w:rPr>
              <w:t>注：“□”为勾选项，可√；“（   ）”为内容填写项；“备注”为其他补充内容。</w:t>
            </w:r>
          </w:p>
        </w:tc>
      </w:tr>
    </w:tbl>
    <w:p w14:paraId="4E401709">
      <w:pPr>
        <w:pStyle w:val="67"/>
        <w:ind w:firstLine="0" w:firstLineChars="0"/>
        <w:jc w:val="center"/>
        <w:rPr>
          <w:rFonts w:hint="default" w:ascii="Times New Roman" w:hAnsi="Times New Roman" w:cs="Times New Roman"/>
          <w:color w:val="auto"/>
          <w:highlight w:val="none"/>
        </w:rPr>
      </w:pPr>
    </w:p>
    <w:p w14:paraId="0253F09A">
      <w:pPr>
        <w:pStyle w:val="67"/>
        <w:ind w:firstLine="480"/>
        <w:rPr>
          <w:rFonts w:hint="default" w:ascii="Times New Roman" w:hAnsi="Times New Roman" w:cs="Times New Roman"/>
          <w:color w:val="auto"/>
          <w:highlight w:val="none"/>
        </w:rPr>
      </w:pPr>
    </w:p>
    <w:p w14:paraId="16A635F0">
      <w:pPr>
        <w:pStyle w:val="67"/>
        <w:ind w:firstLine="480"/>
        <w:rPr>
          <w:rFonts w:hint="default" w:ascii="Times New Roman" w:hAnsi="Times New Roman" w:cs="Times New Roman"/>
          <w:color w:val="auto"/>
          <w:highlight w:val="none"/>
        </w:rPr>
      </w:pPr>
    </w:p>
    <w:p w14:paraId="7EF12CC6">
      <w:pPr>
        <w:pStyle w:val="67"/>
        <w:ind w:firstLine="480"/>
        <w:rPr>
          <w:rFonts w:hint="default" w:ascii="Times New Roman" w:hAnsi="Times New Roman" w:cs="Times New Roman"/>
          <w:color w:val="auto"/>
          <w:highlight w:val="none"/>
        </w:rPr>
      </w:pPr>
    </w:p>
    <w:p w14:paraId="5F530793">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pPr>
      <w:bookmarkStart w:id="709" w:name="_Toc10137593"/>
      <w:bookmarkStart w:id="710" w:name="_Toc92265110"/>
      <w:bookmarkStart w:id="711" w:name="_Toc9533838"/>
      <w:bookmarkStart w:id="712" w:name="_Toc19424"/>
      <w:bookmarkStart w:id="713" w:name="_Toc2789042"/>
      <w:bookmarkStart w:id="714" w:name="_Toc43369865"/>
      <w:r>
        <w:rPr>
          <w:rFonts w:hint="default" w:ascii="Times New Roman" w:hAnsi="Times New Roman" w:eastAsia="黑体" w:cs="Times New Roman"/>
          <w:bCs/>
          <w:snapToGrid w:val="0"/>
          <w:color w:val="auto"/>
          <w:kern w:val="0"/>
          <w:szCs w:val="32"/>
          <w:highlight w:val="none"/>
        </w:rPr>
        <w:t>附表3建设项目环境风险环境影响评价自查</w:t>
      </w:r>
      <w:bookmarkEnd w:id="709"/>
      <w:bookmarkEnd w:id="710"/>
      <w:bookmarkEnd w:id="711"/>
      <w:bookmarkEnd w:id="712"/>
      <w:bookmarkEnd w:id="713"/>
      <w:bookmarkEnd w:id="714"/>
    </w:p>
    <w:tbl>
      <w:tblPr>
        <w:tblStyle w:val="47"/>
        <w:tblW w:w="5000" w:type="pct"/>
        <w:jc w:val="center"/>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1"/>
        <w:gridCol w:w="958"/>
        <w:gridCol w:w="1071"/>
        <w:gridCol w:w="334"/>
        <w:gridCol w:w="406"/>
        <w:gridCol w:w="381"/>
        <w:gridCol w:w="535"/>
        <w:gridCol w:w="597"/>
        <w:gridCol w:w="438"/>
        <w:gridCol w:w="296"/>
        <w:gridCol w:w="141"/>
        <w:gridCol w:w="510"/>
        <w:gridCol w:w="205"/>
        <w:gridCol w:w="336"/>
        <w:gridCol w:w="1245"/>
      </w:tblGrid>
      <w:tr w14:paraId="3E657DCE">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PrEx>
        <w:trPr>
          <w:jc w:val="center"/>
        </w:trPr>
        <w:tc>
          <w:tcPr>
            <w:tcW w:w="1793" w:type="dxa"/>
            <w:gridSpan w:val="2"/>
            <w:shd w:val="clear" w:color="auto" w:fill="auto"/>
            <w:vAlign w:val="center"/>
          </w:tcPr>
          <w:p w14:paraId="5ED2163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工作内容</w:t>
            </w:r>
          </w:p>
        </w:tc>
        <w:tc>
          <w:tcPr>
            <w:tcW w:w="6519" w:type="dxa"/>
            <w:gridSpan w:val="13"/>
            <w:shd w:val="clear" w:color="auto" w:fill="auto"/>
            <w:vAlign w:val="center"/>
          </w:tcPr>
          <w:p w14:paraId="4933B15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完成情况</w:t>
            </w:r>
          </w:p>
        </w:tc>
      </w:tr>
      <w:tr w14:paraId="709180B4">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shd w:val="clear" w:color="auto" w:fill="auto"/>
            <w:vAlign w:val="center"/>
          </w:tcPr>
          <w:p w14:paraId="2607B61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风险调查</w:t>
            </w:r>
          </w:p>
        </w:tc>
        <w:tc>
          <w:tcPr>
            <w:tcW w:w="965" w:type="dxa"/>
            <w:vMerge w:val="restart"/>
            <w:shd w:val="clear" w:color="auto" w:fill="auto"/>
            <w:vAlign w:val="center"/>
          </w:tcPr>
          <w:p w14:paraId="26358F4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危险物质</w:t>
            </w:r>
          </w:p>
        </w:tc>
        <w:tc>
          <w:tcPr>
            <w:tcW w:w="1075" w:type="dxa"/>
            <w:shd w:val="clear" w:color="auto" w:fill="auto"/>
            <w:vAlign w:val="center"/>
          </w:tcPr>
          <w:p w14:paraId="1E8F551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名称</w:t>
            </w:r>
          </w:p>
        </w:tc>
        <w:tc>
          <w:tcPr>
            <w:tcW w:w="1668" w:type="dxa"/>
            <w:gridSpan w:val="4"/>
            <w:shd w:val="clear" w:color="auto" w:fill="auto"/>
            <w:vAlign w:val="center"/>
          </w:tcPr>
          <w:p w14:paraId="3359D269">
            <w:pPr>
              <w:spacing w:line="240" w:lineRule="auto"/>
              <w:ind w:firstLine="0" w:firstLineChars="0"/>
              <w:jc w:val="center"/>
              <w:rPr>
                <w:rFonts w:hint="eastAsia" w:ascii="Times New Roman" w:hAnsi="Times New Roman" w:eastAsia="仿宋" w:cs="Times New Roman"/>
                <w:color w:val="auto"/>
                <w:sz w:val="18"/>
                <w:szCs w:val="18"/>
                <w:highlight w:val="none"/>
                <w:lang w:eastAsia="zh-CN"/>
              </w:rPr>
            </w:pPr>
            <w:r>
              <w:rPr>
                <w:rFonts w:hint="eastAsia" w:eastAsia="仿宋" w:cs="Times New Roman"/>
                <w:color w:val="auto"/>
                <w:sz w:val="18"/>
                <w:szCs w:val="18"/>
                <w:highlight w:val="none"/>
                <w:lang w:val="en-US" w:eastAsia="zh-CN"/>
              </w:rPr>
              <w:t>次氯酸钠</w:t>
            </w:r>
          </w:p>
        </w:tc>
        <w:tc>
          <w:tcPr>
            <w:tcW w:w="1349" w:type="dxa"/>
            <w:gridSpan w:val="3"/>
            <w:shd w:val="clear" w:color="auto" w:fill="auto"/>
            <w:vAlign w:val="center"/>
          </w:tcPr>
          <w:p w14:paraId="3C2066A9">
            <w:pPr>
              <w:spacing w:line="240" w:lineRule="auto"/>
              <w:ind w:firstLine="0" w:firstLineChars="0"/>
              <w:jc w:val="center"/>
              <w:rPr>
                <w:rFonts w:hint="default" w:eastAsia="仿宋" w:cs="Times New Roman"/>
                <w:color w:val="auto"/>
                <w:sz w:val="18"/>
                <w:szCs w:val="18"/>
                <w:highlight w:val="none"/>
                <w:lang w:val="en-US" w:eastAsia="zh-CN"/>
              </w:rPr>
            </w:pPr>
            <w:r>
              <w:rPr>
                <w:rFonts w:hint="eastAsia" w:eastAsia="仿宋" w:cs="Times New Roman"/>
                <w:color w:val="auto"/>
                <w:sz w:val="18"/>
                <w:szCs w:val="18"/>
                <w:highlight w:val="none"/>
                <w:lang w:val="en-US" w:eastAsia="zh-CN"/>
              </w:rPr>
              <w:t>收集池渗滤液（有机废液）</w:t>
            </w:r>
          </w:p>
        </w:tc>
        <w:tc>
          <w:tcPr>
            <w:tcW w:w="2427" w:type="dxa"/>
            <w:gridSpan w:val="5"/>
            <w:shd w:val="clear" w:color="auto" w:fill="auto"/>
            <w:vAlign w:val="center"/>
          </w:tcPr>
          <w:p w14:paraId="141C1C8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eastAsia" w:eastAsia="仿宋" w:cs="Times New Roman"/>
                <w:color w:val="auto"/>
                <w:sz w:val="18"/>
                <w:szCs w:val="18"/>
                <w:highlight w:val="none"/>
                <w:lang w:val="en-US" w:eastAsia="zh-CN"/>
              </w:rPr>
              <w:t>收集池渗滤液（高浓度废液）</w:t>
            </w:r>
          </w:p>
        </w:tc>
      </w:tr>
      <w:tr w14:paraId="2F17A3D5">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30072201">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00FFA9F0">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shd w:val="clear" w:color="auto" w:fill="auto"/>
            <w:vAlign w:val="center"/>
          </w:tcPr>
          <w:p w14:paraId="16A3290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存在总量/t</w:t>
            </w:r>
          </w:p>
        </w:tc>
        <w:tc>
          <w:tcPr>
            <w:tcW w:w="1668" w:type="dxa"/>
            <w:gridSpan w:val="4"/>
            <w:shd w:val="clear" w:color="auto" w:fill="auto"/>
            <w:vAlign w:val="center"/>
          </w:tcPr>
          <w:p w14:paraId="55CAA47C">
            <w:pPr>
              <w:pStyle w:val="146"/>
              <w:rPr>
                <w:rFonts w:hint="default" w:ascii="Times New Roman" w:hAnsi="Times New Roman" w:eastAsia="仿宋" w:cs="Times New Roman"/>
                <w:color w:val="auto"/>
                <w:highlight w:val="none"/>
                <w:lang w:val="en-US" w:eastAsia="zh-CN"/>
              </w:rPr>
            </w:pPr>
            <w:r>
              <w:rPr>
                <w:rFonts w:hint="eastAsia" w:cs="Times New Roman"/>
                <w:color w:val="auto"/>
                <w:highlight w:val="none"/>
                <w:lang w:val="en-US" w:eastAsia="zh-CN"/>
              </w:rPr>
              <w:t>2.0</w:t>
            </w:r>
          </w:p>
        </w:tc>
        <w:tc>
          <w:tcPr>
            <w:tcW w:w="1349" w:type="dxa"/>
            <w:gridSpan w:val="3"/>
            <w:shd w:val="clear" w:color="auto" w:fill="auto"/>
            <w:vAlign w:val="center"/>
          </w:tcPr>
          <w:p w14:paraId="033C2F15">
            <w:pPr>
              <w:pStyle w:val="146"/>
              <w:rPr>
                <w:rFonts w:hint="default" w:ascii="Times New Roman" w:hAnsi="Times New Roman" w:eastAsia="仿宋" w:cs="Times New Roman"/>
                <w:color w:val="auto"/>
                <w:highlight w:val="none"/>
                <w:lang w:val="en-US" w:eastAsia="zh-CN"/>
              </w:rPr>
            </w:pPr>
            <w:r>
              <w:rPr>
                <w:rFonts w:hint="eastAsia" w:ascii="Times New Roman" w:hAnsi="Times New Roman" w:eastAsia="仿宋" w:cs="Times New Roman"/>
                <w:color w:val="auto"/>
                <w:highlight w:val="none"/>
                <w:lang w:val="en-US" w:eastAsia="zh-CN"/>
              </w:rPr>
              <w:t>2.42</w:t>
            </w:r>
          </w:p>
        </w:tc>
        <w:tc>
          <w:tcPr>
            <w:tcW w:w="2427" w:type="dxa"/>
            <w:gridSpan w:val="5"/>
            <w:shd w:val="clear" w:color="auto" w:fill="auto"/>
            <w:vAlign w:val="center"/>
          </w:tcPr>
          <w:p w14:paraId="7FE19CD4">
            <w:pPr>
              <w:pStyle w:val="146"/>
              <w:rPr>
                <w:rFonts w:hint="default" w:ascii="Times New Roman" w:hAnsi="Times New Roman" w:eastAsia="仿宋" w:cs="Times New Roman"/>
                <w:color w:val="auto"/>
                <w:highlight w:val="none"/>
                <w:lang w:val="en-US" w:eastAsia="zh-CN"/>
              </w:rPr>
            </w:pPr>
            <w:r>
              <w:rPr>
                <w:rFonts w:hint="eastAsia" w:cs="Times New Roman"/>
                <w:color w:val="auto"/>
                <w:highlight w:val="none"/>
                <w:lang w:val="en-US" w:eastAsia="zh-CN"/>
              </w:rPr>
              <w:t>0.25</w:t>
            </w:r>
          </w:p>
        </w:tc>
      </w:tr>
      <w:tr w14:paraId="16692026">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4175F55B">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restart"/>
            <w:shd w:val="clear" w:color="auto" w:fill="auto"/>
            <w:vAlign w:val="center"/>
          </w:tcPr>
          <w:p w14:paraId="4B85542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环境敏感性</w:t>
            </w:r>
          </w:p>
        </w:tc>
        <w:tc>
          <w:tcPr>
            <w:tcW w:w="1075" w:type="dxa"/>
            <w:vMerge w:val="restart"/>
            <w:shd w:val="clear" w:color="auto" w:fill="auto"/>
            <w:vAlign w:val="center"/>
          </w:tcPr>
          <w:p w14:paraId="30F41E9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大气</w:t>
            </w:r>
          </w:p>
        </w:tc>
        <w:tc>
          <w:tcPr>
            <w:tcW w:w="3017" w:type="dxa"/>
            <w:gridSpan w:val="7"/>
            <w:shd w:val="clear" w:color="auto" w:fill="auto"/>
            <w:vAlign w:val="center"/>
          </w:tcPr>
          <w:p w14:paraId="4C3D25A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500m范围内人口数</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人</w:t>
            </w:r>
          </w:p>
        </w:tc>
        <w:tc>
          <w:tcPr>
            <w:tcW w:w="2427" w:type="dxa"/>
            <w:gridSpan w:val="5"/>
            <w:shd w:val="clear" w:color="auto" w:fill="auto"/>
            <w:vAlign w:val="center"/>
          </w:tcPr>
          <w:p w14:paraId="4F8DD6B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5km范围内人口数</w:t>
            </w:r>
            <w:r>
              <w:rPr>
                <w:rFonts w:hint="default" w:ascii="Times New Roman" w:hAnsi="Times New Roman" w:eastAsia="仿宋" w:cs="Times New Roman"/>
                <w:color w:val="auto"/>
                <w:sz w:val="18"/>
                <w:szCs w:val="18"/>
                <w:highlight w:val="none"/>
                <w:u w:val="single"/>
              </w:rPr>
              <w:t xml:space="preserve"> </w:t>
            </w:r>
            <w:r>
              <w:rPr>
                <w:rFonts w:hint="eastAsia" w:eastAsia="仿宋" w:cs="Times New Roman"/>
                <w:color w:val="auto"/>
                <w:sz w:val="18"/>
                <w:szCs w:val="18"/>
                <w:highlight w:val="none"/>
                <w:u w:val="single"/>
                <w:lang w:val="en-US" w:eastAsia="zh-CN"/>
              </w:rPr>
              <w:t xml:space="preserve">   </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人</w:t>
            </w:r>
          </w:p>
        </w:tc>
      </w:tr>
      <w:tr w14:paraId="7E4D46F3">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4CE54328">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64909261">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vMerge w:val="continue"/>
            <w:shd w:val="clear" w:color="auto" w:fill="auto"/>
            <w:vAlign w:val="center"/>
          </w:tcPr>
          <w:p w14:paraId="32A372D9">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4220" w:type="dxa"/>
            <w:gridSpan w:val="11"/>
            <w:shd w:val="clear" w:color="auto" w:fill="auto"/>
            <w:vAlign w:val="center"/>
          </w:tcPr>
          <w:p w14:paraId="775C689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每公里管段周边200m范围内人口数（最大）</w:t>
            </w:r>
          </w:p>
        </w:tc>
        <w:tc>
          <w:tcPr>
            <w:tcW w:w="1224" w:type="dxa"/>
            <w:shd w:val="clear" w:color="auto" w:fill="auto"/>
            <w:vAlign w:val="center"/>
          </w:tcPr>
          <w:p w14:paraId="7D6E29A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人</w:t>
            </w:r>
          </w:p>
        </w:tc>
      </w:tr>
      <w:tr w14:paraId="32811072">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53601ED6">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0767954C">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vMerge w:val="restart"/>
            <w:shd w:val="clear" w:color="auto" w:fill="auto"/>
            <w:vAlign w:val="center"/>
          </w:tcPr>
          <w:p w14:paraId="5F9CE8B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地表水</w:t>
            </w:r>
          </w:p>
        </w:tc>
        <w:tc>
          <w:tcPr>
            <w:tcW w:w="1668" w:type="dxa"/>
            <w:gridSpan w:val="4"/>
            <w:shd w:val="clear" w:color="auto" w:fill="auto"/>
            <w:vAlign w:val="center"/>
          </w:tcPr>
          <w:p w14:paraId="70F26C6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地表水功能敏感性</w:t>
            </w:r>
          </w:p>
        </w:tc>
        <w:tc>
          <w:tcPr>
            <w:tcW w:w="1349" w:type="dxa"/>
            <w:gridSpan w:val="3"/>
            <w:shd w:val="clear" w:color="auto" w:fill="auto"/>
            <w:vAlign w:val="center"/>
          </w:tcPr>
          <w:p w14:paraId="1C7DC2E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F1 □</w:t>
            </w:r>
          </w:p>
        </w:tc>
        <w:tc>
          <w:tcPr>
            <w:tcW w:w="1203" w:type="dxa"/>
            <w:gridSpan w:val="4"/>
            <w:shd w:val="clear" w:color="auto" w:fill="auto"/>
            <w:vAlign w:val="center"/>
          </w:tcPr>
          <w:p w14:paraId="0F7B555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F2 □</w:t>
            </w:r>
          </w:p>
        </w:tc>
        <w:tc>
          <w:tcPr>
            <w:tcW w:w="1224" w:type="dxa"/>
            <w:shd w:val="clear" w:color="auto" w:fill="auto"/>
            <w:vAlign w:val="center"/>
          </w:tcPr>
          <w:p w14:paraId="5ADB529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F3 □</w:t>
            </w:r>
          </w:p>
        </w:tc>
      </w:tr>
      <w:tr w14:paraId="7D4BD330">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1D69249A">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420CEF5C">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vMerge w:val="continue"/>
            <w:shd w:val="clear" w:color="auto" w:fill="auto"/>
            <w:vAlign w:val="center"/>
          </w:tcPr>
          <w:p w14:paraId="7950CC87">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668" w:type="dxa"/>
            <w:gridSpan w:val="4"/>
            <w:shd w:val="clear" w:color="auto" w:fill="auto"/>
            <w:vAlign w:val="center"/>
          </w:tcPr>
          <w:p w14:paraId="2CBC909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环境敏感目标分级</w:t>
            </w:r>
          </w:p>
        </w:tc>
        <w:tc>
          <w:tcPr>
            <w:tcW w:w="1349" w:type="dxa"/>
            <w:gridSpan w:val="3"/>
            <w:shd w:val="clear" w:color="auto" w:fill="auto"/>
            <w:vAlign w:val="center"/>
          </w:tcPr>
          <w:p w14:paraId="1B88214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S1 □</w:t>
            </w:r>
          </w:p>
        </w:tc>
        <w:tc>
          <w:tcPr>
            <w:tcW w:w="1203" w:type="dxa"/>
            <w:gridSpan w:val="4"/>
            <w:shd w:val="clear" w:color="auto" w:fill="auto"/>
            <w:vAlign w:val="center"/>
          </w:tcPr>
          <w:p w14:paraId="6DBC0D8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S2 □</w:t>
            </w:r>
          </w:p>
        </w:tc>
        <w:tc>
          <w:tcPr>
            <w:tcW w:w="1224" w:type="dxa"/>
            <w:shd w:val="clear" w:color="auto" w:fill="auto"/>
            <w:vAlign w:val="center"/>
          </w:tcPr>
          <w:p w14:paraId="4762F18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S3 □</w:t>
            </w:r>
          </w:p>
        </w:tc>
      </w:tr>
      <w:tr w14:paraId="6AFDE60A">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2DEEE60B">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5FA8AF0A">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vMerge w:val="restart"/>
            <w:shd w:val="clear" w:color="auto" w:fill="auto"/>
            <w:vAlign w:val="center"/>
          </w:tcPr>
          <w:p w14:paraId="7C0F790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地下水</w:t>
            </w:r>
          </w:p>
        </w:tc>
        <w:tc>
          <w:tcPr>
            <w:tcW w:w="1668" w:type="dxa"/>
            <w:gridSpan w:val="4"/>
            <w:shd w:val="clear" w:color="auto" w:fill="auto"/>
            <w:vAlign w:val="center"/>
          </w:tcPr>
          <w:p w14:paraId="36CBD6D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地下水功能敏感性</w:t>
            </w:r>
          </w:p>
        </w:tc>
        <w:tc>
          <w:tcPr>
            <w:tcW w:w="1349" w:type="dxa"/>
            <w:gridSpan w:val="3"/>
            <w:shd w:val="clear" w:color="auto" w:fill="auto"/>
            <w:vAlign w:val="center"/>
          </w:tcPr>
          <w:p w14:paraId="42B7804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G1 □</w:t>
            </w:r>
          </w:p>
        </w:tc>
        <w:tc>
          <w:tcPr>
            <w:tcW w:w="1203" w:type="dxa"/>
            <w:gridSpan w:val="4"/>
            <w:shd w:val="clear" w:color="auto" w:fill="auto"/>
            <w:vAlign w:val="center"/>
          </w:tcPr>
          <w:p w14:paraId="2A29BB3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G2 □</w:t>
            </w:r>
          </w:p>
        </w:tc>
        <w:tc>
          <w:tcPr>
            <w:tcW w:w="1224" w:type="dxa"/>
            <w:shd w:val="clear" w:color="auto" w:fill="auto"/>
            <w:vAlign w:val="center"/>
          </w:tcPr>
          <w:p w14:paraId="5C41451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G3 □</w:t>
            </w:r>
          </w:p>
        </w:tc>
      </w:tr>
      <w:tr w14:paraId="548F6895">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PrEx>
        <w:trPr>
          <w:jc w:val="center"/>
        </w:trPr>
        <w:tc>
          <w:tcPr>
            <w:tcW w:w="828" w:type="dxa"/>
            <w:vMerge w:val="continue"/>
            <w:shd w:val="clear" w:color="auto" w:fill="auto"/>
            <w:vAlign w:val="center"/>
          </w:tcPr>
          <w:p w14:paraId="32887F60">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6DE6B5F8">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vMerge w:val="continue"/>
            <w:shd w:val="clear" w:color="auto" w:fill="auto"/>
            <w:vAlign w:val="center"/>
          </w:tcPr>
          <w:p w14:paraId="108AA4E0">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668" w:type="dxa"/>
            <w:gridSpan w:val="4"/>
            <w:shd w:val="clear" w:color="auto" w:fill="auto"/>
            <w:vAlign w:val="center"/>
          </w:tcPr>
          <w:p w14:paraId="4EA1298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包气带防污性能</w:t>
            </w:r>
          </w:p>
        </w:tc>
        <w:tc>
          <w:tcPr>
            <w:tcW w:w="1349" w:type="dxa"/>
            <w:gridSpan w:val="3"/>
            <w:shd w:val="clear" w:color="auto" w:fill="auto"/>
            <w:vAlign w:val="center"/>
          </w:tcPr>
          <w:p w14:paraId="0C9FE70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D1 □</w:t>
            </w:r>
          </w:p>
        </w:tc>
        <w:tc>
          <w:tcPr>
            <w:tcW w:w="1203" w:type="dxa"/>
            <w:gridSpan w:val="4"/>
            <w:shd w:val="clear" w:color="auto" w:fill="auto"/>
            <w:vAlign w:val="center"/>
          </w:tcPr>
          <w:p w14:paraId="13F5636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D2 □</w:t>
            </w:r>
          </w:p>
        </w:tc>
        <w:tc>
          <w:tcPr>
            <w:tcW w:w="1224" w:type="dxa"/>
            <w:shd w:val="clear" w:color="auto" w:fill="auto"/>
            <w:vAlign w:val="center"/>
          </w:tcPr>
          <w:p w14:paraId="55E428C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D3 □</w:t>
            </w:r>
          </w:p>
        </w:tc>
      </w:tr>
      <w:tr w14:paraId="71097AB4">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restart"/>
            <w:shd w:val="clear" w:color="auto" w:fill="auto"/>
            <w:vAlign w:val="center"/>
          </w:tcPr>
          <w:p w14:paraId="2097925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物质及工艺系统</w:t>
            </w:r>
          </w:p>
          <w:p w14:paraId="44F583E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危险性</w:t>
            </w:r>
          </w:p>
        </w:tc>
        <w:tc>
          <w:tcPr>
            <w:tcW w:w="1075" w:type="dxa"/>
            <w:shd w:val="clear" w:color="auto" w:fill="auto"/>
            <w:vAlign w:val="center"/>
          </w:tcPr>
          <w:p w14:paraId="07C9175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Q值</w:t>
            </w:r>
          </w:p>
        </w:tc>
        <w:tc>
          <w:tcPr>
            <w:tcW w:w="1668" w:type="dxa"/>
            <w:gridSpan w:val="4"/>
            <w:shd w:val="clear" w:color="auto" w:fill="auto"/>
            <w:vAlign w:val="center"/>
          </w:tcPr>
          <w:p w14:paraId="5B3940E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Q＜1 □</w:t>
            </w:r>
          </w:p>
        </w:tc>
        <w:tc>
          <w:tcPr>
            <w:tcW w:w="1349" w:type="dxa"/>
            <w:gridSpan w:val="3"/>
            <w:shd w:val="clear" w:color="auto" w:fill="auto"/>
            <w:vAlign w:val="center"/>
          </w:tcPr>
          <w:p w14:paraId="7A9AE9B4">
            <w:pPr>
              <w:spacing w:line="240" w:lineRule="auto"/>
              <w:ind w:firstLine="0" w:firstLineChars="0"/>
              <w:jc w:val="center"/>
              <w:rPr>
                <w:rFonts w:hint="eastAsia" w:ascii="Times New Roman" w:hAnsi="Times New Roman" w:eastAsia="仿宋" w:cs="Times New Roman"/>
                <w:color w:val="auto"/>
                <w:sz w:val="18"/>
                <w:szCs w:val="18"/>
                <w:highlight w:val="none"/>
                <w:lang w:eastAsia="zh-CN"/>
              </w:rPr>
            </w:pPr>
            <w:r>
              <w:rPr>
                <w:rFonts w:hint="default" w:ascii="Times New Roman" w:hAnsi="Times New Roman" w:eastAsia="仿宋" w:cs="Times New Roman"/>
                <w:color w:val="auto"/>
                <w:sz w:val="18"/>
                <w:szCs w:val="18"/>
                <w:highlight w:val="none"/>
              </w:rPr>
              <w:t xml:space="preserve">1≤Q＜10 </w:t>
            </w:r>
            <w:r>
              <w:rPr>
                <w:rFonts w:hint="eastAsia" w:eastAsia="仿宋" w:cs="Times New Roman"/>
                <w:color w:val="auto"/>
                <w:sz w:val="18"/>
                <w:szCs w:val="18"/>
                <w:highlight w:val="none"/>
                <w:lang w:eastAsia="zh-CN"/>
              </w:rPr>
              <w:t>☑</w:t>
            </w:r>
          </w:p>
        </w:tc>
        <w:tc>
          <w:tcPr>
            <w:tcW w:w="1203" w:type="dxa"/>
            <w:gridSpan w:val="4"/>
            <w:shd w:val="clear" w:color="auto" w:fill="auto"/>
            <w:vAlign w:val="center"/>
          </w:tcPr>
          <w:p w14:paraId="40FA8A2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10≤Q＜100□</w:t>
            </w:r>
          </w:p>
        </w:tc>
        <w:tc>
          <w:tcPr>
            <w:tcW w:w="1224" w:type="dxa"/>
            <w:shd w:val="clear" w:color="auto" w:fill="auto"/>
            <w:vAlign w:val="center"/>
          </w:tcPr>
          <w:p w14:paraId="58AB3F6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Q＞100 □</w:t>
            </w:r>
          </w:p>
        </w:tc>
      </w:tr>
      <w:tr w14:paraId="60005FBA">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continue"/>
            <w:shd w:val="clear" w:color="auto" w:fill="auto"/>
            <w:vAlign w:val="center"/>
          </w:tcPr>
          <w:p w14:paraId="5B049DA7">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shd w:val="clear" w:color="auto" w:fill="auto"/>
            <w:vAlign w:val="center"/>
          </w:tcPr>
          <w:p w14:paraId="555838E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M值</w:t>
            </w:r>
          </w:p>
        </w:tc>
        <w:tc>
          <w:tcPr>
            <w:tcW w:w="1668" w:type="dxa"/>
            <w:gridSpan w:val="4"/>
            <w:shd w:val="clear" w:color="auto" w:fill="auto"/>
            <w:vAlign w:val="center"/>
          </w:tcPr>
          <w:p w14:paraId="7FE8B80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M1 □</w:t>
            </w:r>
          </w:p>
        </w:tc>
        <w:tc>
          <w:tcPr>
            <w:tcW w:w="1349" w:type="dxa"/>
            <w:gridSpan w:val="3"/>
            <w:shd w:val="clear" w:color="auto" w:fill="auto"/>
            <w:vAlign w:val="center"/>
          </w:tcPr>
          <w:p w14:paraId="7266DF1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M2 □</w:t>
            </w:r>
          </w:p>
        </w:tc>
        <w:tc>
          <w:tcPr>
            <w:tcW w:w="1203" w:type="dxa"/>
            <w:gridSpan w:val="4"/>
            <w:shd w:val="clear" w:color="auto" w:fill="auto"/>
            <w:vAlign w:val="center"/>
          </w:tcPr>
          <w:p w14:paraId="5FD18A6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M3 □</w:t>
            </w:r>
          </w:p>
        </w:tc>
        <w:tc>
          <w:tcPr>
            <w:tcW w:w="1224" w:type="dxa"/>
            <w:shd w:val="clear" w:color="auto" w:fill="auto"/>
            <w:vAlign w:val="center"/>
          </w:tcPr>
          <w:p w14:paraId="01B978F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M4 □</w:t>
            </w:r>
          </w:p>
        </w:tc>
      </w:tr>
      <w:tr w14:paraId="590F2D76">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continue"/>
            <w:shd w:val="clear" w:color="auto" w:fill="auto"/>
            <w:vAlign w:val="center"/>
          </w:tcPr>
          <w:p w14:paraId="1F8C300D">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shd w:val="clear" w:color="auto" w:fill="auto"/>
            <w:vAlign w:val="center"/>
          </w:tcPr>
          <w:p w14:paraId="5F65B0B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P值</w:t>
            </w:r>
          </w:p>
        </w:tc>
        <w:tc>
          <w:tcPr>
            <w:tcW w:w="1668" w:type="dxa"/>
            <w:gridSpan w:val="4"/>
            <w:shd w:val="clear" w:color="auto" w:fill="auto"/>
            <w:vAlign w:val="center"/>
          </w:tcPr>
          <w:p w14:paraId="3103C51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P1 □</w:t>
            </w:r>
          </w:p>
        </w:tc>
        <w:tc>
          <w:tcPr>
            <w:tcW w:w="1349" w:type="dxa"/>
            <w:gridSpan w:val="3"/>
            <w:shd w:val="clear" w:color="auto" w:fill="auto"/>
            <w:vAlign w:val="center"/>
          </w:tcPr>
          <w:p w14:paraId="59F50FE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P2 □</w:t>
            </w:r>
          </w:p>
        </w:tc>
        <w:tc>
          <w:tcPr>
            <w:tcW w:w="1203" w:type="dxa"/>
            <w:gridSpan w:val="4"/>
            <w:shd w:val="clear" w:color="auto" w:fill="auto"/>
            <w:vAlign w:val="center"/>
          </w:tcPr>
          <w:p w14:paraId="495A55A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P3 □</w:t>
            </w:r>
          </w:p>
        </w:tc>
        <w:tc>
          <w:tcPr>
            <w:tcW w:w="1224" w:type="dxa"/>
            <w:shd w:val="clear" w:color="auto" w:fill="auto"/>
            <w:vAlign w:val="center"/>
          </w:tcPr>
          <w:p w14:paraId="423F649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P4 □</w:t>
            </w:r>
          </w:p>
        </w:tc>
      </w:tr>
      <w:tr w14:paraId="0FF33123">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restart"/>
            <w:shd w:val="clear" w:color="auto" w:fill="auto"/>
            <w:vAlign w:val="center"/>
          </w:tcPr>
          <w:p w14:paraId="0598C7A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环境敏感</w:t>
            </w:r>
          </w:p>
          <w:p w14:paraId="693FA86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程度</w:t>
            </w:r>
          </w:p>
        </w:tc>
        <w:tc>
          <w:tcPr>
            <w:tcW w:w="1075" w:type="dxa"/>
            <w:shd w:val="clear" w:color="auto" w:fill="auto"/>
            <w:vAlign w:val="center"/>
          </w:tcPr>
          <w:p w14:paraId="5D0A5E6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大气</w:t>
            </w:r>
          </w:p>
        </w:tc>
        <w:tc>
          <w:tcPr>
            <w:tcW w:w="1668" w:type="dxa"/>
            <w:gridSpan w:val="4"/>
            <w:shd w:val="clear" w:color="auto" w:fill="auto"/>
            <w:vAlign w:val="center"/>
          </w:tcPr>
          <w:p w14:paraId="25A9C85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E1 □</w:t>
            </w:r>
          </w:p>
        </w:tc>
        <w:tc>
          <w:tcPr>
            <w:tcW w:w="2006" w:type="dxa"/>
            <w:gridSpan w:val="5"/>
            <w:shd w:val="clear" w:color="auto" w:fill="auto"/>
            <w:vAlign w:val="center"/>
          </w:tcPr>
          <w:p w14:paraId="2E5D30E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E2 □</w:t>
            </w:r>
          </w:p>
        </w:tc>
        <w:tc>
          <w:tcPr>
            <w:tcW w:w="1770" w:type="dxa"/>
            <w:gridSpan w:val="3"/>
            <w:shd w:val="clear" w:color="auto" w:fill="auto"/>
            <w:vAlign w:val="center"/>
          </w:tcPr>
          <w:p w14:paraId="6F82057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E3 □</w:t>
            </w:r>
          </w:p>
        </w:tc>
      </w:tr>
      <w:tr w14:paraId="2FCF260E">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continue"/>
            <w:shd w:val="clear" w:color="auto" w:fill="auto"/>
            <w:vAlign w:val="center"/>
          </w:tcPr>
          <w:p w14:paraId="52DAB8D4">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shd w:val="clear" w:color="auto" w:fill="auto"/>
            <w:vAlign w:val="center"/>
          </w:tcPr>
          <w:p w14:paraId="0A66151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地表水</w:t>
            </w:r>
          </w:p>
        </w:tc>
        <w:tc>
          <w:tcPr>
            <w:tcW w:w="1668" w:type="dxa"/>
            <w:gridSpan w:val="4"/>
            <w:shd w:val="clear" w:color="auto" w:fill="auto"/>
            <w:vAlign w:val="center"/>
          </w:tcPr>
          <w:p w14:paraId="4F2B796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E1 □</w:t>
            </w:r>
          </w:p>
        </w:tc>
        <w:tc>
          <w:tcPr>
            <w:tcW w:w="2006" w:type="dxa"/>
            <w:gridSpan w:val="5"/>
            <w:shd w:val="clear" w:color="auto" w:fill="auto"/>
            <w:vAlign w:val="center"/>
          </w:tcPr>
          <w:p w14:paraId="67114B4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E2 □</w:t>
            </w:r>
          </w:p>
        </w:tc>
        <w:tc>
          <w:tcPr>
            <w:tcW w:w="1770" w:type="dxa"/>
            <w:gridSpan w:val="3"/>
            <w:shd w:val="clear" w:color="auto" w:fill="auto"/>
            <w:vAlign w:val="center"/>
          </w:tcPr>
          <w:p w14:paraId="4C59716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E3 □</w:t>
            </w:r>
          </w:p>
        </w:tc>
      </w:tr>
      <w:tr w14:paraId="6EF67013">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vMerge w:val="continue"/>
            <w:shd w:val="clear" w:color="auto" w:fill="auto"/>
            <w:vAlign w:val="center"/>
          </w:tcPr>
          <w:p w14:paraId="119C140B">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075" w:type="dxa"/>
            <w:shd w:val="clear" w:color="auto" w:fill="auto"/>
            <w:vAlign w:val="center"/>
          </w:tcPr>
          <w:p w14:paraId="53562C2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地下水</w:t>
            </w:r>
          </w:p>
        </w:tc>
        <w:tc>
          <w:tcPr>
            <w:tcW w:w="1668" w:type="dxa"/>
            <w:gridSpan w:val="4"/>
            <w:shd w:val="clear" w:color="auto" w:fill="auto"/>
            <w:vAlign w:val="center"/>
          </w:tcPr>
          <w:p w14:paraId="46F3867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E1 □</w:t>
            </w:r>
          </w:p>
        </w:tc>
        <w:tc>
          <w:tcPr>
            <w:tcW w:w="2006" w:type="dxa"/>
            <w:gridSpan w:val="5"/>
            <w:shd w:val="clear" w:color="auto" w:fill="auto"/>
            <w:vAlign w:val="center"/>
          </w:tcPr>
          <w:p w14:paraId="18C50B3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E2 □</w:t>
            </w:r>
          </w:p>
        </w:tc>
        <w:tc>
          <w:tcPr>
            <w:tcW w:w="1770" w:type="dxa"/>
            <w:gridSpan w:val="3"/>
            <w:shd w:val="clear" w:color="auto" w:fill="auto"/>
            <w:vAlign w:val="center"/>
          </w:tcPr>
          <w:p w14:paraId="4670B8B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E3 □</w:t>
            </w:r>
          </w:p>
        </w:tc>
      </w:tr>
      <w:tr w14:paraId="4805C860">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shd w:val="clear" w:color="auto" w:fill="auto"/>
            <w:vAlign w:val="center"/>
          </w:tcPr>
          <w:p w14:paraId="462020D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环境风险</w:t>
            </w:r>
          </w:p>
          <w:p w14:paraId="741F3E9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潜势</w:t>
            </w:r>
          </w:p>
        </w:tc>
        <w:tc>
          <w:tcPr>
            <w:tcW w:w="1510" w:type="dxa"/>
            <w:gridSpan w:val="2"/>
            <w:shd w:val="clear" w:color="auto" w:fill="auto"/>
            <w:vAlign w:val="center"/>
          </w:tcPr>
          <w:p w14:paraId="5AC6EDA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Ⅳ</w:t>
            </w:r>
            <w:r>
              <w:rPr>
                <w:rFonts w:hint="default" w:ascii="Times New Roman" w:hAnsi="Times New Roman" w:eastAsia="仿宋" w:cs="Times New Roman"/>
                <w:color w:val="auto"/>
                <w:sz w:val="18"/>
                <w:szCs w:val="18"/>
                <w:highlight w:val="none"/>
                <w:vertAlign w:val="superscript"/>
              </w:rPr>
              <w:t>+</w:t>
            </w:r>
            <w:r>
              <w:rPr>
                <w:rFonts w:hint="default" w:ascii="Times New Roman" w:hAnsi="Times New Roman" w:eastAsia="仿宋" w:cs="Times New Roman"/>
                <w:color w:val="auto"/>
                <w:sz w:val="18"/>
                <w:szCs w:val="18"/>
                <w:highlight w:val="none"/>
              </w:rPr>
              <w:t xml:space="preserve"> □</w:t>
            </w:r>
          </w:p>
        </w:tc>
        <w:tc>
          <w:tcPr>
            <w:tcW w:w="1233" w:type="dxa"/>
            <w:gridSpan w:val="3"/>
            <w:shd w:val="clear" w:color="auto" w:fill="auto"/>
            <w:vAlign w:val="center"/>
          </w:tcPr>
          <w:p w14:paraId="1F2406B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Ⅳ □</w:t>
            </w:r>
          </w:p>
        </w:tc>
        <w:tc>
          <w:tcPr>
            <w:tcW w:w="1212" w:type="dxa"/>
            <w:gridSpan w:val="2"/>
            <w:shd w:val="clear" w:color="auto" w:fill="auto"/>
            <w:vAlign w:val="center"/>
          </w:tcPr>
          <w:p w14:paraId="424595F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Ⅲ □</w:t>
            </w:r>
          </w:p>
        </w:tc>
        <w:tc>
          <w:tcPr>
            <w:tcW w:w="1312" w:type="dxa"/>
            <w:gridSpan w:val="5"/>
            <w:shd w:val="clear" w:color="auto" w:fill="auto"/>
            <w:vAlign w:val="center"/>
          </w:tcPr>
          <w:p w14:paraId="78696E5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Ⅱ □</w:t>
            </w:r>
          </w:p>
        </w:tc>
        <w:tc>
          <w:tcPr>
            <w:tcW w:w="1252" w:type="dxa"/>
            <w:shd w:val="clear" w:color="auto" w:fill="auto"/>
            <w:vAlign w:val="center"/>
          </w:tcPr>
          <w:p w14:paraId="490A19E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 xml:space="preserve">I </w:t>
            </w:r>
            <w:r>
              <w:rPr>
                <w:rFonts w:hint="default" w:ascii="Times New Roman" w:hAnsi="Times New Roman" w:eastAsia="仿宋" w:cs="Times New Roman"/>
                <w:color w:val="auto"/>
                <w:sz w:val="18"/>
                <w:szCs w:val="18"/>
                <w:highlight w:val="none"/>
              </w:rPr>
              <w:sym w:font="Wingdings 2" w:char="0052"/>
            </w:r>
          </w:p>
        </w:tc>
      </w:tr>
      <w:tr w14:paraId="7EE2E56F">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shd w:val="clear" w:color="auto" w:fill="auto"/>
            <w:vAlign w:val="center"/>
          </w:tcPr>
          <w:p w14:paraId="6040126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评价等级</w:t>
            </w:r>
          </w:p>
        </w:tc>
        <w:tc>
          <w:tcPr>
            <w:tcW w:w="1820" w:type="dxa"/>
            <w:gridSpan w:val="3"/>
            <w:shd w:val="clear" w:color="auto" w:fill="auto"/>
            <w:vAlign w:val="center"/>
          </w:tcPr>
          <w:p w14:paraId="5C721D6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一级 □</w:t>
            </w:r>
          </w:p>
        </w:tc>
        <w:tc>
          <w:tcPr>
            <w:tcW w:w="1524" w:type="dxa"/>
            <w:gridSpan w:val="3"/>
            <w:shd w:val="clear" w:color="auto" w:fill="auto"/>
            <w:vAlign w:val="center"/>
          </w:tcPr>
          <w:p w14:paraId="2D47248A">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二级 □</w:t>
            </w:r>
          </w:p>
        </w:tc>
        <w:tc>
          <w:tcPr>
            <w:tcW w:w="1612" w:type="dxa"/>
            <w:gridSpan w:val="5"/>
            <w:shd w:val="clear" w:color="auto" w:fill="auto"/>
            <w:vAlign w:val="center"/>
          </w:tcPr>
          <w:p w14:paraId="471902A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三级 □</w:t>
            </w:r>
          </w:p>
        </w:tc>
        <w:tc>
          <w:tcPr>
            <w:tcW w:w="1563" w:type="dxa"/>
            <w:gridSpan w:val="2"/>
            <w:shd w:val="clear" w:color="auto" w:fill="auto"/>
            <w:vAlign w:val="center"/>
          </w:tcPr>
          <w:p w14:paraId="0C5F105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简单分析</w:t>
            </w:r>
            <w:r>
              <w:rPr>
                <w:rFonts w:hint="default" w:ascii="Times New Roman" w:hAnsi="Times New Roman" w:eastAsia="仿宋" w:cs="Times New Roman"/>
                <w:color w:val="auto"/>
                <w:sz w:val="18"/>
                <w:szCs w:val="18"/>
                <w:highlight w:val="none"/>
              </w:rPr>
              <w:sym w:font="Wingdings 2" w:char="0052"/>
            </w:r>
          </w:p>
        </w:tc>
      </w:tr>
      <w:tr w14:paraId="6E9B4E27">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shd w:val="clear" w:color="auto" w:fill="auto"/>
            <w:vAlign w:val="center"/>
          </w:tcPr>
          <w:p w14:paraId="258E622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风</w:t>
            </w:r>
          </w:p>
          <w:p w14:paraId="38EAE13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险</w:t>
            </w:r>
          </w:p>
          <w:p w14:paraId="7E619F4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识</w:t>
            </w:r>
          </w:p>
          <w:p w14:paraId="323BB99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别</w:t>
            </w:r>
          </w:p>
        </w:tc>
        <w:tc>
          <w:tcPr>
            <w:tcW w:w="965" w:type="dxa"/>
            <w:shd w:val="clear" w:color="auto" w:fill="auto"/>
            <w:vAlign w:val="center"/>
          </w:tcPr>
          <w:p w14:paraId="3CA00E8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物质危险性</w:t>
            </w:r>
          </w:p>
        </w:tc>
        <w:tc>
          <w:tcPr>
            <w:tcW w:w="3344" w:type="dxa"/>
            <w:gridSpan w:val="6"/>
            <w:shd w:val="clear" w:color="auto" w:fill="auto"/>
            <w:vAlign w:val="center"/>
          </w:tcPr>
          <w:p w14:paraId="16F41759">
            <w:pPr>
              <w:spacing w:line="240" w:lineRule="auto"/>
              <w:ind w:firstLine="0" w:firstLineChars="0"/>
              <w:jc w:val="center"/>
              <w:rPr>
                <w:rFonts w:hint="eastAsia" w:ascii="Times New Roman" w:hAnsi="Times New Roman" w:eastAsia="仿宋" w:cs="Times New Roman"/>
                <w:color w:val="auto"/>
                <w:sz w:val="18"/>
                <w:szCs w:val="18"/>
                <w:highlight w:val="none"/>
                <w:lang w:eastAsia="zh-CN"/>
              </w:rPr>
            </w:pPr>
            <w:r>
              <w:rPr>
                <w:rFonts w:hint="default" w:ascii="Times New Roman" w:hAnsi="Times New Roman" w:eastAsia="仿宋" w:cs="Times New Roman"/>
                <w:color w:val="auto"/>
                <w:sz w:val="18"/>
                <w:szCs w:val="18"/>
                <w:highlight w:val="none"/>
              </w:rPr>
              <w:t xml:space="preserve">有毒有害 </w:t>
            </w:r>
            <w:r>
              <w:rPr>
                <w:rFonts w:hint="eastAsia" w:eastAsia="仿宋" w:cs="Times New Roman"/>
                <w:color w:val="auto"/>
                <w:sz w:val="18"/>
                <w:szCs w:val="18"/>
                <w:highlight w:val="none"/>
                <w:lang w:eastAsia="zh-CN"/>
              </w:rPr>
              <w:t>☑</w:t>
            </w:r>
          </w:p>
        </w:tc>
        <w:tc>
          <w:tcPr>
            <w:tcW w:w="3175" w:type="dxa"/>
            <w:gridSpan w:val="7"/>
            <w:shd w:val="clear" w:color="auto" w:fill="auto"/>
            <w:vAlign w:val="center"/>
          </w:tcPr>
          <w:p w14:paraId="03B9596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 xml:space="preserve">易燃易爆  </w:t>
            </w:r>
            <w:r>
              <w:rPr>
                <w:rFonts w:hint="default" w:ascii="Times New Roman" w:hAnsi="Times New Roman" w:eastAsia="仿宋" w:cs="Times New Roman"/>
                <w:color w:val="auto"/>
                <w:sz w:val="18"/>
                <w:szCs w:val="18"/>
                <w:highlight w:val="none"/>
              </w:rPr>
              <w:sym w:font="Wingdings 2" w:char="00A3"/>
            </w:r>
          </w:p>
        </w:tc>
      </w:tr>
      <w:tr w14:paraId="04F226B9">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3A879451">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shd w:val="clear" w:color="auto" w:fill="auto"/>
            <w:vAlign w:val="center"/>
          </w:tcPr>
          <w:p w14:paraId="5132749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环境风险类型</w:t>
            </w:r>
          </w:p>
        </w:tc>
        <w:tc>
          <w:tcPr>
            <w:tcW w:w="3344" w:type="dxa"/>
            <w:gridSpan w:val="6"/>
            <w:shd w:val="clear" w:color="auto" w:fill="auto"/>
            <w:vAlign w:val="center"/>
          </w:tcPr>
          <w:p w14:paraId="5AE394C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泄漏 √</w:t>
            </w:r>
          </w:p>
        </w:tc>
        <w:tc>
          <w:tcPr>
            <w:tcW w:w="3175" w:type="dxa"/>
            <w:gridSpan w:val="7"/>
            <w:shd w:val="clear" w:color="auto" w:fill="auto"/>
            <w:vAlign w:val="center"/>
          </w:tcPr>
          <w:p w14:paraId="2B33DC8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 xml:space="preserve">火灾、爆炸引发伴生/次生污染物排放  </w:t>
            </w:r>
            <w:r>
              <w:rPr>
                <w:rFonts w:hint="default" w:ascii="Times New Roman" w:hAnsi="Times New Roman" w:eastAsia="仿宋" w:cs="Times New Roman"/>
                <w:color w:val="auto"/>
                <w:sz w:val="18"/>
                <w:szCs w:val="18"/>
                <w:highlight w:val="none"/>
              </w:rPr>
              <w:sym w:font="Wingdings 2" w:char="0052"/>
            </w:r>
          </w:p>
        </w:tc>
      </w:tr>
      <w:tr w14:paraId="753FB577">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22D38E70">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shd w:val="clear" w:color="auto" w:fill="auto"/>
            <w:vAlign w:val="center"/>
          </w:tcPr>
          <w:p w14:paraId="70B258C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影响途径</w:t>
            </w:r>
          </w:p>
        </w:tc>
        <w:tc>
          <w:tcPr>
            <w:tcW w:w="2326" w:type="dxa"/>
            <w:gridSpan w:val="4"/>
            <w:shd w:val="clear" w:color="auto" w:fill="auto"/>
            <w:vAlign w:val="center"/>
          </w:tcPr>
          <w:p w14:paraId="633A1DFA">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 xml:space="preserve">大气 </w:t>
            </w:r>
            <w:r>
              <w:rPr>
                <w:rFonts w:hint="default" w:ascii="Times New Roman" w:hAnsi="Times New Roman" w:eastAsia="仿宋" w:cs="Times New Roman"/>
                <w:color w:val="auto"/>
                <w:sz w:val="18"/>
                <w:szCs w:val="18"/>
                <w:highlight w:val="none"/>
              </w:rPr>
              <w:sym w:font="Wingdings 2" w:char="0052"/>
            </w:r>
          </w:p>
        </w:tc>
        <w:tc>
          <w:tcPr>
            <w:tcW w:w="2083" w:type="dxa"/>
            <w:gridSpan w:val="5"/>
            <w:shd w:val="clear" w:color="auto" w:fill="auto"/>
            <w:vAlign w:val="center"/>
          </w:tcPr>
          <w:p w14:paraId="22BC24D9">
            <w:pPr>
              <w:spacing w:line="240" w:lineRule="auto"/>
              <w:ind w:firstLine="0" w:firstLineChars="0"/>
              <w:jc w:val="center"/>
              <w:rPr>
                <w:rFonts w:hint="eastAsia" w:ascii="Times New Roman" w:hAnsi="Times New Roman" w:eastAsia="仿宋" w:cs="Times New Roman"/>
                <w:color w:val="auto"/>
                <w:sz w:val="18"/>
                <w:szCs w:val="18"/>
                <w:highlight w:val="none"/>
                <w:lang w:eastAsia="zh-CN"/>
              </w:rPr>
            </w:pPr>
            <w:r>
              <w:rPr>
                <w:rFonts w:hint="default" w:ascii="Times New Roman" w:hAnsi="Times New Roman" w:eastAsia="仿宋" w:cs="Times New Roman"/>
                <w:color w:val="auto"/>
                <w:sz w:val="18"/>
                <w:szCs w:val="18"/>
                <w:highlight w:val="none"/>
              </w:rPr>
              <w:t xml:space="preserve">地表水 </w:t>
            </w:r>
            <w:r>
              <w:rPr>
                <w:rFonts w:hint="eastAsia" w:eastAsia="仿宋" w:cs="Times New Roman"/>
                <w:color w:val="auto"/>
                <w:sz w:val="18"/>
                <w:szCs w:val="18"/>
                <w:highlight w:val="none"/>
                <w:lang w:eastAsia="zh-CN"/>
              </w:rPr>
              <w:t>□</w:t>
            </w:r>
          </w:p>
        </w:tc>
        <w:tc>
          <w:tcPr>
            <w:tcW w:w="2110" w:type="dxa"/>
            <w:gridSpan w:val="4"/>
            <w:shd w:val="clear" w:color="auto" w:fill="auto"/>
            <w:vAlign w:val="center"/>
          </w:tcPr>
          <w:p w14:paraId="7BE59D3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地下水 √</w:t>
            </w:r>
          </w:p>
        </w:tc>
      </w:tr>
      <w:tr w14:paraId="0C1C9BDA">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93" w:type="dxa"/>
            <w:gridSpan w:val="2"/>
            <w:shd w:val="clear" w:color="auto" w:fill="auto"/>
            <w:vAlign w:val="center"/>
          </w:tcPr>
          <w:p w14:paraId="44E0718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事故情形分析</w:t>
            </w:r>
          </w:p>
        </w:tc>
        <w:tc>
          <w:tcPr>
            <w:tcW w:w="1820" w:type="dxa"/>
            <w:gridSpan w:val="3"/>
            <w:shd w:val="clear" w:color="auto" w:fill="auto"/>
            <w:vAlign w:val="center"/>
          </w:tcPr>
          <w:p w14:paraId="0E298E1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源强设定方法</w:t>
            </w:r>
          </w:p>
        </w:tc>
        <w:tc>
          <w:tcPr>
            <w:tcW w:w="1524" w:type="dxa"/>
            <w:gridSpan w:val="3"/>
            <w:shd w:val="clear" w:color="auto" w:fill="auto"/>
            <w:vAlign w:val="center"/>
          </w:tcPr>
          <w:p w14:paraId="40D4C72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计算法 □</w:t>
            </w:r>
          </w:p>
        </w:tc>
        <w:tc>
          <w:tcPr>
            <w:tcW w:w="1612" w:type="dxa"/>
            <w:gridSpan w:val="5"/>
            <w:shd w:val="clear" w:color="auto" w:fill="auto"/>
            <w:vAlign w:val="center"/>
          </w:tcPr>
          <w:p w14:paraId="6A813DE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经验估算法 □</w:t>
            </w:r>
          </w:p>
        </w:tc>
        <w:tc>
          <w:tcPr>
            <w:tcW w:w="1563" w:type="dxa"/>
            <w:gridSpan w:val="2"/>
            <w:shd w:val="clear" w:color="auto" w:fill="auto"/>
            <w:vAlign w:val="center"/>
          </w:tcPr>
          <w:p w14:paraId="56C2313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其他估算法 □</w:t>
            </w:r>
          </w:p>
        </w:tc>
      </w:tr>
      <w:tr w14:paraId="731BC418">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shd w:val="clear" w:color="auto" w:fill="auto"/>
            <w:vAlign w:val="center"/>
          </w:tcPr>
          <w:p w14:paraId="31EC899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风险预测与评价</w:t>
            </w:r>
          </w:p>
        </w:tc>
        <w:tc>
          <w:tcPr>
            <w:tcW w:w="965" w:type="dxa"/>
            <w:vMerge w:val="restart"/>
            <w:shd w:val="clear" w:color="auto" w:fill="auto"/>
            <w:vAlign w:val="center"/>
          </w:tcPr>
          <w:p w14:paraId="71FA7F4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大气</w:t>
            </w:r>
          </w:p>
        </w:tc>
        <w:tc>
          <w:tcPr>
            <w:tcW w:w="1820" w:type="dxa"/>
            <w:gridSpan w:val="3"/>
            <w:shd w:val="clear" w:color="auto" w:fill="auto"/>
            <w:vAlign w:val="center"/>
          </w:tcPr>
          <w:p w14:paraId="56868E7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预测模型</w:t>
            </w:r>
          </w:p>
        </w:tc>
        <w:tc>
          <w:tcPr>
            <w:tcW w:w="1524" w:type="dxa"/>
            <w:gridSpan w:val="3"/>
            <w:shd w:val="clear" w:color="auto" w:fill="auto"/>
            <w:vAlign w:val="center"/>
          </w:tcPr>
          <w:p w14:paraId="0DC6F84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SLAB □</w:t>
            </w:r>
          </w:p>
        </w:tc>
        <w:tc>
          <w:tcPr>
            <w:tcW w:w="1612" w:type="dxa"/>
            <w:gridSpan w:val="5"/>
            <w:shd w:val="clear" w:color="auto" w:fill="auto"/>
            <w:vAlign w:val="center"/>
          </w:tcPr>
          <w:p w14:paraId="08907BD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AFTOX □</w:t>
            </w:r>
          </w:p>
        </w:tc>
        <w:tc>
          <w:tcPr>
            <w:tcW w:w="1563" w:type="dxa"/>
            <w:gridSpan w:val="2"/>
            <w:shd w:val="clear" w:color="auto" w:fill="auto"/>
            <w:vAlign w:val="center"/>
          </w:tcPr>
          <w:p w14:paraId="0920D66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其他 □</w:t>
            </w:r>
          </w:p>
        </w:tc>
      </w:tr>
      <w:tr w14:paraId="55794AAF">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57FBC291">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33A58CDF">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820" w:type="dxa"/>
            <w:gridSpan w:val="3"/>
            <w:vMerge w:val="restart"/>
            <w:shd w:val="clear" w:color="auto" w:fill="auto"/>
            <w:vAlign w:val="center"/>
          </w:tcPr>
          <w:p w14:paraId="4C87378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预测结果</w:t>
            </w:r>
          </w:p>
        </w:tc>
        <w:tc>
          <w:tcPr>
            <w:tcW w:w="4699" w:type="dxa"/>
            <w:gridSpan w:val="10"/>
            <w:shd w:val="clear" w:color="auto" w:fill="auto"/>
            <w:vAlign w:val="center"/>
          </w:tcPr>
          <w:p w14:paraId="0FE0238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大气毒性终点浓度-1 最大影响范围</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m</w:t>
            </w:r>
          </w:p>
        </w:tc>
      </w:tr>
      <w:tr w14:paraId="47B8E0FC">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4D49665D">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486B410D">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1820" w:type="dxa"/>
            <w:gridSpan w:val="3"/>
            <w:vMerge w:val="continue"/>
            <w:shd w:val="clear" w:color="auto" w:fill="auto"/>
            <w:vAlign w:val="center"/>
          </w:tcPr>
          <w:p w14:paraId="5C803429">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4699" w:type="dxa"/>
            <w:gridSpan w:val="10"/>
            <w:shd w:val="clear" w:color="auto" w:fill="auto"/>
            <w:vAlign w:val="center"/>
          </w:tcPr>
          <w:p w14:paraId="4E77952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大气毒性终点浓度-2 最大影响范围</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m</w:t>
            </w:r>
          </w:p>
        </w:tc>
      </w:tr>
      <w:tr w14:paraId="6FAA0D8A">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3FFF7C43">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shd w:val="clear" w:color="auto" w:fill="auto"/>
            <w:vAlign w:val="center"/>
          </w:tcPr>
          <w:p w14:paraId="1952188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地表水</w:t>
            </w:r>
          </w:p>
        </w:tc>
        <w:tc>
          <w:tcPr>
            <w:tcW w:w="6519" w:type="dxa"/>
            <w:gridSpan w:val="13"/>
            <w:shd w:val="clear" w:color="auto" w:fill="auto"/>
            <w:vAlign w:val="center"/>
          </w:tcPr>
          <w:p w14:paraId="2ADE339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最近环境敏感目标</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，到达时间</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h</w:t>
            </w:r>
          </w:p>
        </w:tc>
      </w:tr>
      <w:tr w14:paraId="655C921F">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38E381EB">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restart"/>
            <w:shd w:val="clear" w:color="auto" w:fill="auto"/>
            <w:vAlign w:val="center"/>
          </w:tcPr>
          <w:p w14:paraId="7F427D4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地下水</w:t>
            </w:r>
          </w:p>
        </w:tc>
        <w:tc>
          <w:tcPr>
            <w:tcW w:w="6519" w:type="dxa"/>
            <w:gridSpan w:val="13"/>
            <w:shd w:val="clear" w:color="auto" w:fill="auto"/>
            <w:vAlign w:val="center"/>
          </w:tcPr>
          <w:p w14:paraId="1600DEAA">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下游厂区边界到达时间</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d</w:t>
            </w:r>
          </w:p>
        </w:tc>
      </w:tr>
      <w:tr w14:paraId="41AA4F70">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shd w:val="clear" w:color="auto" w:fill="auto"/>
            <w:vAlign w:val="center"/>
          </w:tcPr>
          <w:p w14:paraId="7F47B3F4">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965" w:type="dxa"/>
            <w:vMerge w:val="continue"/>
            <w:shd w:val="clear" w:color="auto" w:fill="auto"/>
            <w:vAlign w:val="center"/>
          </w:tcPr>
          <w:p w14:paraId="0A25795C">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6519" w:type="dxa"/>
            <w:gridSpan w:val="13"/>
            <w:shd w:val="clear" w:color="auto" w:fill="auto"/>
            <w:vAlign w:val="center"/>
          </w:tcPr>
          <w:p w14:paraId="318151A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最近环境敏感目标</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，到达时间</w:t>
            </w:r>
            <w:r>
              <w:rPr>
                <w:rFonts w:hint="default" w:ascii="Times New Roman" w:hAnsi="Times New Roman" w:eastAsia="仿宋" w:cs="Times New Roman"/>
                <w:color w:val="auto"/>
                <w:sz w:val="18"/>
                <w:szCs w:val="18"/>
                <w:highlight w:val="none"/>
                <w:u w:val="single"/>
              </w:rPr>
              <w:t xml:space="preserve">      </w:t>
            </w:r>
            <w:r>
              <w:rPr>
                <w:rFonts w:hint="default" w:ascii="Times New Roman" w:hAnsi="Times New Roman" w:eastAsia="仿宋" w:cs="Times New Roman"/>
                <w:color w:val="auto"/>
                <w:sz w:val="18"/>
                <w:szCs w:val="18"/>
                <w:highlight w:val="none"/>
              </w:rPr>
              <w:t>d</w:t>
            </w:r>
          </w:p>
        </w:tc>
      </w:tr>
      <w:tr w14:paraId="74027A47">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793" w:type="dxa"/>
            <w:gridSpan w:val="2"/>
            <w:shd w:val="clear" w:color="auto" w:fill="auto"/>
            <w:vAlign w:val="center"/>
          </w:tcPr>
          <w:p w14:paraId="0FEB523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重点风险防范措施</w:t>
            </w:r>
          </w:p>
        </w:tc>
        <w:tc>
          <w:tcPr>
            <w:tcW w:w="6519" w:type="dxa"/>
            <w:gridSpan w:val="13"/>
            <w:shd w:val="clear" w:color="auto" w:fill="auto"/>
            <w:vAlign w:val="center"/>
          </w:tcPr>
          <w:p w14:paraId="1689469A">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（1）污水事故排放风险防范措施：</w:t>
            </w:r>
          </w:p>
          <w:p w14:paraId="7B8D5A56">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①加强施工期的管理，提高施工质量，确保管线等的工程质量，减少渗漏事故的发生；发生渗漏事故时应及时采取措施，将影响将至最低。</w:t>
            </w:r>
          </w:p>
          <w:p w14:paraId="12A30E2F">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②在全场范围内修建雨水收集系统，降低暴雨对其冲击的风险。</w:t>
            </w:r>
          </w:p>
          <w:p w14:paraId="7C46A384">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③</w:t>
            </w:r>
            <w:r>
              <w:rPr>
                <w:rFonts w:hint="eastAsia" w:eastAsia="仿宋" w:cs="Times New Roman"/>
                <w:color w:val="auto"/>
                <w:sz w:val="18"/>
                <w:szCs w:val="18"/>
                <w:highlight w:val="none"/>
                <w:lang w:val="en-US" w:eastAsia="zh-CN"/>
              </w:rPr>
              <w:t>渗滤液收集池、</w:t>
            </w:r>
            <w:r>
              <w:rPr>
                <w:rFonts w:hint="default" w:ascii="Times New Roman" w:hAnsi="Times New Roman" w:eastAsia="仿宋" w:cs="Times New Roman"/>
                <w:color w:val="auto"/>
                <w:sz w:val="18"/>
                <w:szCs w:val="18"/>
                <w:highlight w:val="none"/>
                <w:lang w:eastAsia="zh-CN"/>
              </w:rPr>
              <w:t>危险废物贮存点</w:t>
            </w:r>
            <w:r>
              <w:rPr>
                <w:rFonts w:hint="default" w:ascii="Times New Roman" w:hAnsi="Times New Roman" w:eastAsia="仿宋" w:cs="Times New Roman"/>
                <w:color w:val="auto"/>
                <w:sz w:val="18"/>
                <w:szCs w:val="18"/>
                <w:highlight w:val="none"/>
              </w:rPr>
              <w:t>按重点防渗区采取防渗措施。</w:t>
            </w:r>
          </w:p>
          <w:p w14:paraId="5C6E030F">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④要有专人管理污水处理设备，发现设备不能正常运转，立刻停止生产，组织人员抢修，待设备正常运转后，方可生产。</w:t>
            </w:r>
          </w:p>
          <w:p w14:paraId="6C9AE594">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（2）危险废物泄漏风险防范措施</w:t>
            </w:r>
          </w:p>
          <w:p w14:paraId="2037712E">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①危险废物要分类装入回收专用桶，放到指定地点存放；</w:t>
            </w:r>
          </w:p>
          <w:p w14:paraId="412B44E9">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②危险废物有专人负责清理、搬运、存放，负责危险废物管理处置的人员应经培训，考核合格才能上岗；</w:t>
            </w:r>
          </w:p>
          <w:p w14:paraId="7CB5D98B">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③危险废物运输过程中禁止野蛮装卸，防止洒落，以免造成不良影响。搬运危险废物时，必须使用防护用具。需要转移、运输危险废物时，应选择安全和不污染的材料和方式，采用有效措施防止泄漏、散逸和破损。</w:t>
            </w:r>
          </w:p>
        </w:tc>
      </w:tr>
      <w:tr w14:paraId="15788068">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1793" w:type="dxa"/>
            <w:gridSpan w:val="2"/>
            <w:shd w:val="clear" w:color="auto" w:fill="auto"/>
            <w:vAlign w:val="center"/>
          </w:tcPr>
          <w:p w14:paraId="684EE8C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评价结论与建议</w:t>
            </w:r>
          </w:p>
        </w:tc>
        <w:tc>
          <w:tcPr>
            <w:tcW w:w="6519" w:type="dxa"/>
            <w:gridSpan w:val="13"/>
            <w:shd w:val="clear" w:color="auto" w:fill="auto"/>
            <w:vAlign w:val="center"/>
          </w:tcPr>
          <w:p w14:paraId="40D4F94F">
            <w:pPr>
              <w:spacing w:line="240" w:lineRule="auto"/>
              <w:ind w:firstLine="0" w:firstLineChars="0"/>
              <w:rPr>
                <w:rFonts w:hint="default" w:ascii="Times New Roman" w:hAnsi="Times New Roman" w:eastAsia="仿宋" w:cs="Times New Roman"/>
                <w:color w:val="auto"/>
                <w:highlight w:val="none"/>
              </w:rPr>
            </w:pPr>
            <w:r>
              <w:rPr>
                <w:rFonts w:hint="default" w:ascii="Times New Roman" w:hAnsi="Times New Roman" w:eastAsia="仿宋" w:cs="Times New Roman"/>
                <w:color w:val="auto"/>
                <w:sz w:val="18"/>
                <w:szCs w:val="18"/>
                <w:highlight w:val="none"/>
              </w:rPr>
              <w:t>本项目在下一步设计中应按照本报告中的要求、建议进一步完善其环境风险防范措施。如能在施工、运行过程中切实落实本报告中所提出的环境风险防范对策措施，则运行后，从环境风险的角度考虑本项目是可行的。</w:t>
            </w:r>
          </w:p>
        </w:tc>
      </w:tr>
      <w:tr w14:paraId="0D1851F8">
        <w:tblPrEx>
          <w:tblBorders>
            <w:top w:val="single" w:color="auto" w:sz="12" w:space="0"/>
            <w:left w:val="single" w:color="auto" w:sz="12" w:space="0"/>
            <w:bottom w:val="single" w:color="auto" w:sz="4"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12" w:type="dxa"/>
            <w:gridSpan w:val="15"/>
            <w:shd w:val="clear" w:color="auto" w:fill="auto"/>
            <w:vAlign w:val="center"/>
          </w:tcPr>
          <w:p w14:paraId="201B7EC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z w:val="18"/>
                <w:szCs w:val="18"/>
                <w:highlight w:val="none"/>
              </w:rPr>
              <w:t>注：“□”为勾选项，“ ”为填写项。</w:t>
            </w:r>
          </w:p>
        </w:tc>
      </w:tr>
    </w:tbl>
    <w:p w14:paraId="04699FA2">
      <w:pPr>
        <w:pStyle w:val="67"/>
        <w:ind w:firstLine="480"/>
        <w:rPr>
          <w:rFonts w:hint="default" w:ascii="Times New Roman" w:hAnsi="Times New Roman" w:cs="Times New Roman"/>
          <w:color w:val="auto"/>
          <w:highlight w:val="none"/>
        </w:rPr>
      </w:pPr>
    </w:p>
    <w:p w14:paraId="7D2411FF">
      <w:pPr>
        <w:pStyle w:val="67"/>
        <w:ind w:firstLine="480"/>
        <w:rPr>
          <w:rFonts w:hint="default" w:ascii="Times New Roman" w:hAnsi="Times New Roman" w:cs="Times New Roman"/>
          <w:color w:val="auto"/>
          <w:highlight w:val="none"/>
        </w:rPr>
      </w:pPr>
    </w:p>
    <w:p w14:paraId="252A9EF5">
      <w:pPr>
        <w:pStyle w:val="67"/>
        <w:ind w:firstLine="480"/>
        <w:rPr>
          <w:rFonts w:hint="default" w:ascii="Times New Roman" w:hAnsi="Times New Roman" w:cs="Times New Roman"/>
          <w:color w:val="auto"/>
          <w:highlight w:val="none"/>
        </w:rPr>
      </w:pPr>
    </w:p>
    <w:p w14:paraId="61289077">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pPr>
      <w:bookmarkStart w:id="715" w:name="_Toc92265111"/>
      <w:bookmarkStart w:id="716" w:name="_Toc26877930"/>
      <w:bookmarkStart w:id="717" w:name="_Toc5016"/>
      <w:bookmarkStart w:id="718" w:name="_Toc43369866"/>
      <w:r>
        <w:rPr>
          <w:rFonts w:hint="default" w:ascii="Times New Roman" w:hAnsi="Times New Roman" w:eastAsia="黑体" w:cs="Times New Roman"/>
          <w:bCs/>
          <w:snapToGrid w:val="0"/>
          <w:color w:val="auto"/>
          <w:kern w:val="0"/>
          <w:szCs w:val="32"/>
          <w:highlight w:val="none"/>
        </w:rPr>
        <w:t>附表4建设项目土壤环境影响评价自查表</w:t>
      </w:r>
      <w:bookmarkEnd w:id="715"/>
      <w:bookmarkEnd w:id="716"/>
      <w:bookmarkEnd w:id="717"/>
      <w:bookmarkEnd w:id="718"/>
    </w:p>
    <w:tbl>
      <w:tblPr>
        <w:tblStyle w:val="4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77"/>
        <w:gridCol w:w="1706"/>
        <w:gridCol w:w="1129"/>
        <w:gridCol w:w="1129"/>
        <w:gridCol w:w="1129"/>
        <w:gridCol w:w="1269"/>
        <w:gridCol w:w="937"/>
      </w:tblGrid>
      <w:tr w14:paraId="4942B9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694" w:type="dxa"/>
            <w:gridSpan w:val="2"/>
            <w:vAlign w:val="center"/>
          </w:tcPr>
          <w:p w14:paraId="0EC8DCF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工作内容</w:t>
            </w:r>
          </w:p>
        </w:tc>
        <w:tc>
          <w:tcPr>
            <w:tcW w:w="4677" w:type="dxa"/>
            <w:gridSpan w:val="4"/>
            <w:vAlign w:val="center"/>
          </w:tcPr>
          <w:p w14:paraId="6700A6A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完成情况</w:t>
            </w:r>
          </w:p>
        </w:tc>
        <w:tc>
          <w:tcPr>
            <w:tcW w:w="941" w:type="dxa"/>
            <w:vAlign w:val="center"/>
          </w:tcPr>
          <w:p w14:paraId="0D64227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备注</w:t>
            </w:r>
          </w:p>
        </w:tc>
      </w:tr>
      <w:tr w14:paraId="4DE678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restart"/>
            <w:vAlign w:val="center"/>
          </w:tcPr>
          <w:p w14:paraId="29C943E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影响识别</w:t>
            </w:r>
          </w:p>
        </w:tc>
        <w:tc>
          <w:tcPr>
            <w:tcW w:w="1713" w:type="dxa"/>
            <w:vAlign w:val="center"/>
          </w:tcPr>
          <w:p w14:paraId="0B44CAE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影响类型</w:t>
            </w:r>
          </w:p>
        </w:tc>
        <w:tc>
          <w:tcPr>
            <w:tcW w:w="4677" w:type="dxa"/>
            <w:gridSpan w:val="4"/>
            <w:vAlign w:val="center"/>
          </w:tcPr>
          <w:p w14:paraId="3041FB1B">
            <w:pPr>
              <w:spacing w:line="240" w:lineRule="auto"/>
              <w:ind w:firstLine="0" w:firstLineChars="0"/>
              <w:jc w:val="center"/>
              <w:rPr>
                <w:rFonts w:hint="eastAsia"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rPr>
              <w:t>污染影响型</w:t>
            </w:r>
            <w:r>
              <w:rPr>
                <w:rFonts w:hint="default" w:ascii="Times New Roman" w:hAnsi="Times New Roman" w:eastAsia="仿宋" w:cs="Times New Roman"/>
                <w:color w:val="auto"/>
                <w:sz w:val="21"/>
                <w:szCs w:val="21"/>
                <w:highlight w:val="none"/>
              </w:rPr>
              <w:sym w:font="Wingdings 2" w:char="0052"/>
            </w:r>
            <w:r>
              <w:rPr>
                <w:rFonts w:hint="default" w:ascii="Times New Roman" w:hAnsi="Times New Roman" w:eastAsia="仿宋" w:cs="Times New Roman"/>
                <w:color w:val="auto"/>
                <w:sz w:val="21"/>
                <w:szCs w:val="21"/>
                <w:highlight w:val="none"/>
              </w:rPr>
              <w:t>；生态影响型</w:t>
            </w:r>
            <w:r>
              <w:rPr>
                <w:rFonts w:hint="eastAsia"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rPr>
              <w:t>；两种兼有</w:t>
            </w:r>
            <w:r>
              <w:rPr>
                <w:rFonts w:hint="eastAsia" w:eastAsia="仿宋" w:cs="Times New Roman"/>
                <w:color w:val="auto"/>
                <w:sz w:val="21"/>
                <w:szCs w:val="21"/>
                <w:highlight w:val="none"/>
                <w:lang w:eastAsia="zh-CN"/>
              </w:rPr>
              <w:t>□</w:t>
            </w:r>
          </w:p>
        </w:tc>
        <w:tc>
          <w:tcPr>
            <w:tcW w:w="941" w:type="dxa"/>
            <w:vAlign w:val="center"/>
          </w:tcPr>
          <w:p w14:paraId="2D07A8F9">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1707F5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654C3357">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566CBC7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土地利用类型</w:t>
            </w:r>
          </w:p>
        </w:tc>
        <w:tc>
          <w:tcPr>
            <w:tcW w:w="4677" w:type="dxa"/>
            <w:gridSpan w:val="4"/>
            <w:vAlign w:val="center"/>
          </w:tcPr>
          <w:p w14:paraId="098D112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建设用地</w:t>
            </w:r>
            <w:r>
              <w:rPr>
                <w:rFonts w:hint="default" w:ascii="Times New Roman" w:hAnsi="Times New Roman" w:eastAsia="仿宋" w:cs="Times New Roman"/>
                <w:color w:val="auto"/>
                <w:sz w:val="21"/>
                <w:szCs w:val="21"/>
                <w:highlight w:val="none"/>
              </w:rPr>
              <w:sym w:font="Wingdings 2" w:char="0052"/>
            </w:r>
            <w:r>
              <w:rPr>
                <w:rFonts w:hint="default" w:ascii="Times New Roman" w:hAnsi="Times New Roman" w:eastAsia="仿宋" w:cs="Times New Roman"/>
                <w:color w:val="auto"/>
                <w:sz w:val="21"/>
                <w:szCs w:val="21"/>
                <w:highlight w:val="none"/>
              </w:rPr>
              <w:t>；农用地</w:t>
            </w:r>
            <w:r>
              <w:rPr>
                <w:rFonts w:hint="default" w:ascii="Times New Roman" w:hAnsi="Times New Roman" w:eastAsia="仿宋" w:cs="Times New Roman"/>
                <w:color w:val="auto"/>
                <w:sz w:val="21"/>
                <w:szCs w:val="21"/>
                <w:highlight w:val="none"/>
              </w:rPr>
              <w:sym w:font="Wingdings 2" w:char="F0A3"/>
            </w:r>
            <w:r>
              <w:rPr>
                <w:rFonts w:hint="default" w:ascii="Times New Roman" w:hAnsi="Times New Roman" w:eastAsia="仿宋" w:cs="Times New Roman"/>
                <w:color w:val="auto"/>
                <w:sz w:val="21"/>
                <w:szCs w:val="21"/>
                <w:highlight w:val="none"/>
              </w:rPr>
              <w:t>；未利用地</w:t>
            </w:r>
            <w:r>
              <w:rPr>
                <w:rFonts w:hint="default" w:ascii="Times New Roman" w:hAnsi="Times New Roman" w:eastAsia="仿宋" w:cs="Times New Roman"/>
                <w:color w:val="auto"/>
                <w:sz w:val="21"/>
                <w:szCs w:val="21"/>
                <w:highlight w:val="none"/>
              </w:rPr>
              <w:sym w:font="Wingdings 2" w:char="00A3"/>
            </w:r>
          </w:p>
        </w:tc>
        <w:tc>
          <w:tcPr>
            <w:tcW w:w="941" w:type="dxa"/>
            <w:vAlign w:val="center"/>
          </w:tcPr>
          <w:p w14:paraId="52298BEE">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267312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114DAB8A">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4557FCA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占地规模</w:t>
            </w:r>
          </w:p>
        </w:tc>
        <w:tc>
          <w:tcPr>
            <w:tcW w:w="4677" w:type="dxa"/>
            <w:gridSpan w:val="4"/>
            <w:vAlign w:val="center"/>
          </w:tcPr>
          <w:p w14:paraId="6F391E2E">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w:t>
            </w:r>
            <w:r>
              <w:rPr>
                <w:rFonts w:hint="eastAsia" w:eastAsia="仿宋" w:cs="Times New Roman"/>
                <w:color w:val="auto"/>
                <w:sz w:val="21"/>
                <w:szCs w:val="21"/>
                <w:highlight w:val="none"/>
                <w:lang w:val="en-US" w:eastAsia="zh-CN"/>
              </w:rPr>
              <w:t>56.43</w:t>
            </w:r>
            <w:r>
              <w:rPr>
                <w:rFonts w:hint="default" w:ascii="Times New Roman" w:hAnsi="Times New Roman" w:eastAsia="仿宋" w:cs="Times New Roman"/>
                <w:color w:val="auto"/>
                <w:sz w:val="21"/>
                <w:szCs w:val="21"/>
                <w:highlight w:val="none"/>
              </w:rPr>
              <w:t>）hm</w:t>
            </w:r>
            <w:r>
              <w:rPr>
                <w:rFonts w:hint="default" w:ascii="Times New Roman" w:hAnsi="Times New Roman" w:eastAsia="仿宋" w:cs="Times New Roman"/>
                <w:color w:val="auto"/>
                <w:sz w:val="21"/>
                <w:szCs w:val="21"/>
                <w:highlight w:val="none"/>
                <w:vertAlign w:val="superscript"/>
              </w:rPr>
              <w:t>2</w:t>
            </w:r>
          </w:p>
        </w:tc>
        <w:tc>
          <w:tcPr>
            <w:tcW w:w="941" w:type="dxa"/>
            <w:vAlign w:val="center"/>
          </w:tcPr>
          <w:p w14:paraId="14F7BB64">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6713FD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7A4BCA81">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26592D0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敏感目标信息</w:t>
            </w:r>
          </w:p>
        </w:tc>
        <w:tc>
          <w:tcPr>
            <w:tcW w:w="4677" w:type="dxa"/>
            <w:gridSpan w:val="4"/>
            <w:vAlign w:val="center"/>
          </w:tcPr>
          <w:p w14:paraId="667E4D55">
            <w:pPr>
              <w:spacing w:line="240" w:lineRule="auto"/>
              <w:ind w:firstLine="0" w:firstLineChars="0"/>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敏感目标（</w:t>
            </w:r>
            <w:r>
              <w:rPr>
                <w:rFonts w:hint="eastAsia" w:eastAsia="仿宋" w:cs="Times New Roman"/>
                <w:color w:val="auto"/>
                <w:sz w:val="21"/>
                <w:szCs w:val="21"/>
                <w:highlight w:val="none"/>
                <w:lang w:val="en-US" w:eastAsia="zh-CN"/>
              </w:rPr>
              <w:t>公益林</w:t>
            </w:r>
            <w:r>
              <w:rPr>
                <w:rFonts w:hint="default" w:ascii="Times New Roman" w:hAnsi="Times New Roman" w:eastAsia="仿宋" w:cs="Times New Roman"/>
                <w:color w:val="auto"/>
                <w:sz w:val="21"/>
                <w:szCs w:val="21"/>
                <w:highlight w:val="none"/>
              </w:rPr>
              <w:t>）、方位（</w:t>
            </w:r>
            <w:r>
              <w:rPr>
                <w:rFonts w:hint="eastAsia" w:eastAsia="仿宋" w:cs="Times New Roman"/>
                <w:color w:val="auto"/>
                <w:sz w:val="21"/>
                <w:szCs w:val="21"/>
                <w:highlight w:val="none"/>
                <w:lang w:val="en-US" w:eastAsia="zh-CN"/>
              </w:rPr>
              <w:t>四周</w:t>
            </w:r>
            <w:r>
              <w:rPr>
                <w:rFonts w:hint="default" w:ascii="Times New Roman" w:hAnsi="Times New Roman" w:eastAsia="仿宋" w:cs="Times New Roman"/>
                <w:color w:val="auto"/>
                <w:sz w:val="21"/>
                <w:szCs w:val="21"/>
                <w:highlight w:val="none"/>
              </w:rPr>
              <w:t>）、距离（</w:t>
            </w:r>
            <w:r>
              <w:rPr>
                <w:rFonts w:hint="eastAsia" w:eastAsia="仿宋" w:cs="Times New Roman"/>
                <w:color w:val="auto"/>
                <w:sz w:val="21"/>
                <w:szCs w:val="21"/>
                <w:highlight w:val="none"/>
                <w:lang w:val="en-US" w:eastAsia="zh-CN"/>
              </w:rPr>
              <w:t>20m</w:t>
            </w:r>
            <w:r>
              <w:rPr>
                <w:rFonts w:hint="default" w:ascii="Times New Roman" w:hAnsi="Times New Roman" w:eastAsia="仿宋" w:cs="Times New Roman"/>
                <w:color w:val="auto"/>
                <w:sz w:val="21"/>
                <w:szCs w:val="21"/>
                <w:highlight w:val="none"/>
              </w:rPr>
              <w:t>）</w:t>
            </w:r>
          </w:p>
        </w:tc>
        <w:tc>
          <w:tcPr>
            <w:tcW w:w="941" w:type="dxa"/>
            <w:vAlign w:val="center"/>
          </w:tcPr>
          <w:p w14:paraId="553F7F46">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4353E1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081836CB">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58749CA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影响途径</w:t>
            </w:r>
          </w:p>
        </w:tc>
        <w:tc>
          <w:tcPr>
            <w:tcW w:w="4677" w:type="dxa"/>
            <w:gridSpan w:val="4"/>
            <w:vAlign w:val="center"/>
          </w:tcPr>
          <w:p w14:paraId="0889C73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大气沉降</w:t>
            </w:r>
            <w:r>
              <w:rPr>
                <w:rFonts w:hint="eastAsia"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rPr>
              <w:t>；地面漫流</w:t>
            </w:r>
            <w:r>
              <w:rPr>
                <w:rFonts w:hint="default" w:ascii="Times New Roman" w:hAnsi="Times New Roman" w:eastAsia="仿宋" w:cs="Times New Roman"/>
                <w:color w:val="auto"/>
                <w:sz w:val="21"/>
                <w:szCs w:val="21"/>
                <w:highlight w:val="none"/>
              </w:rPr>
              <w:sym w:font="Wingdings 2" w:char="F052"/>
            </w:r>
            <w:r>
              <w:rPr>
                <w:rFonts w:hint="default" w:ascii="Times New Roman" w:hAnsi="Times New Roman" w:eastAsia="仿宋" w:cs="Times New Roman"/>
                <w:color w:val="auto"/>
                <w:sz w:val="21"/>
                <w:szCs w:val="21"/>
                <w:highlight w:val="none"/>
              </w:rPr>
              <w:t>；垂直入渗</w:t>
            </w:r>
            <w:r>
              <w:rPr>
                <w:rFonts w:hint="default" w:ascii="Times New Roman" w:hAnsi="Times New Roman" w:eastAsia="仿宋" w:cs="Times New Roman"/>
                <w:color w:val="auto"/>
                <w:sz w:val="21"/>
                <w:szCs w:val="21"/>
                <w:highlight w:val="none"/>
              </w:rPr>
              <w:sym w:font="Wingdings 2" w:char="F052"/>
            </w:r>
            <w:r>
              <w:rPr>
                <w:rFonts w:hint="default" w:ascii="Times New Roman" w:hAnsi="Times New Roman" w:eastAsia="仿宋" w:cs="Times New Roman"/>
                <w:color w:val="auto"/>
                <w:sz w:val="21"/>
                <w:szCs w:val="21"/>
                <w:highlight w:val="none"/>
              </w:rPr>
              <w:t>；地下水位□；其他（  ）</w:t>
            </w:r>
          </w:p>
        </w:tc>
        <w:tc>
          <w:tcPr>
            <w:tcW w:w="941" w:type="dxa"/>
            <w:vAlign w:val="center"/>
          </w:tcPr>
          <w:p w14:paraId="23EC5830">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749DF9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085954E4">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215D4BD5">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全部污染物</w:t>
            </w:r>
          </w:p>
        </w:tc>
        <w:tc>
          <w:tcPr>
            <w:tcW w:w="4677" w:type="dxa"/>
            <w:gridSpan w:val="4"/>
            <w:vAlign w:val="center"/>
          </w:tcPr>
          <w:p w14:paraId="0C9395B6">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Align w:val="center"/>
          </w:tcPr>
          <w:p w14:paraId="4863E268">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72AFD1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26B8B104">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2436442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特征因子</w:t>
            </w:r>
          </w:p>
        </w:tc>
        <w:tc>
          <w:tcPr>
            <w:tcW w:w="4677" w:type="dxa"/>
            <w:gridSpan w:val="4"/>
            <w:vAlign w:val="center"/>
          </w:tcPr>
          <w:p w14:paraId="59581A2A">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Align w:val="center"/>
          </w:tcPr>
          <w:p w14:paraId="69540287">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64131C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0B1E8818">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15A077E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所属土壤环境影响</w:t>
            </w:r>
          </w:p>
          <w:p w14:paraId="03C28F6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评价项目类别</w:t>
            </w:r>
          </w:p>
        </w:tc>
        <w:tc>
          <w:tcPr>
            <w:tcW w:w="4677" w:type="dxa"/>
            <w:gridSpan w:val="4"/>
            <w:vAlign w:val="center"/>
          </w:tcPr>
          <w:p w14:paraId="0BC0A1E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Ⅰ类□；Ⅱ类□；Ⅲ类√；Ⅳ类□</w:t>
            </w:r>
          </w:p>
        </w:tc>
        <w:tc>
          <w:tcPr>
            <w:tcW w:w="941" w:type="dxa"/>
            <w:vAlign w:val="center"/>
          </w:tcPr>
          <w:p w14:paraId="5B02152C">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529170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6E1E36B2">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598D768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敏感程度</w:t>
            </w:r>
          </w:p>
        </w:tc>
        <w:tc>
          <w:tcPr>
            <w:tcW w:w="4677" w:type="dxa"/>
            <w:gridSpan w:val="4"/>
            <w:vAlign w:val="center"/>
          </w:tcPr>
          <w:p w14:paraId="6A00590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敏感□；较敏感</w:t>
            </w:r>
            <w:r>
              <w:rPr>
                <w:rFonts w:hint="eastAsia"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rPr>
              <w:t>；不敏感□</w:t>
            </w:r>
          </w:p>
        </w:tc>
        <w:tc>
          <w:tcPr>
            <w:tcW w:w="941" w:type="dxa"/>
            <w:vAlign w:val="center"/>
          </w:tcPr>
          <w:p w14:paraId="641E3B9B">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41B3C9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694" w:type="dxa"/>
            <w:gridSpan w:val="2"/>
            <w:vAlign w:val="center"/>
          </w:tcPr>
          <w:p w14:paraId="552C86D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评价工作等级</w:t>
            </w:r>
          </w:p>
        </w:tc>
        <w:tc>
          <w:tcPr>
            <w:tcW w:w="4677" w:type="dxa"/>
            <w:gridSpan w:val="4"/>
            <w:vAlign w:val="center"/>
          </w:tcPr>
          <w:p w14:paraId="3F8C7AEA">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一级□；二级□；三级√</w:t>
            </w:r>
          </w:p>
        </w:tc>
        <w:tc>
          <w:tcPr>
            <w:tcW w:w="941" w:type="dxa"/>
            <w:vAlign w:val="center"/>
          </w:tcPr>
          <w:p w14:paraId="5BB528D7">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54A4BF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restart"/>
            <w:vAlign w:val="center"/>
          </w:tcPr>
          <w:p w14:paraId="1781772A">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现状调查内容</w:t>
            </w:r>
          </w:p>
        </w:tc>
        <w:tc>
          <w:tcPr>
            <w:tcW w:w="1713" w:type="dxa"/>
            <w:vAlign w:val="center"/>
          </w:tcPr>
          <w:p w14:paraId="1F20B6F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资料收集</w:t>
            </w:r>
          </w:p>
        </w:tc>
        <w:tc>
          <w:tcPr>
            <w:tcW w:w="4677" w:type="dxa"/>
            <w:gridSpan w:val="4"/>
            <w:vAlign w:val="center"/>
          </w:tcPr>
          <w:p w14:paraId="599B308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a）□；b）□；c）□；d）□</w:t>
            </w:r>
          </w:p>
        </w:tc>
        <w:tc>
          <w:tcPr>
            <w:tcW w:w="941" w:type="dxa"/>
            <w:vAlign w:val="center"/>
          </w:tcPr>
          <w:p w14:paraId="7C2575E4">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20BF72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260F8115">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5BF9175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理化特性</w:t>
            </w:r>
          </w:p>
        </w:tc>
        <w:tc>
          <w:tcPr>
            <w:tcW w:w="4677" w:type="dxa"/>
            <w:gridSpan w:val="4"/>
            <w:vAlign w:val="center"/>
          </w:tcPr>
          <w:p w14:paraId="52D569D8">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Align w:val="center"/>
          </w:tcPr>
          <w:p w14:paraId="08FF0E17">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同附录C</w:t>
            </w:r>
          </w:p>
        </w:tc>
      </w:tr>
      <w:tr w14:paraId="1F40AF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30C2BE89">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Merge w:val="restart"/>
            <w:vAlign w:val="center"/>
          </w:tcPr>
          <w:p w14:paraId="757968C7">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现状监测点位</w:t>
            </w:r>
          </w:p>
        </w:tc>
        <w:tc>
          <w:tcPr>
            <w:tcW w:w="1134" w:type="dxa"/>
            <w:vAlign w:val="center"/>
          </w:tcPr>
          <w:p w14:paraId="400F7D1D">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151F370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占地范围内</w:t>
            </w:r>
          </w:p>
        </w:tc>
        <w:tc>
          <w:tcPr>
            <w:tcW w:w="1134" w:type="dxa"/>
            <w:vAlign w:val="center"/>
          </w:tcPr>
          <w:p w14:paraId="347C892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占地范围外</w:t>
            </w:r>
          </w:p>
        </w:tc>
        <w:tc>
          <w:tcPr>
            <w:tcW w:w="1275" w:type="dxa"/>
            <w:vAlign w:val="center"/>
          </w:tcPr>
          <w:p w14:paraId="6D51F1E0">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深度</w:t>
            </w:r>
          </w:p>
        </w:tc>
        <w:tc>
          <w:tcPr>
            <w:tcW w:w="941" w:type="dxa"/>
            <w:vMerge w:val="restart"/>
            <w:vAlign w:val="center"/>
          </w:tcPr>
          <w:p w14:paraId="7E6C4B45">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点位布置图</w:t>
            </w:r>
          </w:p>
        </w:tc>
      </w:tr>
      <w:tr w14:paraId="506845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6F2303D4">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Merge w:val="continue"/>
            <w:vAlign w:val="center"/>
          </w:tcPr>
          <w:p w14:paraId="52E740BD">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73B0F42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表层样点数</w:t>
            </w:r>
          </w:p>
        </w:tc>
        <w:tc>
          <w:tcPr>
            <w:tcW w:w="1134" w:type="dxa"/>
            <w:vAlign w:val="center"/>
          </w:tcPr>
          <w:p w14:paraId="3F8B9947">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3</w:t>
            </w:r>
          </w:p>
        </w:tc>
        <w:tc>
          <w:tcPr>
            <w:tcW w:w="1134" w:type="dxa"/>
            <w:vAlign w:val="center"/>
          </w:tcPr>
          <w:p w14:paraId="3231AE8A">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275" w:type="dxa"/>
            <w:vAlign w:val="center"/>
          </w:tcPr>
          <w:p w14:paraId="05FCF33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20cm</w:t>
            </w:r>
          </w:p>
        </w:tc>
        <w:tc>
          <w:tcPr>
            <w:tcW w:w="941" w:type="dxa"/>
            <w:vMerge w:val="continue"/>
            <w:vAlign w:val="center"/>
          </w:tcPr>
          <w:p w14:paraId="28EEBAC8">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49DDBD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0DBA4DF0">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Merge w:val="continue"/>
            <w:vAlign w:val="center"/>
          </w:tcPr>
          <w:p w14:paraId="67C48A88">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1EA1609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柱状样点数</w:t>
            </w:r>
          </w:p>
        </w:tc>
        <w:tc>
          <w:tcPr>
            <w:tcW w:w="1134" w:type="dxa"/>
            <w:vAlign w:val="center"/>
          </w:tcPr>
          <w:p w14:paraId="3754717D">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46047FA6">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275" w:type="dxa"/>
            <w:vAlign w:val="center"/>
          </w:tcPr>
          <w:p w14:paraId="35F531FE">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Merge w:val="continue"/>
            <w:vAlign w:val="center"/>
          </w:tcPr>
          <w:p w14:paraId="04DCD38B">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1A63D1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54DD9437">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57E06A9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现状监测因子</w:t>
            </w:r>
          </w:p>
        </w:tc>
        <w:tc>
          <w:tcPr>
            <w:tcW w:w="4677" w:type="dxa"/>
            <w:gridSpan w:val="4"/>
            <w:vAlign w:val="center"/>
          </w:tcPr>
          <w:p w14:paraId="4A141E3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pH</w:t>
            </w:r>
            <w:r>
              <w:rPr>
                <w:rFonts w:hint="eastAsia" w:ascii="Times New Roman" w:hAnsi="Times New Roman" w:eastAsia="仿宋" w:cs="Times New Roman"/>
                <w:color w:val="auto"/>
                <w:sz w:val="21"/>
                <w:szCs w:val="21"/>
                <w:highlight w:val="none"/>
              </w:rPr>
              <w:t>、砷、镉、铬（六价）、铜、铅、汞、镍、锌</w:t>
            </w:r>
            <w:r>
              <w:rPr>
                <w:rFonts w:hint="eastAsia" w:ascii="Times New Roman" w:hAnsi="Times New Roman" w:eastAsia="仿宋" w:cs="Times New Roman"/>
                <w:color w:val="auto"/>
                <w:sz w:val="21"/>
                <w:szCs w:val="21"/>
                <w:highlight w:val="none"/>
                <w:lang w:eastAsia="zh-CN"/>
              </w:rPr>
              <w:t>、</w:t>
            </w:r>
            <w:r>
              <w:rPr>
                <w:rFonts w:hint="eastAsia" w:ascii="Times New Roman" w:hAnsi="Times New Roman" w:eastAsia="仿宋" w:cs="Times New Roman"/>
                <w:color w:val="auto"/>
                <w:sz w:val="21"/>
                <w:szCs w:val="21"/>
                <w:highlight w:val="none"/>
                <w:lang w:val="en-US" w:eastAsia="zh-CN"/>
              </w:rPr>
              <w:t>石油烃</w:t>
            </w:r>
            <w:r>
              <w:rPr>
                <w:rFonts w:hint="eastAsia" w:ascii="Times New Roman" w:hAnsi="Times New Roman" w:eastAsia="仿宋" w:cs="Times New Roman"/>
                <w:color w:val="auto"/>
                <w:sz w:val="21"/>
                <w:szCs w:val="21"/>
                <w:highlight w:val="none"/>
                <w:lang w:eastAsia="zh-CN"/>
              </w:rPr>
              <w:t>。</w:t>
            </w:r>
          </w:p>
        </w:tc>
        <w:tc>
          <w:tcPr>
            <w:tcW w:w="941" w:type="dxa"/>
            <w:vAlign w:val="center"/>
          </w:tcPr>
          <w:p w14:paraId="526247FB">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15ED45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restart"/>
            <w:vAlign w:val="center"/>
          </w:tcPr>
          <w:p w14:paraId="4E5F4B2E">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现状评价</w:t>
            </w:r>
          </w:p>
        </w:tc>
        <w:tc>
          <w:tcPr>
            <w:tcW w:w="1713" w:type="dxa"/>
            <w:vAlign w:val="center"/>
          </w:tcPr>
          <w:p w14:paraId="77AB491F">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评价因子</w:t>
            </w:r>
          </w:p>
        </w:tc>
        <w:tc>
          <w:tcPr>
            <w:tcW w:w="4677" w:type="dxa"/>
            <w:gridSpan w:val="4"/>
            <w:vAlign w:val="center"/>
          </w:tcPr>
          <w:p w14:paraId="2FAF7DF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pH</w:t>
            </w:r>
            <w:r>
              <w:rPr>
                <w:rFonts w:hint="eastAsia" w:ascii="Times New Roman" w:hAnsi="Times New Roman" w:eastAsia="仿宋" w:cs="Times New Roman"/>
                <w:color w:val="auto"/>
                <w:sz w:val="21"/>
                <w:szCs w:val="21"/>
                <w:highlight w:val="none"/>
              </w:rPr>
              <w:t>、砷、镉、铬（六价）、铜、铅、汞、镍、锌</w:t>
            </w:r>
            <w:r>
              <w:rPr>
                <w:rFonts w:hint="eastAsia" w:ascii="Times New Roman" w:hAnsi="Times New Roman" w:eastAsia="仿宋" w:cs="Times New Roman"/>
                <w:color w:val="auto"/>
                <w:sz w:val="21"/>
                <w:szCs w:val="21"/>
                <w:highlight w:val="none"/>
                <w:lang w:eastAsia="zh-CN"/>
              </w:rPr>
              <w:t>、</w:t>
            </w:r>
            <w:r>
              <w:rPr>
                <w:rFonts w:hint="eastAsia" w:ascii="Times New Roman" w:hAnsi="Times New Roman" w:eastAsia="仿宋" w:cs="Times New Roman"/>
                <w:color w:val="auto"/>
                <w:sz w:val="21"/>
                <w:szCs w:val="21"/>
                <w:highlight w:val="none"/>
                <w:lang w:val="en-US" w:eastAsia="zh-CN"/>
              </w:rPr>
              <w:t>石油烃</w:t>
            </w:r>
            <w:r>
              <w:rPr>
                <w:rFonts w:hint="eastAsia" w:ascii="Times New Roman" w:hAnsi="Times New Roman" w:eastAsia="仿宋" w:cs="Times New Roman"/>
                <w:color w:val="auto"/>
                <w:sz w:val="21"/>
                <w:szCs w:val="21"/>
                <w:highlight w:val="none"/>
                <w:lang w:eastAsia="zh-CN"/>
              </w:rPr>
              <w:t>。</w:t>
            </w:r>
          </w:p>
        </w:tc>
        <w:tc>
          <w:tcPr>
            <w:tcW w:w="941" w:type="dxa"/>
            <w:vAlign w:val="center"/>
          </w:tcPr>
          <w:p w14:paraId="641194F5">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77B532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775EA003">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619732F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评价标准</w:t>
            </w:r>
          </w:p>
        </w:tc>
        <w:tc>
          <w:tcPr>
            <w:tcW w:w="4677" w:type="dxa"/>
            <w:gridSpan w:val="4"/>
            <w:vAlign w:val="center"/>
          </w:tcPr>
          <w:p w14:paraId="41923370">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GB15618</w:t>
            </w:r>
            <w:r>
              <w:rPr>
                <w:rFonts w:hint="default" w:ascii="Times New Roman" w:hAnsi="Times New Roman" w:eastAsia="仿宋" w:cs="Times New Roman"/>
                <w:color w:val="auto"/>
                <w:sz w:val="21"/>
                <w:szCs w:val="21"/>
                <w:highlight w:val="none"/>
              </w:rPr>
              <w:sym w:font="Wingdings 2" w:char="00A3"/>
            </w:r>
            <w:r>
              <w:rPr>
                <w:rFonts w:hint="default" w:ascii="Times New Roman" w:hAnsi="Times New Roman" w:eastAsia="仿宋" w:cs="Times New Roman"/>
                <w:color w:val="auto"/>
                <w:sz w:val="21"/>
                <w:szCs w:val="21"/>
                <w:highlight w:val="none"/>
              </w:rPr>
              <w:t>；GB36600</w:t>
            </w:r>
            <w:r>
              <w:rPr>
                <w:rFonts w:hint="eastAsia" w:eastAsia="仿宋" w:cs="Times New Roman"/>
                <w:color w:val="auto"/>
                <w:sz w:val="21"/>
                <w:szCs w:val="21"/>
                <w:highlight w:val="none"/>
                <w:lang w:eastAsia="zh-CN"/>
              </w:rPr>
              <w:t>☑</w:t>
            </w:r>
            <w:r>
              <w:rPr>
                <w:rFonts w:hint="default" w:ascii="Times New Roman" w:hAnsi="Times New Roman" w:eastAsia="仿宋" w:cs="Times New Roman"/>
                <w:color w:val="auto"/>
                <w:sz w:val="21"/>
                <w:szCs w:val="21"/>
                <w:highlight w:val="none"/>
              </w:rPr>
              <w:t>；表D.1□；表D.2□；其他（）</w:t>
            </w:r>
          </w:p>
        </w:tc>
        <w:tc>
          <w:tcPr>
            <w:tcW w:w="941" w:type="dxa"/>
            <w:vAlign w:val="center"/>
          </w:tcPr>
          <w:p w14:paraId="45CEEF29">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77B4AC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6D9BBE0F">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351C4EC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现状评价结论</w:t>
            </w:r>
          </w:p>
        </w:tc>
        <w:tc>
          <w:tcPr>
            <w:tcW w:w="4677" w:type="dxa"/>
            <w:gridSpan w:val="4"/>
            <w:vAlign w:val="center"/>
          </w:tcPr>
          <w:p w14:paraId="128F01E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达标</w:t>
            </w:r>
          </w:p>
        </w:tc>
        <w:tc>
          <w:tcPr>
            <w:tcW w:w="941" w:type="dxa"/>
            <w:vAlign w:val="center"/>
          </w:tcPr>
          <w:p w14:paraId="4F764975">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55452E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restart"/>
            <w:vAlign w:val="center"/>
          </w:tcPr>
          <w:p w14:paraId="5EE099AE">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影响预测</w:t>
            </w:r>
          </w:p>
        </w:tc>
        <w:tc>
          <w:tcPr>
            <w:tcW w:w="1713" w:type="dxa"/>
            <w:vAlign w:val="center"/>
          </w:tcPr>
          <w:p w14:paraId="2BABB9A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预测因子</w:t>
            </w:r>
          </w:p>
        </w:tc>
        <w:tc>
          <w:tcPr>
            <w:tcW w:w="4677" w:type="dxa"/>
            <w:gridSpan w:val="4"/>
            <w:vAlign w:val="center"/>
          </w:tcPr>
          <w:p w14:paraId="42942500">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Align w:val="center"/>
          </w:tcPr>
          <w:p w14:paraId="755B86DD">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1A0F37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2227A283">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02175FE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预测方法</w:t>
            </w:r>
          </w:p>
        </w:tc>
        <w:tc>
          <w:tcPr>
            <w:tcW w:w="4677" w:type="dxa"/>
            <w:gridSpan w:val="4"/>
            <w:vAlign w:val="center"/>
          </w:tcPr>
          <w:p w14:paraId="6DEEB9D0">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附录 E□；附录 F□；其他（     ）</w:t>
            </w:r>
          </w:p>
        </w:tc>
        <w:tc>
          <w:tcPr>
            <w:tcW w:w="941" w:type="dxa"/>
            <w:vAlign w:val="center"/>
          </w:tcPr>
          <w:p w14:paraId="0C8891B4">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721860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70966195">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3229324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预测分析内容</w:t>
            </w:r>
          </w:p>
        </w:tc>
        <w:tc>
          <w:tcPr>
            <w:tcW w:w="4677" w:type="dxa"/>
            <w:gridSpan w:val="4"/>
            <w:vAlign w:val="center"/>
          </w:tcPr>
          <w:p w14:paraId="5C797D3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影响范围（     ） 影响程度（     ）</w:t>
            </w:r>
          </w:p>
        </w:tc>
        <w:tc>
          <w:tcPr>
            <w:tcW w:w="941" w:type="dxa"/>
            <w:vAlign w:val="center"/>
          </w:tcPr>
          <w:p w14:paraId="4E8916E3">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6C52D0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55C04701">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713" w:type="dxa"/>
            <w:vAlign w:val="center"/>
          </w:tcPr>
          <w:p w14:paraId="160DA29B">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预测结论</w:t>
            </w:r>
          </w:p>
        </w:tc>
        <w:tc>
          <w:tcPr>
            <w:tcW w:w="4677" w:type="dxa"/>
            <w:gridSpan w:val="4"/>
            <w:vAlign w:val="center"/>
          </w:tcPr>
          <w:p w14:paraId="6893B45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达标结论：a）□；b）□；c）□  不达标结论：a）□；b）□</w:t>
            </w:r>
          </w:p>
        </w:tc>
        <w:tc>
          <w:tcPr>
            <w:tcW w:w="941" w:type="dxa"/>
            <w:vAlign w:val="center"/>
          </w:tcPr>
          <w:p w14:paraId="20430097">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1D5099E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restart"/>
            <w:vAlign w:val="center"/>
          </w:tcPr>
          <w:p w14:paraId="3E2ADFA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防治措施</w:t>
            </w:r>
          </w:p>
        </w:tc>
        <w:tc>
          <w:tcPr>
            <w:tcW w:w="1713" w:type="dxa"/>
            <w:vAlign w:val="center"/>
          </w:tcPr>
          <w:p w14:paraId="6CEBFF70">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防控措施</w:t>
            </w:r>
          </w:p>
        </w:tc>
        <w:tc>
          <w:tcPr>
            <w:tcW w:w="4677" w:type="dxa"/>
            <w:gridSpan w:val="4"/>
            <w:vAlign w:val="center"/>
          </w:tcPr>
          <w:p w14:paraId="1409952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土壤环境质量现状保障□；源头控制□；过程防控□；其他（）</w:t>
            </w:r>
          </w:p>
        </w:tc>
        <w:tc>
          <w:tcPr>
            <w:tcW w:w="941" w:type="dxa"/>
            <w:vAlign w:val="center"/>
          </w:tcPr>
          <w:p w14:paraId="145E23C4">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5A33A0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40F93787">
            <w:pPr>
              <w:widowControl/>
              <w:spacing w:line="240" w:lineRule="auto"/>
              <w:ind w:firstLine="0" w:firstLineChars="0"/>
              <w:jc w:val="left"/>
              <w:rPr>
                <w:rFonts w:hint="default" w:ascii="Times New Roman" w:hAnsi="Times New Roman" w:eastAsia="仿宋" w:cs="Times New Roman"/>
                <w:color w:val="auto"/>
                <w:sz w:val="21"/>
                <w:szCs w:val="21"/>
                <w:highlight w:val="none"/>
              </w:rPr>
            </w:pPr>
          </w:p>
        </w:tc>
        <w:tc>
          <w:tcPr>
            <w:tcW w:w="1713" w:type="dxa"/>
            <w:vMerge w:val="restart"/>
            <w:vAlign w:val="center"/>
          </w:tcPr>
          <w:p w14:paraId="7ADB533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跟踪监测</w:t>
            </w:r>
          </w:p>
        </w:tc>
        <w:tc>
          <w:tcPr>
            <w:tcW w:w="1134" w:type="dxa"/>
            <w:vAlign w:val="center"/>
          </w:tcPr>
          <w:p w14:paraId="2D23F59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监测点数</w:t>
            </w:r>
          </w:p>
        </w:tc>
        <w:tc>
          <w:tcPr>
            <w:tcW w:w="1134" w:type="dxa"/>
            <w:vAlign w:val="center"/>
          </w:tcPr>
          <w:p w14:paraId="512ABA9E">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监测指标</w:t>
            </w:r>
          </w:p>
        </w:tc>
        <w:tc>
          <w:tcPr>
            <w:tcW w:w="2409" w:type="dxa"/>
            <w:gridSpan w:val="2"/>
            <w:vAlign w:val="center"/>
          </w:tcPr>
          <w:p w14:paraId="755F05D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监测频次</w:t>
            </w:r>
          </w:p>
        </w:tc>
        <w:tc>
          <w:tcPr>
            <w:tcW w:w="941" w:type="dxa"/>
            <w:vMerge w:val="restart"/>
            <w:vAlign w:val="center"/>
          </w:tcPr>
          <w:p w14:paraId="43569360">
            <w:pPr>
              <w:spacing w:line="240" w:lineRule="auto"/>
              <w:ind w:firstLine="0" w:firstLineChars="0"/>
              <w:jc w:val="center"/>
              <w:rPr>
                <w:rFonts w:hint="default" w:ascii="Times New Roman" w:hAnsi="Times New Roman" w:eastAsia="仿宋" w:cs="Times New Roman"/>
                <w:color w:val="auto"/>
                <w:sz w:val="21"/>
                <w:szCs w:val="21"/>
                <w:highlight w:val="none"/>
              </w:rPr>
            </w:pPr>
          </w:p>
        </w:tc>
      </w:tr>
      <w:tr w14:paraId="66342B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45C9862F">
            <w:pPr>
              <w:widowControl/>
              <w:spacing w:line="240" w:lineRule="auto"/>
              <w:ind w:firstLine="0" w:firstLineChars="0"/>
              <w:jc w:val="left"/>
              <w:rPr>
                <w:rFonts w:hint="default" w:ascii="Times New Roman" w:hAnsi="Times New Roman" w:eastAsia="仿宋" w:cs="Times New Roman"/>
                <w:color w:val="auto"/>
                <w:sz w:val="21"/>
                <w:szCs w:val="21"/>
                <w:highlight w:val="none"/>
              </w:rPr>
            </w:pPr>
          </w:p>
        </w:tc>
        <w:tc>
          <w:tcPr>
            <w:tcW w:w="1713" w:type="dxa"/>
            <w:vMerge w:val="continue"/>
            <w:vAlign w:val="center"/>
          </w:tcPr>
          <w:p w14:paraId="2B9123DD">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0C3D99EA">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1134" w:type="dxa"/>
            <w:vAlign w:val="center"/>
          </w:tcPr>
          <w:p w14:paraId="01D0D40B">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2409" w:type="dxa"/>
            <w:gridSpan w:val="2"/>
            <w:vAlign w:val="center"/>
          </w:tcPr>
          <w:p w14:paraId="3A199F33">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Merge w:val="continue"/>
            <w:vAlign w:val="center"/>
          </w:tcPr>
          <w:p w14:paraId="757BF103">
            <w:pPr>
              <w:widowControl/>
              <w:spacing w:line="240" w:lineRule="auto"/>
              <w:ind w:firstLine="0" w:firstLineChars="0"/>
              <w:jc w:val="left"/>
              <w:rPr>
                <w:rFonts w:hint="default" w:ascii="Times New Roman" w:hAnsi="Times New Roman" w:eastAsia="仿宋" w:cs="Times New Roman"/>
                <w:color w:val="auto"/>
                <w:sz w:val="21"/>
                <w:szCs w:val="21"/>
                <w:highlight w:val="none"/>
              </w:rPr>
            </w:pPr>
          </w:p>
        </w:tc>
      </w:tr>
      <w:tr w14:paraId="5E9D27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981" w:type="dxa"/>
            <w:vMerge w:val="continue"/>
            <w:vAlign w:val="center"/>
          </w:tcPr>
          <w:p w14:paraId="2EA4C9A4">
            <w:pPr>
              <w:widowControl/>
              <w:spacing w:line="240" w:lineRule="auto"/>
              <w:ind w:firstLine="0" w:firstLineChars="0"/>
              <w:jc w:val="left"/>
              <w:rPr>
                <w:rFonts w:hint="default" w:ascii="Times New Roman" w:hAnsi="Times New Roman" w:eastAsia="仿宋" w:cs="Times New Roman"/>
                <w:color w:val="auto"/>
                <w:sz w:val="21"/>
                <w:szCs w:val="21"/>
                <w:highlight w:val="none"/>
              </w:rPr>
            </w:pPr>
          </w:p>
        </w:tc>
        <w:tc>
          <w:tcPr>
            <w:tcW w:w="1713" w:type="dxa"/>
            <w:vAlign w:val="center"/>
          </w:tcPr>
          <w:p w14:paraId="41835DF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信息公开指标</w:t>
            </w:r>
          </w:p>
        </w:tc>
        <w:tc>
          <w:tcPr>
            <w:tcW w:w="4677" w:type="dxa"/>
            <w:gridSpan w:val="4"/>
            <w:vAlign w:val="center"/>
          </w:tcPr>
          <w:p w14:paraId="2FDECDE9">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Merge w:val="continue"/>
            <w:vAlign w:val="center"/>
          </w:tcPr>
          <w:p w14:paraId="01666C48">
            <w:pPr>
              <w:widowControl/>
              <w:spacing w:line="240" w:lineRule="auto"/>
              <w:ind w:firstLine="0" w:firstLineChars="0"/>
              <w:jc w:val="left"/>
              <w:rPr>
                <w:rFonts w:hint="default" w:ascii="Times New Roman" w:hAnsi="Times New Roman" w:eastAsia="仿宋" w:cs="Times New Roman"/>
                <w:color w:val="auto"/>
                <w:sz w:val="21"/>
                <w:szCs w:val="21"/>
                <w:highlight w:val="none"/>
              </w:rPr>
            </w:pPr>
          </w:p>
        </w:tc>
      </w:tr>
      <w:tr w14:paraId="07A744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2694" w:type="dxa"/>
            <w:gridSpan w:val="2"/>
            <w:vAlign w:val="center"/>
          </w:tcPr>
          <w:p w14:paraId="640F035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评价结论</w:t>
            </w:r>
          </w:p>
        </w:tc>
        <w:tc>
          <w:tcPr>
            <w:tcW w:w="4677" w:type="dxa"/>
            <w:gridSpan w:val="4"/>
            <w:vAlign w:val="center"/>
          </w:tcPr>
          <w:p w14:paraId="009A1AE3">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41" w:type="dxa"/>
            <w:vAlign w:val="center"/>
          </w:tcPr>
          <w:p w14:paraId="5D2E11C3">
            <w:pPr>
              <w:spacing w:line="240" w:lineRule="auto"/>
              <w:ind w:firstLine="0" w:firstLineChars="0"/>
              <w:rPr>
                <w:rFonts w:hint="default" w:ascii="Times New Roman" w:hAnsi="Times New Roman" w:eastAsia="仿宋" w:cs="Times New Roman"/>
                <w:color w:val="auto"/>
                <w:sz w:val="21"/>
                <w:szCs w:val="21"/>
                <w:highlight w:val="none"/>
              </w:rPr>
            </w:pPr>
          </w:p>
        </w:tc>
      </w:tr>
      <w:tr w14:paraId="4EC8B7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jc w:val="center"/>
        </w:trPr>
        <w:tc>
          <w:tcPr>
            <w:tcW w:w="8312" w:type="dxa"/>
            <w:gridSpan w:val="7"/>
            <w:vAlign w:val="center"/>
          </w:tcPr>
          <w:p w14:paraId="7DC7877C">
            <w:pPr>
              <w:spacing w:line="240" w:lineRule="auto"/>
              <w:ind w:firstLine="0" w:firstLineChars="0"/>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注 1：“□”为勾选项，可√；“（ ）”为内容填写项；“备注”为其他补充内容。</w:t>
            </w:r>
          </w:p>
          <w:p w14:paraId="77D89981">
            <w:pPr>
              <w:spacing w:line="240" w:lineRule="auto"/>
              <w:ind w:firstLine="0" w:firstLineChars="0"/>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注 2：需要分别开展土壤环境影响评级工作的，分别填写自查表。</w:t>
            </w:r>
          </w:p>
        </w:tc>
      </w:tr>
    </w:tbl>
    <w:p w14:paraId="44EF8C5F">
      <w:pPr>
        <w:pStyle w:val="67"/>
        <w:ind w:firstLine="0" w:firstLineChars="0"/>
        <w:jc w:val="center"/>
        <w:rPr>
          <w:rFonts w:hint="default" w:ascii="Times New Roman" w:hAnsi="Times New Roman" w:cs="Times New Roman"/>
          <w:color w:val="auto"/>
          <w:highlight w:val="none"/>
        </w:rPr>
      </w:pPr>
    </w:p>
    <w:p w14:paraId="5C6B0564">
      <w:pPr>
        <w:pStyle w:val="67"/>
        <w:ind w:firstLine="0" w:firstLineChars="0"/>
        <w:jc w:val="center"/>
        <w:rPr>
          <w:rFonts w:hint="default" w:ascii="Times New Roman" w:hAnsi="Times New Roman" w:cs="Times New Roman"/>
          <w:color w:val="auto"/>
          <w:highlight w:val="none"/>
        </w:rPr>
      </w:pPr>
    </w:p>
    <w:p w14:paraId="5FD1D264">
      <w:pPr>
        <w:pStyle w:val="67"/>
        <w:ind w:firstLine="0" w:firstLineChars="0"/>
        <w:jc w:val="center"/>
        <w:rPr>
          <w:rFonts w:hint="default" w:ascii="Times New Roman" w:hAnsi="Times New Roman" w:cs="Times New Roman"/>
          <w:color w:val="auto"/>
          <w:highlight w:val="none"/>
        </w:rPr>
      </w:pPr>
    </w:p>
    <w:p w14:paraId="3CB37863">
      <w:pPr>
        <w:pStyle w:val="67"/>
        <w:ind w:firstLine="0" w:firstLineChars="0"/>
        <w:jc w:val="center"/>
        <w:rPr>
          <w:rFonts w:hint="default" w:ascii="Times New Roman" w:hAnsi="Times New Roman" w:cs="Times New Roman"/>
          <w:color w:val="auto"/>
          <w:highlight w:val="none"/>
        </w:rPr>
      </w:pPr>
    </w:p>
    <w:p w14:paraId="0FA48142">
      <w:pPr>
        <w:pStyle w:val="67"/>
        <w:ind w:firstLine="0" w:firstLineChars="0"/>
        <w:jc w:val="center"/>
        <w:rPr>
          <w:rFonts w:hint="default" w:ascii="Times New Roman" w:hAnsi="Times New Roman" w:cs="Times New Roman"/>
          <w:color w:val="auto"/>
          <w:highlight w:val="none"/>
        </w:rPr>
      </w:pPr>
    </w:p>
    <w:p w14:paraId="5FD8D9F5">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pPr>
      <w:bookmarkStart w:id="719" w:name="_Toc6728"/>
      <w:r>
        <w:rPr>
          <w:rFonts w:hint="default" w:ascii="Times New Roman" w:hAnsi="Times New Roman" w:eastAsia="黑体" w:cs="Times New Roman"/>
          <w:bCs/>
          <w:snapToGrid w:val="0"/>
          <w:color w:val="auto"/>
          <w:kern w:val="0"/>
          <w:szCs w:val="32"/>
          <w:highlight w:val="none"/>
        </w:rPr>
        <w:t>附表5建设项目声环境影响评价自查表</w:t>
      </w:r>
      <w:bookmarkEnd w:id="719"/>
    </w:p>
    <w:tbl>
      <w:tblPr>
        <w:tblStyle w:val="4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01"/>
        <w:gridCol w:w="1625"/>
        <w:gridCol w:w="1342"/>
        <w:gridCol w:w="1132"/>
        <w:gridCol w:w="1300"/>
        <w:gridCol w:w="1876"/>
      </w:tblGrid>
      <w:tr w14:paraId="52AD79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579" w:type="pct"/>
            <w:gridSpan w:val="2"/>
            <w:vAlign w:val="center"/>
          </w:tcPr>
          <w:p w14:paraId="584A943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工作内容</w:t>
            </w:r>
          </w:p>
        </w:tc>
        <w:tc>
          <w:tcPr>
            <w:tcW w:w="3421" w:type="pct"/>
            <w:gridSpan w:val="4"/>
            <w:vAlign w:val="center"/>
          </w:tcPr>
          <w:p w14:paraId="2C87DBD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自查项目</w:t>
            </w:r>
          </w:p>
        </w:tc>
      </w:tr>
      <w:tr w14:paraId="0D1AA1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restart"/>
            <w:vAlign w:val="center"/>
          </w:tcPr>
          <w:p w14:paraId="51B0EBF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评价等级</w:t>
            </w:r>
          </w:p>
          <w:p w14:paraId="1078F387">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与范围</w:t>
            </w:r>
          </w:p>
        </w:tc>
        <w:tc>
          <w:tcPr>
            <w:tcW w:w="982" w:type="pct"/>
            <w:vAlign w:val="center"/>
          </w:tcPr>
          <w:p w14:paraId="4016C47A">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评价等级</w:t>
            </w:r>
          </w:p>
        </w:tc>
        <w:tc>
          <w:tcPr>
            <w:tcW w:w="3421" w:type="pct"/>
            <w:gridSpan w:val="4"/>
            <w:vAlign w:val="center"/>
          </w:tcPr>
          <w:p w14:paraId="32E14C8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一级□  二级√    三级□</w:t>
            </w:r>
          </w:p>
        </w:tc>
      </w:tr>
      <w:tr w14:paraId="08A843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7C425E96">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65BAC38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评价范围</w:t>
            </w:r>
          </w:p>
        </w:tc>
        <w:tc>
          <w:tcPr>
            <w:tcW w:w="3421" w:type="pct"/>
            <w:gridSpan w:val="4"/>
            <w:vAlign w:val="center"/>
          </w:tcPr>
          <w:p w14:paraId="26B35E4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200m√  大于200m□  小于200□</w:t>
            </w:r>
          </w:p>
        </w:tc>
      </w:tr>
      <w:tr w14:paraId="7B4618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6B7F9E72">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7A7D2A95">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评价因子</w:t>
            </w:r>
          </w:p>
        </w:tc>
        <w:tc>
          <w:tcPr>
            <w:tcW w:w="3421" w:type="pct"/>
            <w:gridSpan w:val="4"/>
            <w:vAlign w:val="center"/>
          </w:tcPr>
          <w:p w14:paraId="183CDCB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等效连续A声级√  最大A声级□  计权等效连续感觉噪声级□</w:t>
            </w:r>
          </w:p>
        </w:tc>
      </w:tr>
      <w:tr w14:paraId="24C436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3A3AD9B3">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6DE90D1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评价标准</w:t>
            </w:r>
          </w:p>
        </w:tc>
        <w:tc>
          <w:tcPr>
            <w:tcW w:w="3421" w:type="pct"/>
            <w:gridSpan w:val="4"/>
            <w:vAlign w:val="center"/>
          </w:tcPr>
          <w:p w14:paraId="49702BB6">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国家标准√  地方标准□  国外标准□</w:t>
            </w:r>
          </w:p>
        </w:tc>
      </w:tr>
      <w:tr w14:paraId="0F7AA2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restart"/>
            <w:vAlign w:val="center"/>
          </w:tcPr>
          <w:p w14:paraId="27117A4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现状评价</w:t>
            </w:r>
          </w:p>
        </w:tc>
        <w:tc>
          <w:tcPr>
            <w:tcW w:w="982" w:type="pct"/>
            <w:vAlign w:val="center"/>
          </w:tcPr>
          <w:p w14:paraId="69A39C6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环境功能区</w:t>
            </w:r>
          </w:p>
        </w:tc>
        <w:tc>
          <w:tcPr>
            <w:tcW w:w="3421" w:type="pct"/>
            <w:gridSpan w:val="4"/>
            <w:vAlign w:val="center"/>
          </w:tcPr>
          <w:p w14:paraId="1425D3AD">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0类区□  1类区√ 2类区 □  3类区□   4a类区□   4b 类区□</w:t>
            </w:r>
          </w:p>
        </w:tc>
      </w:tr>
      <w:tr w14:paraId="1422E0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32A4AF55">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36E1524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评价年度</w:t>
            </w:r>
          </w:p>
        </w:tc>
        <w:tc>
          <w:tcPr>
            <w:tcW w:w="3421" w:type="pct"/>
            <w:gridSpan w:val="4"/>
            <w:vAlign w:val="center"/>
          </w:tcPr>
          <w:p w14:paraId="61A60A74">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初期□ 近期√ 中期□ 远期□</w:t>
            </w:r>
          </w:p>
        </w:tc>
      </w:tr>
      <w:tr w14:paraId="53E014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4D015722">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2297131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现状调查方法</w:t>
            </w:r>
          </w:p>
        </w:tc>
        <w:tc>
          <w:tcPr>
            <w:tcW w:w="3421" w:type="pct"/>
            <w:gridSpan w:val="4"/>
            <w:vAlign w:val="center"/>
          </w:tcPr>
          <w:p w14:paraId="5D7BEC4F">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现场实测法√  现场实测加模型计算法□  收集资料□</w:t>
            </w:r>
          </w:p>
        </w:tc>
      </w:tr>
      <w:tr w14:paraId="7BB967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47472D73">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047DB2D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现状评价</w:t>
            </w:r>
          </w:p>
        </w:tc>
        <w:tc>
          <w:tcPr>
            <w:tcW w:w="811" w:type="pct"/>
            <w:vAlign w:val="center"/>
          </w:tcPr>
          <w:p w14:paraId="352D274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达标百分比</w:t>
            </w:r>
          </w:p>
        </w:tc>
        <w:tc>
          <w:tcPr>
            <w:tcW w:w="2611" w:type="pct"/>
            <w:gridSpan w:val="3"/>
            <w:vAlign w:val="center"/>
          </w:tcPr>
          <w:p w14:paraId="363DA4CC">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100%</w:t>
            </w:r>
          </w:p>
        </w:tc>
      </w:tr>
      <w:tr w14:paraId="593159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Align w:val="center"/>
          </w:tcPr>
          <w:p w14:paraId="5D6935ED">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噪声源调查</w:t>
            </w:r>
          </w:p>
        </w:tc>
        <w:tc>
          <w:tcPr>
            <w:tcW w:w="982" w:type="pct"/>
            <w:vAlign w:val="center"/>
          </w:tcPr>
          <w:p w14:paraId="084872C7">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噪声源调查方法</w:t>
            </w:r>
          </w:p>
        </w:tc>
        <w:tc>
          <w:tcPr>
            <w:tcW w:w="3421" w:type="pct"/>
            <w:gridSpan w:val="4"/>
            <w:vAlign w:val="center"/>
          </w:tcPr>
          <w:p w14:paraId="7B6D6BFB">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现场实测√ 已有资料□ 研究成果□</w:t>
            </w:r>
          </w:p>
        </w:tc>
      </w:tr>
      <w:tr w14:paraId="348A24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restart"/>
            <w:vAlign w:val="center"/>
          </w:tcPr>
          <w:p w14:paraId="7CB026E9">
            <w:pPr>
              <w:spacing w:line="240" w:lineRule="auto"/>
              <w:ind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eastAsia="仿宋" w:cs="Times New Roman"/>
                <w:color w:val="auto"/>
                <w:sz w:val="21"/>
                <w:szCs w:val="21"/>
                <w:highlight w:val="none"/>
              </w:rPr>
              <w:t>声环境影响预测与评价</w:t>
            </w:r>
          </w:p>
        </w:tc>
        <w:tc>
          <w:tcPr>
            <w:tcW w:w="982" w:type="pct"/>
            <w:vAlign w:val="center"/>
          </w:tcPr>
          <w:p w14:paraId="6DE398E0">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预测模型</w:t>
            </w:r>
          </w:p>
        </w:tc>
        <w:tc>
          <w:tcPr>
            <w:tcW w:w="3421" w:type="pct"/>
            <w:gridSpan w:val="4"/>
            <w:vAlign w:val="center"/>
          </w:tcPr>
          <w:p w14:paraId="1095CA48">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导则推荐模型√  其他□</w:t>
            </w:r>
          </w:p>
        </w:tc>
      </w:tr>
      <w:tr w14:paraId="7D61B9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3661A741">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709604E8">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预测范围</w:t>
            </w:r>
          </w:p>
        </w:tc>
        <w:tc>
          <w:tcPr>
            <w:tcW w:w="3421" w:type="pct"/>
            <w:gridSpan w:val="4"/>
            <w:vAlign w:val="center"/>
          </w:tcPr>
          <w:p w14:paraId="19EE04E5">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200m√   大于200m□  小于200m□</w:t>
            </w:r>
          </w:p>
        </w:tc>
      </w:tr>
      <w:tr w14:paraId="2DEE4C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74930BE6">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596DB093">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厂界噪声贡献值</w:t>
            </w:r>
          </w:p>
        </w:tc>
        <w:tc>
          <w:tcPr>
            <w:tcW w:w="3421" w:type="pct"/>
            <w:gridSpan w:val="4"/>
            <w:vAlign w:val="center"/>
          </w:tcPr>
          <w:p w14:paraId="672E1C5B">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达标√    不达标□</w:t>
            </w:r>
          </w:p>
        </w:tc>
      </w:tr>
      <w:tr w14:paraId="7859E3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6BE5C42B">
            <w:pPr>
              <w:widowControl/>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3B66047C">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声环境保护目标处</w:t>
            </w:r>
          </w:p>
        </w:tc>
        <w:tc>
          <w:tcPr>
            <w:tcW w:w="3421" w:type="pct"/>
            <w:gridSpan w:val="4"/>
            <w:vAlign w:val="center"/>
          </w:tcPr>
          <w:p w14:paraId="2019FE2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达标□    不达标□</w:t>
            </w:r>
          </w:p>
        </w:tc>
      </w:tr>
      <w:tr w14:paraId="1670AA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restart"/>
            <w:vAlign w:val="center"/>
          </w:tcPr>
          <w:p w14:paraId="3CE7D7A3">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环境监测</w:t>
            </w:r>
          </w:p>
          <w:p w14:paraId="3B76927B">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计划</w:t>
            </w:r>
          </w:p>
        </w:tc>
        <w:tc>
          <w:tcPr>
            <w:tcW w:w="982" w:type="pct"/>
            <w:vAlign w:val="center"/>
          </w:tcPr>
          <w:p w14:paraId="04CE3E99">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排放监测</w:t>
            </w:r>
          </w:p>
        </w:tc>
        <w:tc>
          <w:tcPr>
            <w:tcW w:w="3421" w:type="pct"/>
            <w:gridSpan w:val="4"/>
            <w:vAlign w:val="center"/>
          </w:tcPr>
          <w:p w14:paraId="13EBE015">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厂界监测√  固定位置监测□  自动监测□ 手动监测√  无监测□</w:t>
            </w:r>
          </w:p>
        </w:tc>
      </w:tr>
      <w:tr w14:paraId="0A2835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97" w:type="pct"/>
            <w:vMerge w:val="continue"/>
            <w:vAlign w:val="center"/>
          </w:tcPr>
          <w:p w14:paraId="48A812CE">
            <w:pPr>
              <w:spacing w:line="240" w:lineRule="auto"/>
              <w:ind w:firstLine="0" w:firstLineChars="0"/>
              <w:jc w:val="center"/>
              <w:rPr>
                <w:rFonts w:hint="default" w:ascii="Times New Roman" w:hAnsi="Times New Roman" w:eastAsia="仿宋" w:cs="Times New Roman"/>
                <w:color w:val="auto"/>
                <w:sz w:val="21"/>
                <w:szCs w:val="21"/>
                <w:highlight w:val="none"/>
              </w:rPr>
            </w:pPr>
          </w:p>
        </w:tc>
        <w:tc>
          <w:tcPr>
            <w:tcW w:w="982" w:type="pct"/>
            <w:vAlign w:val="center"/>
          </w:tcPr>
          <w:p w14:paraId="6508E351">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声环境保护目标处噪声监测</w:t>
            </w:r>
          </w:p>
        </w:tc>
        <w:tc>
          <w:tcPr>
            <w:tcW w:w="1495" w:type="pct"/>
            <w:gridSpan w:val="2"/>
            <w:vAlign w:val="center"/>
          </w:tcPr>
          <w:p w14:paraId="59153438">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监测因子：（</w:t>
            </w:r>
            <w:r>
              <w:rPr>
                <w:rFonts w:hint="eastAsia" w:eastAsia="仿宋" w:cs="Times New Roman"/>
                <w:color w:val="auto"/>
                <w:sz w:val="21"/>
                <w:szCs w:val="21"/>
                <w:highlight w:val="none"/>
                <w:lang w:val="en-US" w:eastAsia="zh-CN"/>
              </w:rPr>
              <w:t>厂界噪声</w:t>
            </w:r>
            <w:r>
              <w:rPr>
                <w:rFonts w:hint="default" w:ascii="Times New Roman" w:hAnsi="Times New Roman" w:eastAsia="仿宋" w:cs="Times New Roman"/>
                <w:color w:val="auto"/>
                <w:sz w:val="21"/>
                <w:szCs w:val="21"/>
                <w:highlight w:val="none"/>
              </w:rPr>
              <w:t>）</w:t>
            </w:r>
          </w:p>
        </w:tc>
        <w:tc>
          <w:tcPr>
            <w:tcW w:w="785" w:type="pct"/>
            <w:vAlign w:val="center"/>
          </w:tcPr>
          <w:p w14:paraId="2A8E650F">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点位数（</w:t>
            </w:r>
            <w:r>
              <w:rPr>
                <w:rFonts w:hint="eastAsia" w:eastAsia="仿宋" w:cs="Times New Roman"/>
                <w:color w:val="auto"/>
                <w:sz w:val="21"/>
                <w:szCs w:val="21"/>
                <w:highlight w:val="none"/>
                <w:lang w:val="en-US" w:eastAsia="zh-CN"/>
              </w:rPr>
              <w:t>4</w:t>
            </w:r>
            <w:r>
              <w:rPr>
                <w:rFonts w:hint="default" w:ascii="Times New Roman" w:hAnsi="Times New Roman" w:eastAsia="仿宋" w:cs="Times New Roman"/>
                <w:color w:val="auto"/>
                <w:sz w:val="21"/>
                <w:szCs w:val="21"/>
                <w:highlight w:val="none"/>
              </w:rPr>
              <w:t>）</w:t>
            </w:r>
          </w:p>
        </w:tc>
        <w:tc>
          <w:tcPr>
            <w:tcW w:w="1141" w:type="pct"/>
            <w:vAlign w:val="center"/>
          </w:tcPr>
          <w:p w14:paraId="6A35E6FF">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无监测√</w:t>
            </w:r>
          </w:p>
        </w:tc>
      </w:tr>
      <w:tr w14:paraId="2E48C4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605" w:type="pct"/>
            <w:vAlign w:val="center"/>
          </w:tcPr>
          <w:p w14:paraId="2B35E6F2">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评价结论</w:t>
            </w:r>
          </w:p>
        </w:tc>
        <w:tc>
          <w:tcPr>
            <w:tcW w:w="974" w:type="pct"/>
            <w:vAlign w:val="center"/>
          </w:tcPr>
          <w:p w14:paraId="02853BAA">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环境影响</w:t>
            </w:r>
          </w:p>
        </w:tc>
        <w:tc>
          <w:tcPr>
            <w:tcW w:w="3421" w:type="pct"/>
            <w:gridSpan w:val="4"/>
            <w:vAlign w:val="center"/>
          </w:tcPr>
          <w:p w14:paraId="2E8AF5FF">
            <w:pPr>
              <w:autoSpaceDE w:val="0"/>
              <w:autoSpaceDN w:val="0"/>
              <w:snapToGrid/>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可行√    不可行□</w:t>
            </w:r>
          </w:p>
        </w:tc>
      </w:tr>
      <w:tr w14:paraId="297221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5000" w:type="pct"/>
            <w:gridSpan w:val="6"/>
            <w:vAlign w:val="center"/>
          </w:tcPr>
          <w:p w14:paraId="66650FD0">
            <w:pPr>
              <w:spacing w:line="240" w:lineRule="auto"/>
              <w:ind w:firstLine="0" w:firstLineChars="0"/>
              <w:jc w:val="center"/>
              <w:rPr>
                <w:rFonts w:hint="default" w:ascii="Times New Roman" w:hAnsi="Times New Roman" w:eastAsia="仿宋" w:cs="Times New Roman"/>
                <w:color w:val="auto"/>
                <w:sz w:val="21"/>
                <w:szCs w:val="21"/>
                <w:highlight w:val="none"/>
              </w:rPr>
            </w:pPr>
            <w:r>
              <w:rPr>
                <w:rFonts w:hint="default" w:ascii="Times New Roman" w:hAnsi="Times New Roman" w:eastAsia="仿宋" w:cs="Times New Roman"/>
                <w:color w:val="auto"/>
                <w:sz w:val="21"/>
                <w:szCs w:val="21"/>
                <w:highlight w:val="none"/>
              </w:rPr>
              <w:t>注：“□” 为勾选项，可√ ；“（）” 为内容填写项。</w:t>
            </w:r>
          </w:p>
        </w:tc>
      </w:tr>
    </w:tbl>
    <w:p w14:paraId="59A647C8">
      <w:pPr>
        <w:pStyle w:val="67"/>
        <w:ind w:firstLine="0" w:firstLineChars="0"/>
        <w:jc w:val="center"/>
        <w:rPr>
          <w:rFonts w:hint="default" w:ascii="Times New Roman" w:hAnsi="Times New Roman" w:cs="Times New Roman"/>
          <w:color w:val="auto"/>
          <w:highlight w:val="none"/>
        </w:rPr>
      </w:pPr>
    </w:p>
    <w:p w14:paraId="35CEF743">
      <w:pPr>
        <w:pStyle w:val="67"/>
        <w:ind w:firstLine="0" w:firstLineChars="0"/>
        <w:jc w:val="center"/>
        <w:rPr>
          <w:rFonts w:hint="default" w:ascii="Times New Roman" w:hAnsi="Times New Roman" w:cs="Times New Roman"/>
          <w:color w:val="auto"/>
          <w:highlight w:val="none"/>
        </w:rPr>
      </w:pPr>
    </w:p>
    <w:p w14:paraId="7F7E43A9">
      <w:pPr>
        <w:pStyle w:val="67"/>
        <w:ind w:firstLine="0" w:firstLineChars="0"/>
        <w:jc w:val="center"/>
        <w:rPr>
          <w:rFonts w:hint="default" w:ascii="Times New Roman" w:hAnsi="Times New Roman" w:cs="Times New Roman"/>
          <w:color w:val="auto"/>
          <w:highlight w:val="none"/>
        </w:rPr>
      </w:pPr>
    </w:p>
    <w:p w14:paraId="6C145FCD">
      <w:pPr>
        <w:pStyle w:val="67"/>
        <w:ind w:firstLine="0" w:firstLineChars="0"/>
        <w:rPr>
          <w:rFonts w:hint="default" w:ascii="Times New Roman" w:hAnsi="Times New Roman" w:cs="Times New Roman"/>
          <w:color w:val="auto"/>
          <w:highlight w:val="none"/>
        </w:rPr>
      </w:pPr>
    </w:p>
    <w:p w14:paraId="33384360">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pPr>
    </w:p>
    <w:p w14:paraId="630A3F9B">
      <w:pPr>
        <w:keepNext/>
        <w:keepLines/>
        <w:spacing w:line="500" w:lineRule="exact"/>
        <w:ind w:firstLine="0" w:firstLineChars="0"/>
        <w:jc w:val="left"/>
        <w:outlineLvl w:val="2"/>
        <w:rPr>
          <w:rFonts w:hint="default" w:ascii="Times New Roman" w:hAnsi="Times New Roman" w:eastAsia="黑体" w:cs="Times New Roman"/>
          <w:bCs/>
          <w:snapToGrid w:val="0"/>
          <w:color w:val="auto"/>
          <w:kern w:val="0"/>
          <w:szCs w:val="32"/>
          <w:highlight w:val="none"/>
        </w:rPr>
      </w:pPr>
      <w:bookmarkStart w:id="720" w:name="_Toc10271"/>
      <w:r>
        <w:rPr>
          <w:rFonts w:hint="default" w:ascii="Times New Roman" w:hAnsi="Times New Roman" w:eastAsia="黑体" w:cs="Times New Roman"/>
          <w:bCs/>
          <w:snapToGrid w:val="0"/>
          <w:color w:val="auto"/>
          <w:kern w:val="0"/>
          <w:szCs w:val="32"/>
          <w:highlight w:val="none"/>
        </w:rPr>
        <w:t>附表6建设项目生态环境影响评价自查表</w:t>
      </w:r>
      <w:bookmarkEnd w:id="720"/>
    </w:p>
    <w:tbl>
      <w:tblPr>
        <w:tblStyle w:val="47"/>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965"/>
        <w:gridCol w:w="1346"/>
        <w:gridCol w:w="5965"/>
      </w:tblGrid>
      <w:tr w14:paraId="29F4EF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6" w:hRule="atLeast"/>
          <w:jc w:val="center"/>
        </w:trPr>
        <w:tc>
          <w:tcPr>
            <w:tcW w:w="1396" w:type="pct"/>
            <w:gridSpan w:val="2"/>
            <w:vAlign w:val="center"/>
          </w:tcPr>
          <w:p w14:paraId="592E341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工作内</w:t>
            </w:r>
            <w:r>
              <w:rPr>
                <w:rFonts w:hint="default" w:ascii="Times New Roman" w:hAnsi="Times New Roman" w:eastAsia="仿宋" w:cs="Times New Roman"/>
                <w:color w:val="auto"/>
                <w:spacing w:val="-1"/>
                <w:sz w:val="18"/>
                <w:szCs w:val="18"/>
                <w:highlight w:val="none"/>
              </w:rPr>
              <w:t>容</w:t>
            </w:r>
          </w:p>
        </w:tc>
        <w:tc>
          <w:tcPr>
            <w:tcW w:w="3604" w:type="pct"/>
            <w:vAlign w:val="center"/>
          </w:tcPr>
          <w:p w14:paraId="469F603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0"/>
                <w:sz w:val="18"/>
                <w:szCs w:val="18"/>
                <w:highlight w:val="none"/>
              </w:rPr>
              <w:t>自</w:t>
            </w:r>
            <w:r>
              <w:rPr>
                <w:rFonts w:hint="default" w:ascii="Times New Roman" w:hAnsi="Times New Roman" w:eastAsia="仿宋" w:cs="Times New Roman"/>
                <w:color w:val="auto"/>
                <w:spacing w:val="-9"/>
                <w:sz w:val="18"/>
                <w:szCs w:val="18"/>
                <w:highlight w:val="none"/>
              </w:rPr>
              <w:t>查项目</w:t>
            </w:r>
          </w:p>
        </w:tc>
      </w:tr>
      <w:tr w14:paraId="5362C3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77" w:hRule="atLeast"/>
          <w:jc w:val="center"/>
        </w:trPr>
        <w:tc>
          <w:tcPr>
            <w:tcW w:w="583" w:type="pct"/>
            <w:vMerge w:val="restart"/>
            <w:vAlign w:val="center"/>
          </w:tcPr>
          <w:p w14:paraId="58AF5D32">
            <w:pPr>
              <w:spacing w:line="240" w:lineRule="auto"/>
              <w:ind w:firstLine="0" w:firstLineChars="0"/>
              <w:jc w:val="center"/>
              <w:rPr>
                <w:rFonts w:hint="default" w:ascii="Times New Roman" w:hAnsi="Times New Roman" w:eastAsia="仿宋" w:cs="Times New Roman"/>
                <w:color w:val="auto"/>
                <w:spacing w:val="-2"/>
                <w:sz w:val="18"/>
                <w:szCs w:val="18"/>
                <w:highlight w:val="none"/>
              </w:rPr>
            </w:pPr>
            <w:r>
              <w:rPr>
                <w:rFonts w:hint="default" w:ascii="Times New Roman" w:hAnsi="Times New Roman" w:eastAsia="仿宋" w:cs="Times New Roman"/>
                <w:color w:val="auto"/>
                <w:spacing w:val="-3"/>
                <w:sz w:val="18"/>
                <w:szCs w:val="18"/>
                <w:highlight w:val="none"/>
              </w:rPr>
              <w:t>生</w:t>
            </w:r>
            <w:r>
              <w:rPr>
                <w:rFonts w:hint="default" w:ascii="Times New Roman" w:hAnsi="Times New Roman" w:eastAsia="仿宋" w:cs="Times New Roman"/>
                <w:color w:val="auto"/>
                <w:spacing w:val="-2"/>
                <w:sz w:val="18"/>
                <w:szCs w:val="18"/>
                <w:highlight w:val="none"/>
              </w:rPr>
              <w:t>态影响</w:t>
            </w:r>
          </w:p>
          <w:p w14:paraId="0A5FBDF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3"/>
                <w:sz w:val="18"/>
                <w:szCs w:val="18"/>
                <w:highlight w:val="none"/>
              </w:rPr>
              <w:t>识</w:t>
            </w:r>
            <w:r>
              <w:rPr>
                <w:rFonts w:hint="default" w:ascii="Times New Roman" w:hAnsi="Times New Roman" w:eastAsia="仿宋" w:cs="Times New Roman"/>
                <w:color w:val="auto"/>
                <w:spacing w:val="-2"/>
                <w:sz w:val="18"/>
                <w:szCs w:val="18"/>
                <w:highlight w:val="none"/>
              </w:rPr>
              <w:t>别</w:t>
            </w:r>
          </w:p>
        </w:tc>
        <w:tc>
          <w:tcPr>
            <w:tcW w:w="813" w:type="pct"/>
            <w:vAlign w:val="center"/>
          </w:tcPr>
          <w:p w14:paraId="463B6F5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生态</w:t>
            </w:r>
            <w:r>
              <w:rPr>
                <w:rFonts w:hint="default" w:ascii="Times New Roman" w:hAnsi="Times New Roman" w:eastAsia="仿宋" w:cs="Times New Roman"/>
                <w:color w:val="auto"/>
                <w:spacing w:val="-1"/>
                <w:sz w:val="18"/>
                <w:szCs w:val="18"/>
                <w:highlight w:val="none"/>
              </w:rPr>
              <w:t>保护目标</w:t>
            </w:r>
          </w:p>
        </w:tc>
        <w:tc>
          <w:tcPr>
            <w:tcW w:w="3604" w:type="pct"/>
            <w:vAlign w:val="center"/>
          </w:tcPr>
          <w:p w14:paraId="61B1EC51">
            <w:pPr>
              <w:spacing w:line="240" w:lineRule="auto"/>
              <w:ind w:firstLine="0" w:firstLineChars="0"/>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6"/>
                <w:sz w:val="18"/>
                <w:szCs w:val="18"/>
                <w:highlight w:val="none"/>
              </w:rPr>
              <w:t>重</w:t>
            </w:r>
            <w:r>
              <w:rPr>
                <w:rFonts w:hint="default" w:ascii="Times New Roman" w:hAnsi="Times New Roman" w:eastAsia="仿宋" w:cs="Times New Roman"/>
                <w:color w:val="auto"/>
                <w:spacing w:val="-3"/>
                <w:sz w:val="18"/>
                <w:szCs w:val="18"/>
                <w:highlight w:val="none"/>
              </w:rPr>
              <w:t>要物种</w:t>
            </w:r>
            <w:r>
              <w:rPr>
                <w:rFonts w:hint="default" w:ascii="Times New Roman" w:hAnsi="Times New Roman" w:eastAsia="仿宋" w:cs="Times New Roman"/>
                <w:color w:val="auto"/>
                <w:spacing w:val="-3"/>
                <w:sz w:val="18"/>
                <w:szCs w:val="18"/>
                <w:highlight w:val="none"/>
              </w:rPr>
              <w:sym w:font="Wingdings 2" w:char="00A3"/>
            </w:r>
            <w:r>
              <w:rPr>
                <w:rFonts w:hint="default" w:ascii="Times New Roman" w:hAnsi="Times New Roman" w:eastAsia="仿宋" w:cs="Times New Roman"/>
                <w:color w:val="auto"/>
                <w:spacing w:val="-3"/>
                <w:sz w:val="18"/>
                <w:szCs w:val="18"/>
                <w:highlight w:val="none"/>
              </w:rPr>
              <w:t>；国家公园</w:t>
            </w:r>
            <w:r>
              <w:rPr>
                <w:rFonts w:hint="default" w:ascii="Times New Roman" w:hAnsi="Times New Roman" w:eastAsia="仿宋" w:cs="Times New Roman"/>
                <w:color w:val="auto"/>
                <w:spacing w:val="-3"/>
                <w:sz w:val="18"/>
                <w:szCs w:val="18"/>
                <w:highlight w:val="none"/>
              </w:rPr>
              <w:sym w:font="Wingdings 2" w:char="00A3"/>
            </w:r>
            <w:r>
              <w:rPr>
                <w:rFonts w:hint="default" w:ascii="Times New Roman" w:hAnsi="Times New Roman" w:eastAsia="仿宋" w:cs="Times New Roman"/>
                <w:color w:val="auto"/>
                <w:spacing w:val="-3"/>
                <w:sz w:val="18"/>
                <w:szCs w:val="18"/>
                <w:highlight w:val="none"/>
              </w:rPr>
              <w:t>； 自然保护区</w:t>
            </w:r>
            <w:r>
              <w:rPr>
                <w:rFonts w:hint="default" w:ascii="Times New Roman" w:hAnsi="Times New Roman" w:eastAsia="仿宋" w:cs="Times New Roman"/>
                <w:color w:val="auto"/>
                <w:spacing w:val="-3"/>
                <w:sz w:val="18"/>
                <w:szCs w:val="18"/>
                <w:highlight w:val="none"/>
              </w:rPr>
              <w:sym w:font="Wingdings 2" w:char="00A3"/>
            </w:r>
            <w:r>
              <w:rPr>
                <w:rFonts w:hint="default" w:ascii="Times New Roman" w:hAnsi="Times New Roman" w:eastAsia="仿宋" w:cs="Times New Roman"/>
                <w:color w:val="auto"/>
                <w:spacing w:val="-3"/>
                <w:sz w:val="18"/>
                <w:szCs w:val="18"/>
                <w:highlight w:val="none"/>
              </w:rPr>
              <w:t>； 自然公园</w:t>
            </w:r>
            <w:r>
              <w:rPr>
                <w:rFonts w:hint="default" w:ascii="Times New Roman" w:hAnsi="Times New Roman" w:eastAsia="仿宋" w:cs="Times New Roman"/>
                <w:color w:val="auto"/>
                <w:spacing w:val="-3"/>
                <w:sz w:val="18"/>
                <w:szCs w:val="18"/>
                <w:highlight w:val="none"/>
              </w:rPr>
              <w:sym w:font="Wingdings 2" w:char="00A3"/>
            </w:r>
            <w:r>
              <w:rPr>
                <w:rFonts w:hint="default" w:ascii="Times New Roman" w:hAnsi="Times New Roman" w:eastAsia="仿宋" w:cs="Times New Roman"/>
                <w:color w:val="auto"/>
                <w:spacing w:val="-3"/>
                <w:sz w:val="18"/>
                <w:szCs w:val="18"/>
                <w:highlight w:val="none"/>
              </w:rPr>
              <w:t>；世界自然遗产</w:t>
            </w:r>
            <w:r>
              <w:rPr>
                <w:rFonts w:hint="default" w:ascii="Times New Roman" w:hAnsi="Times New Roman" w:eastAsia="仿宋" w:cs="Times New Roman"/>
                <w:color w:val="auto"/>
                <w:spacing w:val="-3"/>
                <w:sz w:val="18"/>
                <w:szCs w:val="18"/>
                <w:highlight w:val="none"/>
              </w:rPr>
              <w:sym w:font="Wingdings 2" w:char="00A3"/>
            </w:r>
            <w:r>
              <w:rPr>
                <w:rFonts w:hint="default" w:ascii="Times New Roman" w:hAnsi="Times New Roman" w:eastAsia="仿宋" w:cs="Times New Roman"/>
                <w:color w:val="auto"/>
                <w:spacing w:val="-3"/>
                <w:sz w:val="18"/>
                <w:szCs w:val="18"/>
                <w:highlight w:val="none"/>
              </w:rPr>
              <w:t>；生态保护</w:t>
            </w:r>
            <w:r>
              <w:rPr>
                <w:rFonts w:hint="default" w:ascii="Times New Roman" w:hAnsi="Times New Roman" w:eastAsia="仿宋" w:cs="Times New Roman"/>
                <w:color w:val="auto"/>
                <w:spacing w:val="2"/>
                <w:sz w:val="18"/>
                <w:szCs w:val="18"/>
                <w:highlight w:val="none"/>
              </w:rPr>
              <w:t>红线</w:t>
            </w:r>
            <w:r>
              <w:rPr>
                <w:rFonts w:hint="default" w:ascii="Times New Roman" w:hAnsi="Times New Roman" w:eastAsia="仿宋" w:cs="Times New Roman"/>
                <w:color w:val="auto"/>
                <w:spacing w:val="2"/>
                <w:sz w:val="18"/>
                <w:szCs w:val="18"/>
                <w:highlight w:val="none"/>
              </w:rPr>
              <w:sym w:font="Wingdings 2" w:char="00A3"/>
            </w:r>
            <w:r>
              <w:rPr>
                <w:rFonts w:hint="default" w:ascii="Times New Roman" w:hAnsi="Times New Roman" w:eastAsia="仿宋" w:cs="Times New Roman"/>
                <w:color w:val="auto"/>
                <w:spacing w:val="2"/>
                <w:sz w:val="18"/>
                <w:szCs w:val="18"/>
                <w:highlight w:val="none"/>
              </w:rPr>
              <w:t>；重要生境</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2"/>
                <w:sz w:val="18"/>
                <w:szCs w:val="18"/>
                <w:highlight w:val="none"/>
              </w:rPr>
              <w:t>；其他具有重要生态</w:t>
            </w:r>
            <w:r>
              <w:rPr>
                <w:rFonts w:hint="default" w:ascii="Times New Roman" w:hAnsi="Times New Roman" w:eastAsia="仿宋" w:cs="Times New Roman"/>
                <w:color w:val="auto"/>
                <w:spacing w:val="1"/>
                <w:sz w:val="18"/>
                <w:szCs w:val="18"/>
                <w:highlight w:val="none"/>
              </w:rPr>
              <w:t>功能、对保护生物多样性具有重要意义的区</w:t>
            </w:r>
            <w:r>
              <w:rPr>
                <w:rFonts w:hint="default" w:ascii="Times New Roman" w:hAnsi="Times New Roman" w:eastAsia="仿宋" w:cs="Times New Roman"/>
                <w:color w:val="auto"/>
                <w:spacing w:val="-2"/>
                <w:sz w:val="18"/>
                <w:szCs w:val="18"/>
                <w:highlight w:val="none"/>
              </w:rPr>
              <w:t>域</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1"/>
                <w:sz w:val="18"/>
                <w:szCs w:val="18"/>
                <w:highlight w:val="none"/>
              </w:rPr>
              <w:t>；其他</w:t>
            </w:r>
            <w:r>
              <w:rPr>
                <w:rFonts w:hint="default" w:ascii="Times New Roman" w:hAnsi="Times New Roman" w:eastAsia="仿宋" w:cs="Times New Roman"/>
                <w:color w:val="auto"/>
                <w:spacing w:val="-1"/>
                <w:sz w:val="18"/>
                <w:szCs w:val="18"/>
                <w:highlight w:val="none"/>
              </w:rPr>
              <w:sym w:font="Wingdings 2" w:char="00A3"/>
            </w:r>
          </w:p>
        </w:tc>
      </w:tr>
      <w:tr w14:paraId="71A7735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583" w:type="pct"/>
            <w:vMerge w:val="continue"/>
            <w:vAlign w:val="center"/>
          </w:tcPr>
          <w:p w14:paraId="4E0AA383">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14B8FBA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影响</w:t>
            </w:r>
            <w:r>
              <w:rPr>
                <w:rFonts w:hint="default" w:ascii="Times New Roman" w:hAnsi="Times New Roman" w:eastAsia="仿宋" w:cs="Times New Roman"/>
                <w:color w:val="auto"/>
                <w:spacing w:val="-1"/>
                <w:sz w:val="18"/>
                <w:szCs w:val="18"/>
                <w:highlight w:val="none"/>
              </w:rPr>
              <w:t>方式</w:t>
            </w:r>
          </w:p>
        </w:tc>
        <w:tc>
          <w:tcPr>
            <w:tcW w:w="3604" w:type="pct"/>
            <w:vAlign w:val="center"/>
          </w:tcPr>
          <w:p w14:paraId="3246FC9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工程占用</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1"/>
                <w:sz w:val="18"/>
                <w:szCs w:val="18"/>
                <w:highlight w:val="none"/>
              </w:rPr>
              <w:t>；施工活</w:t>
            </w:r>
            <w:r>
              <w:rPr>
                <w:rFonts w:hint="default" w:ascii="Times New Roman" w:hAnsi="Times New Roman" w:eastAsia="仿宋" w:cs="Times New Roman"/>
                <w:color w:val="auto"/>
                <w:sz w:val="18"/>
                <w:szCs w:val="18"/>
                <w:highlight w:val="none"/>
              </w:rPr>
              <w:t>动干扰</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；改变环境条件</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；其他</w:t>
            </w:r>
            <w:r>
              <w:rPr>
                <w:rFonts w:hint="default" w:ascii="Times New Roman" w:hAnsi="Times New Roman" w:eastAsia="仿宋" w:cs="Times New Roman"/>
                <w:color w:val="auto"/>
                <w:sz w:val="18"/>
                <w:szCs w:val="18"/>
                <w:highlight w:val="none"/>
              </w:rPr>
              <w:sym w:font="Wingdings 2" w:char="00A3"/>
            </w:r>
          </w:p>
        </w:tc>
      </w:tr>
      <w:tr w14:paraId="4FC147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02" w:hRule="atLeast"/>
          <w:jc w:val="center"/>
        </w:trPr>
        <w:tc>
          <w:tcPr>
            <w:tcW w:w="583" w:type="pct"/>
            <w:vMerge w:val="continue"/>
            <w:vAlign w:val="center"/>
          </w:tcPr>
          <w:p w14:paraId="6C91110E">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276504F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价因子</w:t>
            </w:r>
          </w:p>
        </w:tc>
        <w:tc>
          <w:tcPr>
            <w:tcW w:w="3604" w:type="pct"/>
            <w:vAlign w:val="center"/>
          </w:tcPr>
          <w:p w14:paraId="562D9636">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物种</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pacing w:val="1"/>
                <w:sz w:val="18"/>
                <w:szCs w:val="18"/>
                <w:highlight w:val="none"/>
                <w:lang w:val="en-US" w:eastAsia="zh-CN"/>
              </w:rPr>
              <w:t>分布范围、种群数量、种群结构、行为等</w:t>
            </w:r>
            <w:r>
              <w:rPr>
                <w:rFonts w:hint="default" w:ascii="Times New Roman" w:hAnsi="Times New Roman" w:eastAsia="仿宋" w:cs="Times New Roman"/>
                <w:color w:val="auto"/>
                <w:spacing w:val="1"/>
                <w:sz w:val="18"/>
                <w:szCs w:val="18"/>
                <w:highlight w:val="none"/>
              </w:rPr>
              <w:t>）</w:t>
            </w:r>
          </w:p>
          <w:p w14:paraId="1A357E43">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生境</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pacing w:val="1"/>
                <w:sz w:val="18"/>
                <w:szCs w:val="18"/>
                <w:highlight w:val="none"/>
                <w:lang w:val="en-US" w:eastAsia="zh-CN"/>
              </w:rPr>
              <w:t>生境面积、质量、连通性等</w:t>
            </w:r>
            <w:r>
              <w:rPr>
                <w:rFonts w:hint="default" w:ascii="Times New Roman" w:hAnsi="Times New Roman" w:eastAsia="仿宋" w:cs="Times New Roman"/>
                <w:color w:val="auto"/>
                <w:spacing w:val="1"/>
                <w:sz w:val="18"/>
                <w:szCs w:val="18"/>
                <w:highlight w:val="none"/>
              </w:rPr>
              <w:t>）</w:t>
            </w:r>
          </w:p>
          <w:p w14:paraId="4D873432">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生物群落</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pacing w:val="1"/>
                <w:sz w:val="18"/>
                <w:szCs w:val="18"/>
                <w:highlight w:val="none"/>
                <w:lang w:val="en-US" w:eastAsia="zh-CN"/>
              </w:rPr>
              <w:t>物种组成、群落结构</w:t>
            </w:r>
            <w:r>
              <w:rPr>
                <w:rFonts w:hint="default" w:ascii="Times New Roman" w:hAnsi="Times New Roman" w:eastAsia="仿宋" w:cs="Times New Roman"/>
                <w:color w:val="auto"/>
                <w:spacing w:val="1"/>
                <w:sz w:val="18"/>
                <w:szCs w:val="18"/>
                <w:highlight w:val="none"/>
              </w:rPr>
              <w:t>）</w:t>
            </w:r>
          </w:p>
          <w:p w14:paraId="4E248839">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生态系统</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pacing w:val="1"/>
                <w:sz w:val="18"/>
                <w:szCs w:val="18"/>
                <w:highlight w:val="none"/>
                <w:lang w:val="en-US" w:eastAsia="zh-CN"/>
              </w:rPr>
              <w:t>植被覆盖度、生产力、生物量、生态系统功能等</w:t>
            </w:r>
            <w:r>
              <w:rPr>
                <w:rFonts w:hint="default" w:ascii="Times New Roman" w:hAnsi="Times New Roman" w:eastAsia="仿宋" w:cs="Times New Roman"/>
                <w:color w:val="auto"/>
                <w:spacing w:val="1"/>
                <w:sz w:val="18"/>
                <w:szCs w:val="18"/>
                <w:highlight w:val="none"/>
              </w:rPr>
              <w:t>）</w:t>
            </w:r>
          </w:p>
          <w:p w14:paraId="1F0BAD90">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生物多样性</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w:t>
            </w:r>
            <w:r>
              <w:rPr>
                <w:rFonts w:hint="default" w:ascii="Times New Roman" w:hAnsi="Times New Roman" w:eastAsia="仿宋" w:cs="Times New Roman"/>
                <w:color w:val="auto"/>
                <w:spacing w:val="1"/>
                <w:sz w:val="18"/>
                <w:szCs w:val="18"/>
                <w:highlight w:val="none"/>
                <w:lang w:val="en-US" w:eastAsia="zh-CN"/>
              </w:rPr>
              <w:t>物种丰富度、均匀度、优势度等</w:t>
            </w:r>
            <w:r>
              <w:rPr>
                <w:rFonts w:hint="default" w:ascii="Times New Roman" w:hAnsi="Times New Roman" w:eastAsia="仿宋" w:cs="Times New Roman"/>
                <w:color w:val="auto"/>
                <w:spacing w:val="1"/>
                <w:sz w:val="18"/>
                <w:szCs w:val="18"/>
                <w:highlight w:val="none"/>
              </w:rPr>
              <w:t>）</w:t>
            </w:r>
          </w:p>
          <w:p w14:paraId="7545E28D">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生态敏感区</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                         ）</w:t>
            </w:r>
          </w:p>
          <w:p w14:paraId="4BFAD551">
            <w:pPr>
              <w:spacing w:line="240" w:lineRule="auto"/>
              <w:ind w:firstLine="362"/>
              <w:jc w:val="left"/>
              <w:rPr>
                <w:rFonts w:hint="default" w:ascii="Times New Roman" w:hAnsi="Times New Roman" w:eastAsia="仿宋" w:cs="Times New Roman"/>
                <w:color w:val="auto"/>
                <w:spacing w:val="1"/>
                <w:sz w:val="18"/>
                <w:szCs w:val="18"/>
                <w:highlight w:val="none"/>
              </w:rPr>
            </w:pPr>
            <w:r>
              <w:rPr>
                <w:rFonts w:hint="default" w:ascii="Times New Roman" w:hAnsi="Times New Roman" w:eastAsia="仿宋" w:cs="Times New Roman"/>
                <w:color w:val="auto"/>
                <w:spacing w:val="1"/>
                <w:sz w:val="18"/>
                <w:szCs w:val="18"/>
                <w:highlight w:val="none"/>
              </w:rPr>
              <w:t>自然景观</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pacing w:val="1"/>
                <w:sz w:val="18"/>
                <w:szCs w:val="18"/>
                <w:highlight w:val="none"/>
                <w:lang w:val="en-US" w:eastAsia="zh-CN"/>
              </w:rPr>
              <w:t>景观多样性、完整性等</w:t>
            </w:r>
            <w:r>
              <w:rPr>
                <w:rFonts w:hint="default" w:ascii="Times New Roman" w:hAnsi="Times New Roman" w:eastAsia="仿宋" w:cs="Times New Roman"/>
                <w:color w:val="auto"/>
                <w:spacing w:val="1"/>
                <w:sz w:val="18"/>
                <w:szCs w:val="18"/>
                <w:highlight w:val="none"/>
              </w:rPr>
              <w:t>）</w:t>
            </w:r>
          </w:p>
          <w:p w14:paraId="5C8FB0F3">
            <w:pPr>
              <w:spacing w:line="240" w:lineRule="auto"/>
              <w:ind w:firstLine="362"/>
              <w:jc w:val="left"/>
              <w:rPr>
                <w:rFonts w:hint="eastAsia" w:ascii="Times New Roman" w:hAnsi="Times New Roman" w:eastAsia="仿宋" w:cs="Times New Roman"/>
                <w:color w:val="auto"/>
                <w:spacing w:val="1"/>
                <w:sz w:val="18"/>
                <w:szCs w:val="18"/>
                <w:highlight w:val="none"/>
                <w:lang w:val="en-US" w:eastAsia="zh-CN"/>
              </w:rPr>
            </w:pPr>
            <w:r>
              <w:rPr>
                <w:rFonts w:hint="default" w:ascii="Times New Roman" w:hAnsi="Times New Roman" w:eastAsia="仿宋" w:cs="Times New Roman"/>
                <w:color w:val="auto"/>
                <w:spacing w:val="1"/>
                <w:sz w:val="18"/>
                <w:szCs w:val="18"/>
                <w:highlight w:val="none"/>
              </w:rPr>
              <w:t>自然遗迹</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 xml:space="preserve">    （                         ）</w:t>
            </w:r>
          </w:p>
          <w:p w14:paraId="6DF028B0">
            <w:pPr>
              <w:spacing w:line="240" w:lineRule="auto"/>
              <w:ind w:firstLine="362"/>
              <w:jc w:val="left"/>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其他</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 xml:space="preserve">            （                        ）</w:t>
            </w:r>
          </w:p>
        </w:tc>
      </w:tr>
      <w:tr w14:paraId="6DF05D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396" w:type="pct"/>
            <w:gridSpan w:val="2"/>
            <w:vAlign w:val="center"/>
          </w:tcPr>
          <w:p w14:paraId="638977EA">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价等级</w:t>
            </w:r>
          </w:p>
        </w:tc>
        <w:tc>
          <w:tcPr>
            <w:tcW w:w="3604" w:type="pct"/>
            <w:vAlign w:val="center"/>
          </w:tcPr>
          <w:p w14:paraId="6DB2FE6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一级</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 xml:space="preserve">     </w:t>
            </w:r>
            <w:r>
              <w:rPr>
                <w:rFonts w:hint="default" w:ascii="Times New Roman" w:hAnsi="Times New Roman" w:eastAsia="仿宋" w:cs="Times New Roman"/>
                <w:color w:val="auto"/>
                <w:sz w:val="18"/>
                <w:szCs w:val="18"/>
                <w:highlight w:val="none"/>
              </w:rPr>
              <w:t xml:space="preserve">    二级</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 xml:space="preserve">         三级</w:t>
            </w:r>
            <w:r>
              <w:rPr>
                <w:rFonts w:hint="default" w:ascii="Times New Roman" w:hAnsi="Times New Roman" w:eastAsia="仿宋" w:cs="Times New Roman"/>
                <w:color w:val="auto"/>
                <w:spacing w:val="2"/>
                <w:sz w:val="18"/>
                <w:szCs w:val="18"/>
                <w:highlight w:val="none"/>
              </w:rPr>
              <w:sym w:font="Wingdings 2" w:char="00A3"/>
            </w:r>
            <w:r>
              <w:rPr>
                <w:rFonts w:hint="default" w:ascii="Times New Roman" w:hAnsi="Times New Roman" w:eastAsia="仿宋" w:cs="Times New Roman"/>
                <w:color w:val="auto"/>
                <w:sz w:val="18"/>
                <w:szCs w:val="18"/>
                <w:highlight w:val="none"/>
              </w:rPr>
              <w:t xml:space="preserve">      生态影响简单分析</w:t>
            </w:r>
            <w:r>
              <w:rPr>
                <w:rFonts w:hint="default" w:ascii="Times New Roman" w:hAnsi="Times New Roman" w:eastAsia="仿宋" w:cs="Times New Roman"/>
                <w:color w:val="auto"/>
                <w:sz w:val="18"/>
                <w:szCs w:val="18"/>
                <w:highlight w:val="none"/>
              </w:rPr>
              <w:sym w:font="Wingdings 2" w:char="00A3"/>
            </w:r>
          </w:p>
        </w:tc>
      </w:tr>
      <w:tr w14:paraId="40A2C5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1396" w:type="pct"/>
            <w:gridSpan w:val="2"/>
            <w:vAlign w:val="center"/>
          </w:tcPr>
          <w:p w14:paraId="29F58FC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价范围</w:t>
            </w:r>
          </w:p>
        </w:tc>
        <w:tc>
          <w:tcPr>
            <w:tcW w:w="3604" w:type="pct"/>
            <w:vAlign w:val="center"/>
          </w:tcPr>
          <w:p w14:paraId="0DF27CD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陆域面积：（</w:t>
            </w:r>
            <w:r>
              <w:rPr>
                <w:rFonts w:hint="eastAsia" w:eastAsia="仿宋" w:cs="Times New Roman"/>
                <w:color w:val="auto"/>
                <w:spacing w:val="-2"/>
                <w:sz w:val="18"/>
                <w:szCs w:val="18"/>
                <w:highlight w:val="none"/>
                <w:lang w:val="en-US" w:eastAsia="zh-CN"/>
              </w:rPr>
              <w:t>0.564161</w:t>
            </w:r>
            <w:r>
              <w:rPr>
                <w:rFonts w:hint="default" w:ascii="Times New Roman" w:hAnsi="Times New Roman" w:eastAsia="仿宋" w:cs="Times New Roman"/>
                <w:color w:val="auto"/>
                <w:spacing w:val="-1"/>
                <w:sz w:val="18"/>
                <w:szCs w:val="18"/>
                <w:highlight w:val="none"/>
              </w:rPr>
              <w:t>）km</w:t>
            </w:r>
            <w:r>
              <w:rPr>
                <w:rFonts w:hint="default" w:ascii="Times New Roman" w:hAnsi="Times New Roman" w:eastAsia="仿宋" w:cs="Times New Roman"/>
                <w:color w:val="auto"/>
                <w:spacing w:val="-1"/>
                <w:sz w:val="18"/>
                <w:szCs w:val="18"/>
                <w:highlight w:val="none"/>
                <w:vertAlign w:val="superscript"/>
              </w:rPr>
              <w:t>2</w:t>
            </w:r>
            <w:r>
              <w:rPr>
                <w:rFonts w:hint="default" w:ascii="Times New Roman" w:hAnsi="Times New Roman" w:eastAsia="仿宋" w:cs="Times New Roman"/>
                <w:color w:val="auto"/>
                <w:spacing w:val="-1"/>
                <w:position w:val="7"/>
                <w:sz w:val="18"/>
                <w:szCs w:val="18"/>
                <w:highlight w:val="none"/>
              </w:rPr>
              <w:t xml:space="preserve"> </w:t>
            </w:r>
            <w:r>
              <w:rPr>
                <w:rFonts w:hint="default" w:ascii="Times New Roman" w:hAnsi="Times New Roman" w:eastAsia="仿宋" w:cs="Times New Roman"/>
                <w:color w:val="auto"/>
                <w:spacing w:val="-1"/>
                <w:sz w:val="18"/>
                <w:szCs w:val="18"/>
                <w:highlight w:val="none"/>
              </w:rPr>
              <w:t>；水域面积：（    ）km</w:t>
            </w:r>
            <w:r>
              <w:rPr>
                <w:rFonts w:hint="default" w:ascii="Times New Roman" w:hAnsi="Times New Roman" w:eastAsia="仿宋" w:cs="Times New Roman"/>
                <w:color w:val="auto"/>
                <w:spacing w:val="-1"/>
                <w:sz w:val="18"/>
                <w:szCs w:val="18"/>
                <w:highlight w:val="none"/>
                <w:vertAlign w:val="superscript"/>
              </w:rPr>
              <w:t>2</w:t>
            </w:r>
          </w:p>
        </w:tc>
      </w:tr>
      <w:tr w14:paraId="2A5AC23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5" w:hRule="atLeast"/>
          <w:jc w:val="center"/>
        </w:trPr>
        <w:tc>
          <w:tcPr>
            <w:tcW w:w="583" w:type="pct"/>
            <w:vMerge w:val="restart"/>
            <w:vAlign w:val="center"/>
          </w:tcPr>
          <w:p w14:paraId="45FB951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3"/>
                <w:sz w:val="18"/>
                <w:szCs w:val="18"/>
                <w:highlight w:val="none"/>
              </w:rPr>
              <w:t>生</w:t>
            </w:r>
            <w:r>
              <w:rPr>
                <w:rFonts w:hint="default" w:ascii="Times New Roman" w:hAnsi="Times New Roman" w:eastAsia="仿宋" w:cs="Times New Roman"/>
                <w:color w:val="auto"/>
                <w:spacing w:val="-2"/>
                <w:sz w:val="18"/>
                <w:szCs w:val="18"/>
                <w:highlight w:val="none"/>
              </w:rPr>
              <w:t>态现状</w:t>
            </w:r>
          </w:p>
          <w:p w14:paraId="3A3B076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调查与</w:t>
            </w:r>
          </w:p>
          <w:p w14:paraId="269C084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评价</w:t>
            </w:r>
          </w:p>
        </w:tc>
        <w:tc>
          <w:tcPr>
            <w:tcW w:w="813" w:type="pct"/>
            <w:vAlign w:val="center"/>
          </w:tcPr>
          <w:p w14:paraId="4798CBC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调查方</w:t>
            </w:r>
            <w:r>
              <w:rPr>
                <w:rFonts w:hint="default" w:ascii="Times New Roman" w:hAnsi="Times New Roman" w:eastAsia="仿宋" w:cs="Times New Roman"/>
                <w:color w:val="auto"/>
                <w:spacing w:val="-1"/>
                <w:sz w:val="18"/>
                <w:szCs w:val="18"/>
                <w:highlight w:val="none"/>
              </w:rPr>
              <w:t>法</w:t>
            </w:r>
          </w:p>
        </w:tc>
        <w:tc>
          <w:tcPr>
            <w:tcW w:w="3604" w:type="pct"/>
            <w:vAlign w:val="center"/>
          </w:tcPr>
          <w:p w14:paraId="3F3083AB">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资料收集</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2"/>
                <w:sz w:val="18"/>
                <w:szCs w:val="18"/>
                <w:highlight w:val="none"/>
              </w:rPr>
              <w:t>；遥感调查</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2"/>
                <w:sz w:val="18"/>
                <w:szCs w:val="18"/>
                <w:highlight w:val="none"/>
              </w:rPr>
              <w:t>；调查样方</w:t>
            </w:r>
            <w:r>
              <w:rPr>
                <w:rFonts w:hint="default" w:ascii="Times New Roman" w:hAnsi="Times New Roman" w:eastAsia="仿宋" w:cs="Times New Roman"/>
                <w:color w:val="auto"/>
                <w:spacing w:val="1"/>
                <w:sz w:val="18"/>
                <w:szCs w:val="18"/>
                <w:highlight w:val="none"/>
              </w:rPr>
              <w:t>、样线</w:t>
            </w:r>
            <w:r>
              <w:rPr>
                <w:rFonts w:hint="default" w:ascii="Times New Roman" w:hAnsi="Times New Roman" w:eastAsia="仿宋" w:cs="Times New Roman"/>
                <w:color w:val="auto"/>
                <w:spacing w:val="-2"/>
                <w:sz w:val="18"/>
                <w:szCs w:val="18"/>
                <w:highlight w:val="none"/>
              </w:rPr>
              <w:sym w:font="Wingdings 2" w:char="0052"/>
            </w:r>
            <w:r>
              <w:rPr>
                <w:rFonts w:hint="default" w:ascii="Times New Roman" w:hAnsi="Times New Roman" w:eastAsia="仿宋" w:cs="Times New Roman"/>
                <w:color w:val="auto"/>
                <w:spacing w:val="1"/>
                <w:sz w:val="18"/>
                <w:szCs w:val="18"/>
                <w:highlight w:val="none"/>
              </w:rPr>
              <w:t>；调查点位、断面</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；专家和公众咨询</w:t>
            </w:r>
            <w:r>
              <w:rPr>
                <w:rFonts w:hint="default" w:ascii="Times New Roman" w:hAnsi="Times New Roman" w:eastAsia="仿宋" w:cs="Times New Roman"/>
                <w:color w:val="auto"/>
                <w:spacing w:val="-2"/>
                <w:sz w:val="18"/>
                <w:szCs w:val="18"/>
                <w:highlight w:val="none"/>
              </w:rPr>
              <w:t>法</w:t>
            </w:r>
            <w:r>
              <w:rPr>
                <w:rFonts w:hint="default" w:ascii="Times New Roman" w:hAnsi="Times New Roman" w:eastAsia="仿宋" w:cs="Times New Roman"/>
                <w:color w:val="auto"/>
                <w:spacing w:val="-2"/>
                <w:sz w:val="18"/>
                <w:szCs w:val="18"/>
                <w:highlight w:val="none"/>
              </w:rPr>
              <w:sym w:font="Wingdings 2" w:char="00A3"/>
            </w:r>
            <w:r>
              <w:rPr>
                <w:rFonts w:hint="default" w:ascii="Times New Roman" w:hAnsi="Times New Roman" w:eastAsia="仿宋" w:cs="Times New Roman"/>
                <w:color w:val="auto"/>
                <w:spacing w:val="-1"/>
                <w:sz w:val="18"/>
                <w:szCs w:val="18"/>
                <w:highlight w:val="none"/>
              </w:rPr>
              <w:t>；其他</w:t>
            </w:r>
            <w:r>
              <w:rPr>
                <w:rFonts w:hint="default" w:ascii="Times New Roman" w:hAnsi="Times New Roman" w:eastAsia="仿宋" w:cs="Times New Roman"/>
                <w:color w:val="auto"/>
                <w:spacing w:val="-1"/>
                <w:sz w:val="18"/>
                <w:szCs w:val="18"/>
                <w:highlight w:val="none"/>
              </w:rPr>
              <w:sym w:font="Wingdings 2" w:char="00A3"/>
            </w:r>
          </w:p>
        </w:tc>
      </w:tr>
      <w:tr w14:paraId="0600F3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3" w:hRule="atLeast"/>
          <w:jc w:val="center"/>
        </w:trPr>
        <w:tc>
          <w:tcPr>
            <w:tcW w:w="583" w:type="pct"/>
            <w:vMerge w:val="continue"/>
            <w:vAlign w:val="center"/>
          </w:tcPr>
          <w:p w14:paraId="21538801">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14B9A83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调查时</w:t>
            </w:r>
            <w:r>
              <w:rPr>
                <w:rFonts w:hint="default" w:ascii="Times New Roman" w:hAnsi="Times New Roman" w:eastAsia="仿宋" w:cs="Times New Roman"/>
                <w:color w:val="auto"/>
                <w:spacing w:val="-1"/>
                <w:sz w:val="18"/>
                <w:szCs w:val="18"/>
                <w:highlight w:val="none"/>
              </w:rPr>
              <w:t>间</w:t>
            </w:r>
          </w:p>
        </w:tc>
        <w:tc>
          <w:tcPr>
            <w:tcW w:w="3604" w:type="pct"/>
            <w:vAlign w:val="center"/>
          </w:tcPr>
          <w:p w14:paraId="045390A1">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position w:val="6"/>
                <w:sz w:val="18"/>
                <w:szCs w:val="18"/>
                <w:highlight w:val="none"/>
              </w:rPr>
              <w:t>春季</w:t>
            </w:r>
            <w:r>
              <w:rPr>
                <w:rFonts w:hint="default" w:ascii="Times New Roman" w:hAnsi="Times New Roman" w:eastAsia="仿宋" w:cs="Times New Roman"/>
                <w:color w:val="auto"/>
                <w:spacing w:val="-1"/>
                <w:position w:val="6"/>
                <w:sz w:val="18"/>
                <w:szCs w:val="18"/>
                <w:highlight w:val="none"/>
              </w:rPr>
              <w:sym w:font="Wingdings 2" w:char="0052"/>
            </w:r>
            <w:r>
              <w:rPr>
                <w:rFonts w:hint="default" w:ascii="Times New Roman" w:hAnsi="Times New Roman" w:eastAsia="仿宋" w:cs="Times New Roman"/>
                <w:color w:val="auto"/>
                <w:spacing w:val="-1"/>
                <w:position w:val="6"/>
                <w:sz w:val="18"/>
                <w:szCs w:val="18"/>
                <w:highlight w:val="none"/>
              </w:rPr>
              <w:t>；夏季</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position w:val="6"/>
                <w:sz w:val="18"/>
                <w:szCs w:val="18"/>
                <w:highlight w:val="none"/>
              </w:rPr>
              <w:t>；秋季</w:t>
            </w:r>
            <w:r>
              <w:rPr>
                <w:rFonts w:hint="default" w:ascii="Times New Roman" w:hAnsi="Times New Roman" w:eastAsia="仿宋" w:cs="Times New Roman"/>
                <w:color w:val="auto"/>
                <w:position w:val="6"/>
                <w:sz w:val="18"/>
                <w:szCs w:val="18"/>
                <w:highlight w:val="none"/>
              </w:rPr>
              <w:sym w:font="Wingdings 2" w:char="00A3"/>
            </w:r>
            <w:r>
              <w:rPr>
                <w:rFonts w:hint="default" w:ascii="Times New Roman" w:hAnsi="Times New Roman" w:eastAsia="仿宋" w:cs="Times New Roman"/>
                <w:color w:val="auto"/>
                <w:position w:val="6"/>
                <w:sz w:val="18"/>
                <w:szCs w:val="18"/>
                <w:highlight w:val="none"/>
              </w:rPr>
              <w:t>；冬季</w:t>
            </w:r>
            <w:r>
              <w:rPr>
                <w:rFonts w:hint="default" w:ascii="Times New Roman" w:hAnsi="Times New Roman" w:eastAsia="仿宋" w:cs="Times New Roman"/>
                <w:color w:val="auto"/>
                <w:position w:val="6"/>
                <w:sz w:val="18"/>
                <w:szCs w:val="18"/>
                <w:highlight w:val="none"/>
              </w:rPr>
              <w:sym w:font="Wingdings 2" w:char="00A3"/>
            </w:r>
          </w:p>
          <w:p w14:paraId="05D0F32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丰水期</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；枯水期</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；平水期</w:t>
            </w:r>
            <w:r>
              <w:rPr>
                <w:rFonts w:hint="default" w:ascii="Times New Roman" w:hAnsi="Times New Roman" w:eastAsia="仿宋" w:cs="Times New Roman"/>
                <w:color w:val="auto"/>
                <w:sz w:val="18"/>
                <w:szCs w:val="18"/>
                <w:highlight w:val="none"/>
              </w:rPr>
              <w:sym w:font="Wingdings 2" w:char="00A3"/>
            </w:r>
          </w:p>
        </w:tc>
      </w:tr>
      <w:tr w14:paraId="281B41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6" w:hRule="atLeast"/>
          <w:jc w:val="center"/>
        </w:trPr>
        <w:tc>
          <w:tcPr>
            <w:tcW w:w="583" w:type="pct"/>
            <w:vMerge w:val="continue"/>
            <w:vAlign w:val="center"/>
          </w:tcPr>
          <w:p w14:paraId="55F73266">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21F72754">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所在区</w:t>
            </w:r>
            <w:r>
              <w:rPr>
                <w:rFonts w:hint="default" w:ascii="Times New Roman" w:hAnsi="Times New Roman" w:eastAsia="仿宋" w:cs="Times New Roman"/>
                <w:color w:val="auto"/>
                <w:spacing w:val="-1"/>
                <w:sz w:val="18"/>
                <w:szCs w:val="18"/>
                <w:highlight w:val="none"/>
              </w:rPr>
              <w:t>域的</w:t>
            </w:r>
            <w:r>
              <w:rPr>
                <w:rFonts w:hint="default" w:ascii="Times New Roman" w:hAnsi="Times New Roman" w:eastAsia="仿宋" w:cs="Times New Roman"/>
                <w:color w:val="auto"/>
                <w:spacing w:val="-2"/>
                <w:sz w:val="18"/>
                <w:szCs w:val="18"/>
                <w:highlight w:val="none"/>
              </w:rPr>
              <w:t>生态问</w:t>
            </w:r>
            <w:r>
              <w:rPr>
                <w:rFonts w:hint="default" w:ascii="Times New Roman" w:hAnsi="Times New Roman" w:eastAsia="仿宋" w:cs="Times New Roman"/>
                <w:color w:val="auto"/>
                <w:spacing w:val="-1"/>
                <w:sz w:val="18"/>
                <w:szCs w:val="18"/>
                <w:highlight w:val="none"/>
              </w:rPr>
              <w:t>题</w:t>
            </w:r>
          </w:p>
        </w:tc>
        <w:tc>
          <w:tcPr>
            <w:tcW w:w="3604" w:type="pct"/>
            <w:vAlign w:val="center"/>
          </w:tcPr>
          <w:p w14:paraId="56A62EA8">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水土流失</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pacing w:val="-1"/>
                <w:sz w:val="18"/>
                <w:szCs w:val="18"/>
                <w:highlight w:val="none"/>
              </w:rPr>
              <w:t>；沙漠</w:t>
            </w:r>
            <w:r>
              <w:rPr>
                <w:rFonts w:hint="default" w:ascii="Times New Roman" w:hAnsi="Times New Roman" w:eastAsia="仿宋" w:cs="Times New Roman"/>
                <w:color w:val="auto"/>
                <w:sz w:val="18"/>
                <w:szCs w:val="18"/>
                <w:highlight w:val="none"/>
              </w:rPr>
              <w:t>化</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；石漠化</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；盐渍化</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；生物入侵</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；污染危害</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；其他</w:t>
            </w:r>
            <w:r>
              <w:rPr>
                <w:rFonts w:hint="default" w:ascii="Times New Roman" w:hAnsi="Times New Roman" w:eastAsia="仿宋" w:cs="Times New Roman"/>
                <w:color w:val="auto"/>
                <w:sz w:val="18"/>
                <w:szCs w:val="18"/>
                <w:highlight w:val="none"/>
              </w:rPr>
              <w:sym w:font="Wingdings 2" w:char="00A3"/>
            </w:r>
          </w:p>
        </w:tc>
      </w:tr>
      <w:tr w14:paraId="2944CA7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2" w:hRule="atLeast"/>
          <w:jc w:val="center"/>
        </w:trPr>
        <w:tc>
          <w:tcPr>
            <w:tcW w:w="583" w:type="pct"/>
            <w:vMerge w:val="continue"/>
            <w:vAlign w:val="center"/>
          </w:tcPr>
          <w:p w14:paraId="29AECCB4">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18C70B93">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价内容</w:t>
            </w:r>
          </w:p>
        </w:tc>
        <w:tc>
          <w:tcPr>
            <w:tcW w:w="3604" w:type="pct"/>
            <w:vAlign w:val="center"/>
          </w:tcPr>
          <w:p w14:paraId="3CF0A92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植被/植物群</w:t>
            </w:r>
            <w:r>
              <w:rPr>
                <w:rFonts w:hint="default" w:ascii="Times New Roman" w:hAnsi="Times New Roman" w:eastAsia="仿宋" w:cs="Times New Roman"/>
                <w:color w:val="auto"/>
                <w:sz w:val="18"/>
                <w:szCs w:val="18"/>
                <w:highlight w:val="none"/>
              </w:rPr>
              <w:t>落</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；土地利用</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；生态系统</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；生物多样性</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；重要物种</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；生态敏感</w:t>
            </w:r>
            <w:r>
              <w:rPr>
                <w:rFonts w:hint="default" w:ascii="Times New Roman" w:hAnsi="Times New Roman" w:eastAsia="仿宋" w:cs="Times New Roman"/>
                <w:color w:val="auto"/>
                <w:spacing w:val="-5"/>
                <w:sz w:val="18"/>
                <w:szCs w:val="18"/>
                <w:highlight w:val="none"/>
              </w:rPr>
              <w:t>区</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pacing w:val="-3"/>
                <w:sz w:val="18"/>
                <w:szCs w:val="18"/>
                <w:highlight w:val="none"/>
              </w:rPr>
              <w:t>；其他</w:t>
            </w:r>
            <w:r>
              <w:rPr>
                <w:rFonts w:hint="default" w:ascii="Times New Roman" w:hAnsi="Times New Roman" w:eastAsia="仿宋" w:cs="Times New Roman"/>
                <w:color w:val="auto"/>
                <w:spacing w:val="-3"/>
                <w:sz w:val="18"/>
                <w:szCs w:val="18"/>
                <w:highlight w:val="none"/>
              </w:rPr>
              <w:sym w:font="Wingdings 2" w:char="00A3"/>
            </w:r>
          </w:p>
        </w:tc>
      </w:tr>
      <w:tr w14:paraId="535CF1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2" w:hRule="atLeast"/>
          <w:jc w:val="center"/>
        </w:trPr>
        <w:tc>
          <w:tcPr>
            <w:tcW w:w="583" w:type="pct"/>
            <w:vMerge w:val="restart"/>
            <w:vAlign w:val="center"/>
          </w:tcPr>
          <w:p w14:paraId="6CA5514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生态影</w:t>
            </w:r>
            <w:r>
              <w:rPr>
                <w:rFonts w:hint="default" w:ascii="Times New Roman" w:hAnsi="Times New Roman" w:eastAsia="仿宋" w:cs="Times New Roman"/>
                <w:color w:val="auto"/>
                <w:spacing w:val="-1"/>
                <w:sz w:val="18"/>
                <w:szCs w:val="18"/>
                <w:highlight w:val="none"/>
              </w:rPr>
              <w:t>响</w:t>
            </w:r>
          </w:p>
          <w:p w14:paraId="69B4DA9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预测与</w:t>
            </w:r>
          </w:p>
          <w:p w14:paraId="7DA9D6F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评价</w:t>
            </w:r>
          </w:p>
        </w:tc>
        <w:tc>
          <w:tcPr>
            <w:tcW w:w="813" w:type="pct"/>
            <w:vAlign w:val="center"/>
          </w:tcPr>
          <w:p w14:paraId="4709712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价方法</w:t>
            </w:r>
          </w:p>
        </w:tc>
        <w:tc>
          <w:tcPr>
            <w:tcW w:w="3604" w:type="pct"/>
            <w:vAlign w:val="center"/>
          </w:tcPr>
          <w:p w14:paraId="6C2BEF76">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定</w:t>
            </w:r>
            <w:r>
              <w:rPr>
                <w:rFonts w:hint="default" w:ascii="Times New Roman" w:hAnsi="Times New Roman" w:eastAsia="仿宋" w:cs="Times New Roman"/>
                <w:color w:val="auto"/>
                <w:spacing w:val="-1"/>
                <w:sz w:val="18"/>
                <w:szCs w:val="18"/>
                <w:highlight w:val="none"/>
              </w:rPr>
              <w:t>性</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pacing w:val="-1"/>
                <w:sz w:val="18"/>
                <w:szCs w:val="18"/>
                <w:highlight w:val="none"/>
              </w:rPr>
              <w:t>；定性和定量</w:t>
            </w:r>
            <w:r>
              <w:rPr>
                <w:rFonts w:hint="default" w:ascii="Times New Roman" w:hAnsi="Times New Roman" w:eastAsia="仿宋" w:cs="Times New Roman"/>
                <w:color w:val="auto"/>
                <w:spacing w:val="-1"/>
                <w:sz w:val="18"/>
                <w:szCs w:val="18"/>
                <w:highlight w:val="none"/>
              </w:rPr>
              <w:sym w:font="Wingdings 2" w:char="0052"/>
            </w:r>
          </w:p>
        </w:tc>
      </w:tr>
      <w:tr w14:paraId="3D70B85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32" w:hRule="atLeast"/>
          <w:jc w:val="center"/>
        </w:trPr>
        <w:tc>
          <w:tcPr>
            <w:tcW w:w="583" w:type="pct"/>
            <w:vMerge w:val="continue"/>
            <w:vAlign w:val="center"/>
          </w:tcPr>
          <w:p w14:paraId="47DB8B5D">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37CCABE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价内容</w:t>
            </w:r>
          </w:p>
        </w:tc>
        <w:tc>
          <w:tcPr>
            <w:tcW w:w="3604" w:type="pct"/>
            <w:vAlign w:val="center"/>
          </w:tcPr>
          <w:p w14:paraId="540F44C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植被/植物群落</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；土地利用</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w:t>
            </w:r>
            <w:r>
              <w:rPr>
                <w:rFonts w:hint="default" w:ascii="Times New Roman" w:hAnsi="Times New Roman" w:eastAsia="仿宋" w:cs="Times New Roman"/>
                <w:color w:val="auto"/>
                <w:sz w:val="18"/>
                <w:szCs w:val="18"/>
                <w:highlight w:val="none"/>
              </w:rPr>
              <w:t>生态系统</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z w:val="18"/>
                <w:szCs w:val="18"/>
                <w:highlight w:val="none"/>
              </w:rPr>
              <w:t>；生物多样性</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；重要物种</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；生态敏感</w:t>
            </w:r>
            <w:r>
              <w:rPr>
                <w:rFonts w:hint="default" w:ascii="Times New Roman" w:hAnsi="Times New Roman" w:eastAsia="仿宋" w:cs="Times New Roman"/>
                <w:color w:val="auto"/>
                <w:spacing w:val="-12"/>
                <w:sz w:val="18"/>
                <w:szCs w:val="18"/>
                <w:highlight w:val="none"/>
              </w:rPr>
              <w:t>区</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pacing w:val="-7"/>
                <w:sz w:val="18"/>
                <w:szCs w:val="18"/>
                <w:highlight w:val="none"/>
              </w:rPr>
              <w:t>；生物入侵风险</w:t>
            </w:r>
            <w:r>
              <w:rPr>
                <w:rFonts w:hint="default" w:ascii="Times New Roman" w:hAnsi="Times New Roman" w:eastAsia="仿宋" w:cs="Times New Roman"/>
                <w:color w:val="auto"/>
                <w:spacing w:val="-7"/>
                <w:sz w:val="18"/>
                <w:szCs w:val="18"/>
                <w:highlight w:val="none"/>
              </w:rPr>
              <w:sym w:font="Wingdings 2" w:char="00A3"/>
            </w:r>
            <w:r>
              <w:rPr>
                <w:rFonts w:hint="default" w:ascii="Times New Roman" w:hAnsi="Times New Roman" w:eastAsia="仿宋" w:cs="Times New Roman"/>
                <w:color w:val="auto"/>
                <w:spacing w:val="-7"/>
                <w:sz w:val="18"/>
                <w:szCs w:val="18"/>
                <w:highlight w:val="none"/>
              </w:rPr>
              <w:t>；其他</w:t>
            </w:r>
            <w:r>
              <w:rPr>
                <w:rFonts w:hint="default" w:ascii="Times New Roman" w:hAnsi="Times New Roman" w:eastAsia="仿宋" w:cs="Times New Roman"/>
                <w:color w:val="auto"/>
                <w:spacing w:val="-7"/>
                <w:sz w:val="18"/>
                <w:szCs w:val="18"/>
                <w:highlight w:val="none"/>
              </w:rPr>
              <w:sym w:font="Wingdings 2" w:char="00A3"/>
            </w:r>
          </w:p>
        </w:tc>
      </w:tr>
      <w:tr w14:paraId="4959C9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583" w:type="pct"/>
            <w:vMerge w:val="restart"/>
            <w:vAlign w:val="center"/>
          </w:tcPr>
          <w:p w14:paraId="6F0CCD0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3"/>
                <w:sz w:val="18"/>
                <w:szCs w:val="18"/>
                <w:highlight w:val="none"/>
              </w:rPr>
              <w:t>生</w:t>
            </w:r>
            <w:r>
              <w:rPr>
                <w:rFonts w:hint="default" w:ascii="Times New Roman" w:hAnsi="Times New Roman" w:eastAsia="仿宋" w:cs="Times New Roman"/>
                <w:color w:val="auto"/>
                <w:spacing w:val="-2"/>
                <w:sz w:val="18"/>
                <w:szCs w:val="18"/>
                <w:highlight w:val="none"/>
              </w:rPr>
              <w:t>态保护</w:t>
            </w:r>
            <w:r>
              <w:rPr>
                <w:rFonts w:hint="default" w:ascii="Times New Roman" w:hAnsi="Times New Roman" w:eastAsia="仿宋" w:cs="Times New Roman"/>
                <w:color w:val="auto"/>
                <w:sz w:val="18"/>
                <w:szCs w:val="18"/>
                <w:highlight w:val="none"/>
              </w:rPr>
              <w:t xml:space="preserve"> </w:t>
            </w:r>
            <w:r>
              <w:rPr>
                <w:rFonts w:hint="default" w:ascii="Times New Roman" w:hAnsi="Times New Roman" w:eastAsia="仿宋" w:cs="Times New Roman"/>
                <w:color w:val="auto"/>
                <w:spacing w:val="-2"/>
                <w:sz w:val="18"/>
                <w:szCs w:val="18"/>
                <w:highlight w:val="none"/>
              </w:rPr>
              <w:t>对策措</w:t>
            </w:r>
            <w:r>
              <w:rPr>
                <w:rFonts w:hint="default" w:ascii="Times New Roman" w:hAnsi="Times New Roman" w:eastAsia="仿宋" w:cs="Times New Roman"/>
                <w:color w:val="auto"/>
                <w:spacing w:val="-1"/>
                <w:sz w:val="18"/>
                <w:szCs w:val="18"/>
                <w:highlight w:val="none"/>
              </w:rPr>
              <w:t>施</w:t>
            </w:r>
          </w:p>
        </w:tc>
        <w:tc>
          <w:tcPr>
            <w:tcW w:w="813" w:type="pct"/>
            <w:vAlign w:val="center"/>
          </w:tcPr>
          <w:p w14:paraId="531184CD">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对</w:t>
            </w:r>
            <w:r>
              <w:rPr>
                <w:rFonts w:hint="default" w:ascii="Times New Roman" w:hAnsi="Times New Roman" w:eastAsia="仿宋" w:cs="Times New Roman"/>
                <w:color w:val="auto"/>
                <w:spacing w:val="-1"/>
                <w:sz w:val="18"/>
                <w:szCs w:val="18"/>
                <w:highlight w:val="none"/>
              </w:rPr>
              <w:t>策措施</w:t>
            </w:r>
          </w:p>
        </w:tc>
        <w:tc>
          <w:tcPr>
            <w:tcW w:w="3604" w:type="pct"/>
            <w:vAlign w:val="center"/>
          </w:tcPr>
          <w:p w14:paraId="4CC31DF5">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避让</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；减</w:t>
            </w:r>
            <w:r>
              <w:rPr>
                <w:rFonts w:hint="default" w:ascii="Times New Roman" w:hAnsi="Times New Roman" w:eastAsia="仿宋" w:cs="Times New Roman"/>
                <w:color w:val="auto"/>
                <w:sz w:val="18"/>
                <w:szCs w:val="18"/>
                <w:highlight w:val="none"/>
              </w:rPr>
              <w:t>缓</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；生态修复</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；生态补偿</w:t>
            </w:r>
            <w:r>
              <w:rPr>
                <w:rFonts w:hint="default" w:ascii="Times New Roman" w:hAnsi="Times New Roman" w:eastAsia="仿宋" w:cs="Times New Roman"/>
                <w:color w:val="auto"/>
                <w:sz w:val="18"/>
                <w:szCs w:val="18"/>
                <w:highlight w:val="none"/>
              </w:rPr>
              <w:sym w:font="Wingdings 2" w:char="0052"/>
            </w:r>
            <w:r>
              <w:rPr>
                <w:rFonts w:hint="default" w:ascii="Times New Roman" w:hAnsi="Times New Roman" w:eastAsia="仿宋" w:cs="Times New Roman"/>
                <w:color w:val="auto"/>
                <w:sz w:val="18"/>
                <w:szCs w:val="18"/>
                <w:highlight w:val="none"/>
              </w:rPr>
              <w:t>；科研</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；其他</w:t>
            </w:r>
            <w:r>
              <w:rPr>
                <w:rFonts w:hint="default" w:ascii="Times New Roman" w:hAnsi="Times New Roman" w:eastAsia="仿宋" w:cs="Times New Roman"/>
                <w:color w:val="auto"/>
                <w:sz w:val="18"/>
                <w:szCs w:val="18"/>
                <w:highlight w:val="none"/>
              </w:rPr>
              <w:sym w:font="Wingdings 2" w:char="00A3"/>
            </w:r>
          </w:p>
        </w:tc>
      </w:tr>
      <w:tr w14:paraId="71F6F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2" w:hRule="atLeast"/>
          <w:jc w:val="center"/>
        </w:trPr>
        <w:tc>
          <w:tcPr>
            <w:tcW w:w="583" w:type="pct"/>
            <w:vMerge w:val="continue"/>
            <w:vAlign w:val="center"/>
          </w:tcPr>
          <w:p w14:paraId="3A4C0C7F">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14EA52AE">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生态</w:t>
            </w:r>
            <w:r>
              <w:rPr>
                <w:rFonts w:hint="default" w:ascii="Times New Roman" w:hAnsi="Times New Roman" w:eastAsia="仿宋" w:cs="Times New Roman"/>
                <w:color w:val="auto"/>
                <w:spacing w:val="-1"/>
                <w:sz w:val="18"/>
                <w:szCs w:val="18"/>
                <w:highlight w:val="none"/>
              </w:rPr>
              <w:t>监测计划</w:t>
            </w:r>
          </w:p>
        </w:tc>
        <w:tc>
          <w:tcPr>
            <w:tcW w:w="3604" w:type="pct"/>
            <w:vAlign w:val="center"/>
          </w:tcPr>
          <w:p w14:paraId="0C16A74F">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全生命周期</w:t>
            </w:r>
            <w:r>
              <w:rPr>
                <w:rFonts w:hint="default" w:ascii="Times New Roman" w:hAnsi="Times New Roman" w:eastAsia="仿宋" w:cs="Times New Roman"/>
                <w:color w:val="auto"/>
                <w:spacing w:val="-1"/>
                <w:sz w:val="18"/>
                <w:szCs w:val="18"/>
                <w:highlight w:val="none"/>
              </w:rPr>
              <w:sym w:font="Wingdings 2" w:char="00A3"/>
            </w:r>
            <w:r>
              <w:rPr>
                <w:rFonts w:hint="default" w:ascii="Times New Roman" w:hAnsi="Times New Roman" w:eastAsia="仿宋" w:cs="Times New Roman"/>
                <w:color w:val="auto"/>
                <w:spacing w:val="-1"/>
                <w:sz w:val="18"/>
                <w:szCs w:val="18"/>
                <w:highlight w:val="none"/>
              </w:rPr>
              <w:t>；</w:t>
            </w:r>
            <w:r>
              <w:rPr>
                <w:rFonts w:hint="default" w:ascii="Times New Roman" w:hAnsi="Times New Roman" w:eastAsia="仿宋" w:cs="Times New Roman"/>
                <w:color w:val="auto"/>
                <w:sz w:val="18"/>
                <w:szCs w:val="18"/>
                <w:highlight w:val="none"/>
              </w:rPr>
              <w:t>长期跟踪</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；常规</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；无</w:t>
            </w:r>
            <w:r>
              <w:rPr>
                <w:rFonts w:hint="default" w:ascii="Times New Roman" w:hAnsi="Times New Roman" w:eastAsia="仿宋" w:cs="Times New Roman"/>
                <w:color w:val="auto"/>
                <w:sz w:val="18"/>
                <w:szCs w:val="18"/>
                <w:highlight w:val="none"/>
              </w:rPr>
              <w:sym w:font="Wingdings 2" w:char="0052"/>
            </w:r>
          </w:p>
        </w:tc>
      </w:tr>
      <w:tr w14:paraId="2302BC0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583" w:type="pct"/>
            <w:vMerge w:val="continue"/>
            <w:vAlign w:val="center"/>
          </w:tcPr>
          <w:p w14:paraId="3215223D">
            <w:pPr>
              <w:spacing w:line="240" w:lineRule="auto"/>
              <w:ind w:firstLine="0" w:firstLineChars="0"/>
              <w:jc w:val="center"/>
              <w:rPr>
                <w:rFonts w:hint="default" w:ascii="Times New Roman" w:hAnsi="Times New Roman" w:eastAsia="仿宋" w:cs="Times New Roman"/>
                <w:color w:val="auto"/>
                <w:sz w:val="18"/>
                <w:szCs w:val="18"/>
                <w:highlight w:val="none"/>
              </w:rPr>
            </w:pPr>
          </w:p>
        </w:tc>
        <w:tc>
          <w:tcPr>
            <w:tcW w:w="813" w:type="pct"/>
            <w:vAlign w:val="center"/>
          </w:tcPr>
          <w:p w14:paraId="161CBA39">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环境</w:t>
            </w:r>
            <w:r>
              <w:rPr>
                <w:rFonts w:hint="default" w:ascii="Times New Roman" w:hAnsi="Times New Roman" w:eastAsia="仿宋" w:cs="Times New Roman"/>
                <w:color w:val="auto"/>
                <w:spacing w:val="-1"/>
                <w:sz w:val="18"/>
                <w:szCs w:val="18"/>
                <w:highlight w:val="none"/>
              </w:rPr>
              <w:t>管理</w:t>
            </w:r>
          </w:p>
        </w:tc>
        <w:tc>
          <w:tcPr>
            <w:tcW w:w="3604" w:type="pct"/>
            <w:vAlign w:val="center"/>
          </w:tcPr>
          <w:p w14:paraId="7053370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环境监理</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；环</w:t>
            </w:r>
            <w:r>
              <w:rPr>
                <w:rFonts w:hint="default" w:ascii="Times New Roman" w:hAnsi="Times New Roman" w:eastAsia="仿宋" w:cs="Times New Roman"/>
                <w:color w:val="auto"/>
                <w:sz w:val="18"/>
                <w:szCs w:val="18"/>
                <w:highlight w:val="none"/>
              </w:rPr>
              <w:t>境影响后评价</w:t>
            </w:r>
            <w:r>
              <w:rPr>
                <w:rFonts w:hint="default" w:ascii="Times New Roman" w:hAnsi="Times New Roman" w:eastAsia="仿宋" w:cs="Times New Roman"/>
                <w:color w:val="auto"/>
                <w:sz w:val="18"/>
                <w:szCs w:val="18"/>
                <w:highlight w:val="none"/>
              </w:rPr>
              <w:sym w:font="Wingdings 2" w:char="00A3"/>
            </w:r>
            <w:r>
              <w:rPr>
                <w:rFonts w:hint="default" w:ascii="Times New Roman" w:hAnsi="Times New Roman" w:eastAsia="仿宋" w:cs="Times New Roman"/>
                <w:color w:val="auto"/>
                <w:sz w:val="18"/>
                <w:szCs w:val="18"/>
                <w:highlight w:val="none"/>
              </w:rPr>
              <w:t>；其他</w:t>
            </w:r>
            <w:r>
              <w:rPr>
                <w:rFonts w:hint="default" w:ascii="Times New Roman" w:hAnsi="Times New Roman" w:eastAsia="仿宋" w:cs="Times New Roman"/>
                <w:color w:val="auto"/>
                <w:sz w:val="18"/>
                <w:szCs w:val="18"/>
                <w:highlight w:val="none"/>
              </w:rPr>
              <w:sym w:font="Wingdings 2" w:char="00A3"/>
            </w:r>
          </w:p>
        </w:tc>
      </w:tr>
      <w:tr w14:paraId="13551A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04" w:hRule="atLeast"/>
          <w:jc w:val="center"/>
        </w:trPr>
        <w:tc>
          <w:tcPr>
            <w:tcW w:w="583" w:type="pct"/>
            <w:vAlign w:val="center"/>
          </w:tcPr>
          <w:p w14:paraId="182BEFD7">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
                <w:sz w:val="18"/>
                <w:szCs w:val="18"/>
                <w:highlight w:val="none"/>
              </w:rPr>
              <w:t>评</w:t>
            </w:r>
            <w:r>
              <w:rPr>
                <w:rFonts w:hint="default" w:ascii="Times New Roman" w:hAnsi="Times New Roman" w:eastAsia="仿宋" w:cs="Times New Roman"/>
                <w:color w:val="auto"/>
                <w:spacing w:val="-1"/>
                <w:sz w:val="18"/>
                <w:szCs w:val="18"/>
                <w:highlight w:val="none"/>
              </w:rPr>
              <w:t>价结论</w:t>
            </w:r>
          </w:p>
        </w:tc>
        <w:tc>
          <w:tcPr>
            <w:tcW w:w="813" w:type="pct"/>
            <w:vAlign w:val="center"/>
          </w:tcPr>
          <w:p w14:paraId="7633DB32">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3"/>
                <w:sz w:val="18"/>
                <w:szCs w:val="18"/>
                <w:highlight w:val="none"/>
              </w:rPr>
              <w:t>生</w:t>
            </w:r>
            <w:r>
              <w:rPr>
                <w:rFonts w:hint="default" w:ascii="Times New Roman" w:hAnsi="Times New Roman" w:eastAsia="仿宋" w:cs="Times New Roman"/>
                <w:color w:val="auto"/>
                <w:spacing w:val="-2"/>
                <w:sz w:val="18"/>
                <w:szCs w:val="18"/>
                <w:highlight w:val="none"/>
              </w:rPr>
              <w:t>态影响</w:t>
            </w:r>
          </w:p>
        </w:tc>
        <w:tc>
          <w:tcPr>
            <w:tcW w:w="3604" w:type="pct"/>
            <w:vAlign w:val="center"/>
          </w:tcPr>
          <w:p w14:paraId="692AC96C">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1"/>
                <w:sz w:val="18"/>
                <w:szCs w:val="18"/>
                <w:highlight w:val="none"/>
              </w:rPr>
              <w:t>可行</w:t>
            </w:r>
            <w:r>
              <w:rPr>
                <w:rFonts w:hint="default" w:ascii="Times New Roman" w:hAnsi="Times New Roman" w:eastAsia="仿宋" w:cs="Times New Roman"/>
                <w:color w:val="auto"/>
                <w:spacing w:val="-1"/>
                <w:sz w:val="18"/>
                <w:szCs w:val="18"/>
                <w:highlight w:val="none"/>
              </w:rPr>
              <w:sym w:font="Wingdings 2" w:char="0052"/>
            </w:r>
            <w:r>
              <w:rPr>
                <w:rFonts w:hint="default" w:ascii="Times New Roman" w:hAnsi="Times New Roman" w:eastAsia="仿宋" w:cs="Times New Roman"/>
                <w:color w:val="auto"/>
                <w:spacing w:val="-1"/>
                <w:sz w:val="18"/>
                <w:szCs w:val="18"/>
                <w:highlight w:val="none"/>
              </w:rPr>
              <w:t>；不可行</w:t>
            </w:r>
            <w:r>
              <w:rPr>
                <w:rFonts w:hint="default" w:ascii="Times New Roman" w:hAnsi="Times New Roman" w:eastAsia="仿宋" w:cs="Times New Roman"/>
                <w:color w:val="auto"/>
                <w:spacing w:val="-1"/>
                <w:sz w:val="18"/>
                <w:szCs w:val="18"/>
                <w:highlight w:val="none"/>
              </w:rPr>
              <w:sym w:font="Wingdings 2" w:char="00A3"/>
            </w:r>
          </w:p>
        </w:tc>
      </w:tr>
      <w:tr w14:paraId="556BA7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31" w:hRule="atLeast"/>
          <w:jc w:val="center"/>
        </w:trPr>
        <w:tc>
          <w:tcPr>
            <w:tcW w:w="5000" w:type="pct"/>
            <w:gridSpan w:val="3"/>
            <w:vAlign w:val="center"/>
          </w:tcPr>
          <w:p w14:paraId="2F9BFFC0">
            <w:pPr>
              <w:spacing w:line="240" w:lineRule="auto"/>
              <w:ind w:firstLine="0" w:firstLineChars="0"/>
              <w:jc w:val="center"/>
              <w:rPr>
                <w:rFonts w:hint="default" w:ascii="Times New Roman" w:hAnsi="Times New Roman" w:eastAsia="仿宋" w:cs="Times New Roman"/>
                <w:color w:val="auto"/>
                <w:sz w:val="18"/>
                <w:szCs w:val="18"/>
                <w:highlight w:val="none"/>
              </w:rPr>
            </w:pPr>
            <w:r>
              <w:rPr>
                <w:rFonts w:hint="default" w:ascii="Times New Roman" w:hAnsi="Times New Roman" w:eastAsia="仿宋" w:cs="Times New Roman"/>
                <w:color w:val="auto"/>
                <w:spacing w:val="-24"/>
                <w:sz w:val="18"/>
                <w:szCs w:val="18"/>
                <w:highlight w:val="none"/>
              </w:rPr>
              <w:t>注</w:t>
            </w:r>
            <w:r>
              <w:rPr>
                <w:rFonts w:hint="default" w:ascii="Times New Roman" w:hAnsi="Times New Roman" w:eastAsia="仿宋" w:cs="Times New Roman"/>
                <w:color w:val="auto"/>
                <w:spacing w:val="-21"/>
                <w:sz w:val="18"/>
                <w:szCs w:val="18"/>
                <w:highlight w:val="none"/>
              </w:rPr>
              <w:t>：</w:t>
            </w:r>
            <w:r>
              <w:rPr>
                <w:rFonts w:hint="default" w:ascii="Times New Roman" w:hAnsi="Times New Roman" w:eastAsia="仿宋" w:cs="Times New Roman"/>
                <w:color w:val="auto"/>
                <w:spacing w:val="-12"/>
                <w:sz w:val="18"/>
                <w:szCs w:val="18"/>
                <w:highlight w:val="none"/>
              </w:rPr>
              <w:t xml:space="preserve">   “□” 为勾选项 ，可 √ ；“（  ）”  为内容填写项。</w:t>
            </w:r>
          </w:p>
        </w:tc>
      </w:tr>
    </w:tbl>
    <w:p w14:paraId="15041FBB">
      <w:pPr>
        <w:pStyle w:val="67"/>
        <w:ind w:firstLine="0" w:firstLineChars="0"/>
        <w:jc w:val="center"/>
        <w:rPr>
          <w:rFonts w:hint="default" w:ascii="Times New Roman" w:hAnsi="Times New Roman" w:cs="Times New Roman"/>
          <w:color w:val="auto"/>
          <w:highlight w:val="none"/>
        </w:rPr>
      </w:pPr>
    </w:p>
    <w:p w14:paraId="1996ADA2">
      <w:pPr>
        <w:pStyle w:val="67"/>
        <w:ind w:firstLine="0" w:firstLineChars="0"/>
        <w:jc w:val="center"/>
        <w:rPr>
          <w:rFonts w:hint="default" w:ascii="Times New Roman" w:hAnsi="Times New Roman" w:cs="Times New Roman"/>
          <w:color w:val="auto"/>
          <w:highlight w:val="none"/>
        </w:rPr>
      </w:pPr>
    </w:p>
    <w:p w14:paraId="7428FB0F">
      <w:pPr>
        <w:pStyle w:val="67"/>
        <w:ind w:firstLine="0" w:firstLineChars="0"/>
        <w:jc w:val="center"/>
        <w:rPr>
          <w:rFonts w:hint="default" w:ascii="Times New Roman" w:hAnsi="Times New Roman" w:cs="Times New Roman"/>
          <w:color w:val="auto"/>
          <w:highlight w:val="none"/>
        </w:rPr>
      </w:pPr>
    </w:p>
    <w:p w14:paraId="3BB3AEE3">
      <w:pPr>
        <w:pStyle w:val="67"/>
        <w:ind w:firstLine="0" w:firstLineChars="0"/>
        <w:jc w:val="center"/>
        <w:rPr>
          <w:rFonts w:hint="default" w:ascii="Times New Roman" w:hAnsi="Times New Roman" w:cs="Times New Roman"/>
          <w:color w:val="auto"/>
          <w:highlight w:val="none"/>
        </w:rPr>
      </w:pPr>
    </w:p>
    <w:p w14:paraId="13F0B54D">
      <w:pPr>
        <w:pStyle w:val="67"/>
        <w:ind w:firstLine="0" w:firstLineChars="0"/>
        <w:jc w:val="center"/>
        <w:rPr>
          <w:rFonts w:hint="default" w:ascii="Times New Roman" w:hAnsi="Times New Roman" w:cs="Times New Roman"/>
          <w:color w:val="auto"/>
          <w:highlight w:val="none"/>
        </w:rPr>
      </w:pPr>
    </w:p>
    <w:p w14:paraId="2521FEE4">
      <w:pPr>
        <w:pStyle w:val="67"/>
        <w:ind w:firstLine="0" w:firstLineChars="0"/>
        <w:jc w:val="center"/>
        <w:rPr>
          <w:rFonts w:hint="default" w:ascii="Times New Roman" w:hAnsi="Times New Roman" w:cs="Times New Roman"/>
          <w:color w:val="auto"/>
          <w:highlight w:val="none"/>
        </w:rPr>
      </w:pPr>
    </w:p>
    <w:p w14:paraId="59BBAACB">
      <w:pPr>
        <w:pStyle w:val="67"/>
        <w:ind w:firstLine="0" w:firstLineChars="0"/>
        <w:jc w:val="center"/>
        <w:rPr>
          <w:rFonts w:hint="default" w:ascii="Times New Roman" w:hAnsi="Times New Roman" w:cs="Times New Roman"/>
          <w:color w:val="auto"/>
          <w:highlight w:val="none"/>
        </w:rPr>
      </w:pPr>
    </w:p>
    <w:p w14:paraId="385C104E">
      <w:pPr>
        <w:pStyle w:val="67"/>
        <w:ind w:firstLine="0" w:firstLineChars="0"/>
        <w:rPr>
          <w:rFonts w:hint="default" w:ascii="Times New Roman" w:hAnsi="Times New Roman" w:cs="Times New Roman"/>
          <w:color w:val="auto"/>
          <w:highlight w:val="none"/>
        </w:rPr>
      </w:pPr>
    </w:p>
    <w:sectPr>
      <w:pgSz w:w="11906" w:h="16838"/>
      <w:pgMar w:top="1440" w:right="1800" w:bottom="1440" w:left="1800" w:header="851" w:footer="850" w:gutter="0"/>
      <w:pgBorders>
        <w:top w:val="none" w:sz="0" w:space="0"/>
        <w:left w:val="none" w:sz="0" w:space="0"/>
        <w:bottom w:val="none" w:sz="0" w:space="0"/>
        <w:right w:val="none" w:sz="0" w:space="0"/>
      </w:pgBorders>
      <w:cols w:space="425" w:num="1"/>
      <w:docGrid w:type="linesAndChar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美黑简体">
    <w:altName w:val="黑体"/>
    <w:panose1 w:val="03000509000000000000"/>
    <w:charset w:val="86"/>
    <w:family w:val="script"/>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汉仪仿宋简">
    <w:altName w:val="仿宋"/>
    <w:panose1 w:val="02010600000101010101"/>
    <w:charset w:val="86"/>
    <w:family w:val="decorative"/>
    <w:pitch w:val="default"/>
    <w:sig w:usb0="00000000" w:usb1="00000000" w:usb2="00000012" w:usb3="00000000" w:csb0="00020001" w:csb1="00000000"/>
  </w:font>
  <w:font w:name="新宋体">
    <w:panose1 w:val="02010609030101010101"/>
    <w:charset w:val="86"/>
    <w:family w:val="modern"/>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TimesNewRomanPSMT">
    <w:altName w:val="等线"/>
    <w:panose1 w:val="00000000000000000000"/>
    <w:charset w:val="00"/>
    <w:family w:val="roman"/>
    <w:pitch w:val="default"/>
    <w:sig w:usb0="00000000" w:usb1="00000000" w:usb2="00000000" w:usb3="00000000" w:csb0="00000001" w:csb1="00000000"/>
  </w:font>
  <w:font w:name="Times New Roman Regular">
    <w:altName w:val="Times New Roman"/>
    <w:panose1 w:val="02020603050405020304"/>
    <w:charset w:val="00"/>
    <w:family w:val="auto"/>
    <w:pitch w:val="default"/>
    <w:sig w:usb0="00000000" w:usb1="00000000" w:usb2="00000009" w:usb3="00000000" w:csb0="400001FF" w:csb1="FFFF0000"/>
  </w:font>
  <w:font w:name="Helvetica">
    <w:altName w:val="Arial"/>
    <w:panose1 w:val="00000000000000000000"/>
    <w:charset w:val="00"/>
    <w:family w:val="auto"/>
    <w:pitch w:val="default"/>
    <w:sig w:usb0="00000000" w:usb1="00000000" w:usb2="00000000" w:usb3="00000000" w:csb0="00000000" w:csb1="00000000"/>
  </w:font>
  <w:font w:name="Webdings">
    <w:panose1 w:val="05030102010509060703"/>
    <w:charset w:val="02"/>
    <w:family w:val="auto"/>
    <w:pitch w:val="default"/>
    <w:sig w:usb0="00000000" w:usb1="00000000" w:usb2="00000000" w:usb3="00000000" w:csb0="8000000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22003">
    <w:pPr>
      <w:pStyle w:val="31"/>
      <w:ind w:firstLine="0" w:firstLineChars="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C0C2A">
    <w:pPr>
      <w:spacing w:before="53" w:line="177" w:lineRule="auto"/>
      <w:ind w:left="4137"/>
      <w:rPr>
        <w:rFonts w:ascii="Times New Roman" w:hAnsi="Times New Roman" w:eastAsia="Times New Roman" w:cs="Times New Roman"/>
        <w:sz w:val="18"/>
        <w:szCs w:val="18"/>
      </w:rPr>
    </w:pPr>
    <w:r>
      <mc:AlternateContent>
        <mc:Choice Requires="wps">
          <w:drawing>
            <wp:anchor distT="0" distB="0" distL="114300" distR="114300" simplePos="0" relativeHeight="251688960" behindDoc="0" locked="0" layoutInCell="0" allowOverlap="1">
              <wp:simplePos x="0" y="0"/>
              <wp:positionH relativeFrom="page">
                <wp:posOffset>1080135</wp:posOffset>
              </wp:positionH>
              <wp:positionV relativeFrom="page">
                <wp:posOffset>9792335</wp:posOffset>
              </wp:positionV>
              <wp:extent cx="5400675" cy="6350"/>
              <wp:effectExtent l="0" t="0" r="0" b="0"/>
              <wp:wrapNone/>
              <wp:docPr id="188" name="任意多边形 188"/>
              <wp:cNvGraphicFramePr/>
              <a:graphic xmlns:a="http://schemas.openxmlformats.org/drawingml/2006/main">
                <a:graphicData uri="http://schemas.microsoft.com/office/word/2010/wordprocessingShape">
                  <wps:wsp>
                    <wps:cNvSpPr/>
                    <wps:spPr>
                      <a:xfrm>
                        <a:off x="0" y="0"/>
                        <a:ext cx="5400675" cy="6350"/>
                      </a:xfrm>
                      <a:custGeom>
                        <a:avLst/>
                        <a:gdLst/>
                        <a:ahLst/>
                        <a:cxnLst/>
                        <a:pathLst>
                          <a:path w="8505" h="10">
                            <a:moveTo>
                              <a:pt x="0" y="0"/>
                            </a:moveTo>
                            <a:lnTo>
                              <a:pt x="8504" y="0"/>
                            </a:lnTo>
                            <a:lnTo>
                              <a:pt x="8504"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5.05pt;margin-top:771.05pt;height:0.5pt;width:425.25pt;mso-position-horizontal-relative:page;mso-position-vertical-relative:page;z-index:251688960;mso-width-relative:page;mso-height-relative:page;" fillcolor="#000000" filled="t" stroked="f" coordsize="8505,10" o:allowincell="f" o:gfxdata="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DvFi72gAAAA4BAAAPAAAAAAAA&#10;AAEAIAAAACIAAABkcnMvZG93bnJldi54bWxQSwECFAAUAAAACACHTuJAGe1RgBACAAB9BAAADgAA&#10;AAAAAAABACAAAAApAQAAZHJzL2Uyb0RvYy54bWxQSwUGAAAAAAYABgBZAQAAqwUAAAAA&#10;" path="m0,0l8504,0,8504,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170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26C6B9">
    <w:pPr>
      <w:spacing w:before="52" w:line="177" w:lineRule="auto"/>
      <w:ind w:left="6752"/>
      <w:rPr>
        <w:rFonts w:ascii="Times New Roman" w:hAnsi="Times New Roman" w:eastAsia="Times New Roman" w:cs="Times New Roman"/>
        <w:sz w:val="18"/>
        <w:szCs w:val="18"/>
      </w:rPr>
    </w:pPr>
    <w:r>
      <mc:AlternateContent>
        <mc:Choice Requires="wps">
          <w:drawing>
            <wp:anchor distT="0" distB="0" distL="114300" distR="114300" simplePos="0" relativeHeight="251689984" behindDoc="0" locked="0" layoutInCell="0" allowOverlap="1">
              <wp:simplePos x="0" y="0"/>
              <wp:positionH relativeFrom="page">
                <wp:posOffset>935990</wp:posOffset>
              </wp:positionH>
              <wp:positionV relativeFrom="page">
                <wp:posOffset>6661150</wp:posOffset>
              </wp:positionV>
              <wp:extent cx="8676005" cy="6350"/>
              <wp:effectExtent l="0" t="0" r="0" b="0"/>
              <wp:wrapNone/>
              <wp:docPr id="189" name="任意多边形 189"/>
              <wp:cNvGraphicFramePr/>
              <a:graphic xmlns:a="http://schemas.openxmlformats.org/drawingml/2006/main">
                <a:graphicData uri="http://schemas.microsoft.com/office/word/2010/wordprocessingShape">
                  <wps:wsp>
                    <wps:cNvSpPr/>
                    <wps:spPr>
                      <a:xfrm>
                        <a:off x="0" y="0"/>
                        <a:ext cx="8676005" cy="6350"/>
                      </a:xfrm>
                      <a:custGeom>
                        <a:avLst/>
                        <a:gdLst/>
                        <a:ahLst/>
                        <a:cxnLst/>
                        <a:pathLst>
                          <a:path w="13663" h="10">
                            <a:moveTo>
                              <a:pt x="0" y="0"/>
                            </a:moveTo>
                            <a:lnTo>
                              <a:pt x="13662" y="0"/>
                            </a:lnTo>
                            <a:lnTo>
                              <a:pt x="1366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3.7pt;margin-top:524.5pt;height:0.5pt;width:683.15pt;mso-position-horizontal-relative:page;mso-position-vertical-relative:page;z-index:251689984;mso-width-relative:page;mso-height-relative:page;" fillcolor="#000000" filled="t" stroked="f" coordsize="13663,10" o:allowincell="f" o:gfxdata="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tMJ9bcAAAADgEAAA8A&#10;AAAAAAAAAQAgAAAAIgAAAGRycy9kb3ducmV2LnhtbFBLAQIUABQAAAAIAIdO4kAfxTfpEwIAAIAE&#10;AAAOAAAAAAAAAAEAIAAAACsBAABkcnMvZTJvRG9jLnhtbFBLBQYAAAAABgAGAFkBAACwBQAAAAA=&#10;" path="m0,0l13662,0,13662,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171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CA61F6">
    <w:pPr>
      <w:spacing w:before="53" w:line="177" w:lineRule="auto"/>
      <w:ind w:left="6754"/>
      <w:rPr>
        <w:rFonts w:ascii="Times New Roman" w:hAnsi="Times New Roman" w:eastAsia="Times New Roman" w:cs="Times New Roman"/>
        <w:sz w:val="18"/>
        <w:szCs w:val="18"/>
      </w:rPr>
    </w:pPr>
    <w:r>
      <w:rPr>
        <w:rFonts w:ascii="Times New Roman" w:hAnsi="Times New Roman" w:eastAsia="Times New Roman" w:cs="Times New Roman"/>
        <w:spacing w:val="-7"/>
        <w:sz w:val="18"/>
        <w:szCs w:val="18"/>
      </w:rPr>
      <w:t>172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14D812">
    <w:pPr>
      <w:pStyle w:val="3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40179">
    <w:pPr>
      <w:pStyle w:val="3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D078C9">
    <w:pPr>
      <w:pStyle w:val="31"/>
      <w:ind w:firstLine="0" w:firstLineChars="0"/>
      <w:rPr>
        <w:rFonts w:hint="eastAsia" w:eastAsia="宋体"/>
        <w:color w:val="000000" w:themeColor="text1"/>
        <w:lang w:eastAsia="zh-CN"/>
        <w14:textFill>
          <w14:solidFill>
            <w14:schemeClr w14:val="tx1"/>
          </w14:solidFill>
        </w14:textFill>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CA243B">
    <w:pPr>
      <w:pStyle w:val="31"/>
      <w:ind w:firstLine="360"/>
      <w:jc w:val="center"/>
    </w:pPr>
    <w:r>
      <w:fldChar w:fldCharType="begin"/>
    </w:r>
    <w:r>
      <w:instrText xml:space="preserve">PAGE   \* MERGEFORMAT</w:instrText>
    </w:r>
    <w:r>
      <w:fldChar w:fldCharType="separate"/>
    </w:r>
    <w:r>
      <w:rPr>
        <w:lang w:val="zh-CN"/>
      </w:rPr>
      <w:t>16</w:t>
    </w:r>
    <w:r>
      <w:fldChar w:fldCharType="end"/>
    </w:r>
  </w:p>
  <w:p w14:paraId="4C751F46">
    <w:pPr>
      <w:pStyle w:val="31"/>
      <w:ind w:firstLine="0" w:firstLineChars="0"/>
      <w:rPr>
        <w:rFonts w:hint="eastAsia" w:ascii="仿宋" w:hAnsi="仿宋" w:eastAsia="仿宋"/>
        <w:b/>
        <w:color w:val="auto"/>
        <w:lang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CCA46F">
    <w:pPr>
      <w:spacing w:before="53" w:line="177" w:lineRule="auto"/>
      <w:ind w:left="6618"/>
      <w:rPr>
        <w:rFonts w:ascii="Times New Roman" w:hAnsi="Times New Roman" w:eastAsia="Times New Roman" w:cs="Times New Roman"/>
        <w:sz w:val="18"/>
        <w:szCs w:val="18"/>
      </w:rPr>
    </w:pPr>
    <w:r>
      <mc:AlternateContent>
        <mc:Choice Requires="wps">
          <w:drawing>
            <wp:anchor distT="0" distB="0" distL="114300" distR="114300" simplePos="0" relativeHeight="251683840" behindDoc="0" locked="0" layoutInCell="0" allowOverlap="1">
              <wp:simplePos x="0" y="0"/>
              <wp:positionH relativeFrom="page">
                <wp:posOffset>1188085</wp:posOffset>
              </wp:positionH>
              <wp:positionV relativeFrom="page">
                <wp:posOffset>6741160</wp:posOffset>
              </wp:positionV>
              <wp:extent cx="8317865" cy="6350"/>
              <wp:effectExtent l="0" t="0" r="0" b="0"/>
              <wp:wrapNone/>
              <wp:docPr id="168" name="任意多边形 168"/>
              <wp:cNvGraphicFramePr/>
              <a:graphic xmlns:a="http://schemas.openxmlformats.org/drawingml/2006/main">
                <a:graphicData uri="http://schemas.microsoft.com/office/word/2010/wordprocessingShape">
                  <wps:wsp>
                    <wps:cNvSpPr/>
                    <wps:spPr>
                      <a:xfrm>
                        <a:off x="0" y="0"/>
                        <a:ext cx="8317865" cy="6350"/>
                      </a:xfrm>
                      <a:custGeom>
                        <a:avLst/>
                        <a:gdLst/>
                        <a:ahLst/>
                        <a:cxnLst/>
                        <a:pathLst>
                          <a:path w="13099" h="10">
                            <a:moveTo>
                              <a:pt x="0" y="0"/>
                            </a:moveTo>
                            <a:lnTo>
                              <a:pt x="13098" y="0"/>
                            </a:lnTo>
                            <a:lnTo>
                              <a:pt x="13098"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93.55pt;margin-top:530.8pt;height:0.5pt;width:654.95pt;mso-position-horizontal-relative:page;mso-position-vertical-relative:page;z-index:251683840;mso-width-relative:page;mso-height-relative:page;" fillcolor="#000000" filled="t" stroked="f" coordsize="13099,10" o:allowincell="f" o:gfxdata="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Rh3T7bAAAADgEAAA8AAAAA&#10;AAAAAQAgAAAAIgAAAGRycy9kb3ducmV2LnhtbFBLAQIUABQAAAAIAIdO4kAa7/heEQIAAIAEAAAO&#10;AAAAAAAAAAEAIAAAACoBAABkcnMvZTJvRG9jLnhtbFBLBQYAAAAABgAGAFkBAACtBQAAAAA=&#10;" path="m0,0l13098,0,13098,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165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7196A">
    <w:pPr>
      <w:spacing w:before="52" w:line="177" w:lineRule="auto"/>
      <w:ind w:left="4137"/>
      <w:rPr>
        <w:rFonts w:ascii="Times New Roman" w:hAnsi="Times New Roman" w:eastAsia="Times New Roman" w:cs="Times New Roman"/>
        <w:sz w:val="18"/>
        <w:szCs w:val="18"/>
      </w:rPr>
    </w:pPr>
    <w:r>
      <mc:AlternateContent>
        <mc:Choice Requires="wps">
          <w:drawing>
            <wp:anchor distT="0" distB="0" distL="114300" distR="114300" simplePos="0" relativeHeight="251684864" behindDoc="0" locked="0" layoutInCell="0" allowOverlap="1">
              <wp:simplePos x="0" y="0"/>
              <wp:positionH relativeFrom="page">
                <wp:posOffset>1080135</wp:posOffset>
              </wp:positionH>
              <wp:positionV relativeFrom="page">
                <wp:posOffset>9792970</wp:posOffset>
              </wp:positionV>
              <wp:extent cx="5400675" cy="6350"/>
              <wp:effectExtent l="0" t="0" r="0" b="0"/>
              <wp:wrapNone/>
              <wp:docPr id="186" name="任意多边形 186"/>
              <wp:cNvGraphicFramePr/>
              <a:graphic xmlns:a="http://schemas.openxmlformats.org/drawingml/2006/main">
                <a:graphicData uri="http://schemas.microsoft.com/office/word/2010/wordprocessingShape">
                  <wps:wsp>
                    <wps:cNvSpPr/>
                    <wps:spPr>
                      <a:xfrm>
                        <a:off x="0" y="0"/>
                        <a:ext cx="5400675" cy="6350"/>
                      </a:xfrm>
                      <a:custGeom>
                        <a:avLst/>
                        <a:gdLst/>
                        <a:ahLst/>
                        <a:cxnLst/>
                        <a:pathLst>
                          <a:path w="8505" h="10">
                            <a:moveTo>
                              <a:pt x="0" y="0"/>
                            </a:moveTo>
                            <a:lnTo>
                              <a:pt x="8504" y="0"/>
                            </a:lnTo>
                            <a:lnTo>
                              <a:pt x="8504"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5.05pt;margin-top:771.1pt;height:0.5pt;width:425.25pt;mso-position-horizontal-relative:page;mso-position-vertical-relative:page;z-index:251684864;mso-width-relative:page;mso-height-relative:page;" fillcolor="#000000" filled="t" stroked="f" coordsize="8505,10" o:allowincell="f" o:gfxdata="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BEmlcvbAAAADgEAAA8AAAAA&#10;AAAAAQAgAAAAIgAAAGRycy9kb3ducmV2LnhtbFBLAQIUABQAAAAIAIdO4kBh54bgEQIAAH0EAAAO&#10;AAAAAAAAAAEAIAAAACoBAABkcnMvZTJvRG9jLnhtbFBLBQYAAAAABgAGAFkBAACtBQAAAAA=&#10;" path="m0,0l8504,0,8504,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167</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06ED3">
    <w:pPr>
      <w:spacing w:before="53" w:line="177" w:lineRule="auto"/>
      <w:ind w:left="4137"/>
      <w:rPr>
        <w:rFonts w:ascii="Times New Roman" w:hAnsi="Times New Roman" w:eastAsia="Times New Roman" w:cs="Times New Roman"/>
        <w:sz w:val="18"/>
        <w:szCs w:val="18"/>
      </w:rPr>
    </w:pPr>
    <w:r>
      <mc:AlternateContent>
        <mc:Choice Requires="wps">
          <w:drawing>
            <wp:anchor distT="0" distB="0" distL="114300" distR="114300" simplePos="0" relativeHeight="251686912" behindDoc="0" locked="0" layoutInCell="0" allowOverlap="1">
              <wp:simplePos x="0" y="0"/>
              <wp:positionH relativeFrom="page">
                <wp:posOffset>1080135</wp:posOffset>
              </wp:positionH>
              <wp:positionV relativeFrom="page">
                <wp:posOffset>9792335</wp:posOffset>
              </wp:positionV>
              <wp:extent cx="5400675" cy="6350"/>
              <wp:effectExtent l="0" t="0" r="0" b="0"/>
              <wp:wrapNone/>
              <wp:docPr id="181" name="任意多边形 181"/>
              <wp:cNvGraphicFramePr/>
              <a:graphic xmlns:a="http://schemas.openxmlformats.org/drawingml/2006/main">
                <a:graphicData uri="http://schemas.microsoft.com/office/word/2010/wordprocessingShape">
                  <wps:wsp>
                    <wps:cNvSpPr/>
                    <wps:spPr>
                      <a:xfrm>
                        <a:off x="0" y="0"/>
                        <a:ext cx="5400675" cy="6350"/>
                      </a:xfrm>
                      <a:custGeom>
                        <a:avLst/>
                        <a:gdLst/>
                        <a:ahLst/>
                        <a:cxnLst/>
                        <a:pathLst>
                          <a:path w="8505" h="10">
                            <a:moveTo>
                              <a:pt x="0" y="0"/>
                            </a:moveTo>
                            <a:lnTo>
                              <a:pt x="8504" y="0"/>
                            </a:lnTo>
                            <a:lnTo>
                              <a:pt x="8504"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5.05pt;margin-top:771.05pt;height:0.5pt;width:425.25pt;mso-position-horizontal-relative:page;mso-position-vertical-relative:page;z-index:251686912;mso-width-relative:page;mso-height-relative:page;" fillcolor="#000000" filled="t" stroked="f" coordsize="8505,10" o:allowincell="f" o:gfxdata="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DvFi72gAAAA4BAAAPAAAAAAAA&#10;AAEAIAAAACIAAABkcnMvZG93bnJldi54bWxQSwECFAAUAAAACACHTuJAXWLt0BACAAB9BAAADgAA&#10;AAAAAAABACAAAAApAQAAZHJzL2Uyb0RvYy54bWxQSwUGAAAAAAYABgBZAQAAqwUAAAAA&#10;" path="m0,0l8504,0,8504,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168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AEF73">
    <w:pPr>
      <w:spacing w:before="52" w:line="177" w:lineRule="auto"/>
      <w:ind w:left="6746"/>
      <w:rPr>
        <w:rFonts w:ascii="Times New Roman" w:hAnsi="Times New Roman" w:eastAsia="Times New Roman" w:cs="Times New Roman"/>
        <w:sz w:val="18"/>
        <w:szCs w:val="18"/>
      </w:rPr>
    </w:pPr>
    <w:r>
      <mc:AlternateContent>
        <mc:Choice Requires="wps">
          <w:drawing>
            <wp:anchor distT="0" distB="0" distL="114300" distR="114300" simplePos="0" relativeHeight="251687936" behindDoc="0" locked="0" layoutInCell="0" allowOverlap="1">
              <wp:simplePos x="0" y="0"/>
              <wp:positionH relativeFrom="page">
                <wp:posOffset>935990</wp:posOffset>
              </wp:positionH>
              <wp:positionV relativeFrom="page">
                <wp:posOffset>6661150</wp:posOffset>
              </wp:positionV>
              <wp:extent cx="8676005" cy="6350"/>
              <wp:effectExtent l="0" t="0" r="0" b="0"/>
              <wp:wrapNone/>
              <wp:docPr id="187" name="任意多边形 187"/>
              <wp:cNvGraphicFramePr/>
              <a:graphic xmlns:a="http://schemas.openxmlformats.org/drawingml/2006/main">
                <a:graphicData uri="http://schemas.microsoft.com/office/word/2010/wordprocessingShape">
                  <wps:wsp>
                    <wps:cNvSpPr/>
                    <wps:spPr>
                      <a:xfrm>
                        <a:off x="0" y="0"/>
                        <a:ext cx="8676005" cy="6350"/>
                      </a:xfrm>
                      <a:custGeom>
                        <a:avLst/>
                        <a:gdLst/>
                        <a:ahLst/>
                        <a:cxnLst/>
                        <a:pathLst>
                          <a:path w="13663" h="10">
                            <a:moveTo>
                              <a:pt x="0" y="0"/>
                            </a:moveTo>
                            <a:lnTo>
                              <a:pt x="13662" y="0"/>
                            </a:lnTo>
                            <a:lnTo>
                              <a:pt x="13662" y="9"/>
                            </a:lnTo>
                            <a:lnTo>
                              <a:pt x="0" y="9"/>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73.7pt;margin-top:524.5pt;height:0.5pt;width:683.15pt;mso-position-horizontal-relative:page;mso-position-vertical-relative:page;z-index:251687936;mso-width-relative:page;mso-height-relative:page;" fillcolor="#000000" filled="t" stroked="f" coordsize="13663,10" o:allowincell="f" o:gfxdata="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LTCfW3AAAAA4BAAAPAAAA&#10;AAAAAAEAIAAAACIAAABkcnMvZG93bnJldi54bWxQSwECFAAUAAAACACHTuJAalONURECAACABAAA&#10;DgAAAAAAAAABACAAAAArAQAAZHJzL2Uyb0RvYy54bWxQSwUGAAAAAAYABgBZAQAArgUAAAAA&#10;" path="m0,0l13662,0,13662,9,0,9,0,0xe">
              <v:fill on="t" focussize="0,0"/>
              <v:stroke on="f"/>
              <v:imagedata o:title=""/>
              <o:lock v:ext="edit" aspectratio="f"/>
            </v:shape>
          </w:pict>
        </mc:Fallback>
      </mc:AlternateContent>
    </w:r>
    <w:r>
      <w:rPr>
        <w:rFonts w:ascii="Times New Roman" w:hAnsi="Times New Roman" w:eastAsia="Times New Roman" w:cs="Times New Roman"/>
        <w:spacing w:val="-7"/>
        <w:sz w:val="18"/>
        <w:szCs w:val="18"/>
      </w:rPr>
      <w:t>169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6702D">
    <w:pPr>
      <w:ind w:firstLine="0" w:firstLineChars="0"/>
      <w:jc w:val="cent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A0AEC2">
    <w:pPr>
      <w:spacing w:before="56" w:line="226" w:lineRule="auto"/>
      <w:ind w:left="4567"/>
      <w:rPr>
        <w:rFonts w:ascii="宋体" w:hAnsi="宋体" w:eastAsia="宋体" w:cs="宋体"/>
        <w:sz w:val="20"/>
        <w:szCs w:val="20"/>
      </w:rPr>
    </w:pPr>
    <w:r>
      <w:rPr>
        <w:rFonts w:ascii="宋体" w:hAnsi="宋体" w:eastAsia="宋体" w:cs="宋体"/>
        <w:spacing w:val="9"/>
        <w:sz w:val="20"/>
        <w:szCs w:val="20"/>
      </w:rPr>
      <w:t>肇源县和平乡青松养猪场扩建项目环境影响报告书</w:t>
    </w:r>
  </w:p>
  <w:p w14:paraId="5DF0194D">
    <w:pPr>
      <w:spacing w:before="15" w:line="48" w:lineRule="exact"/>
      <w:ind w:firstLine="35"/>
    </w:pPr>
    <w:r>
      <w:rPr>
        <w:position w:val="-1"/>
      </w:rPr>
      <mc:AlternateContent>
        <mc:Choice Requires="wps">
          <w:drawing>
            <wp:inline distT="0" distB="0" distL="114300" distR="114300">
              <wp:extent cx="8676005" cy="36830"/>
              <wp:effectExtent l="0" t="0" r="10795" b="1270"/>
              <wp:docPr id="178" name="任意多边形 178"/>
              <wp:cNvGraphicFramePr/>
              <a:graphic xmlns:a="http://schemas.openxmlformats.org/drawingml/2006/main">
                <a:graphicData uri="http://schemas.microsoft.com/office/word/2010/wordprocessingShape">
                  <wps:wsp>
                    <wps:cNvSpPr/>
                    <wps:spPr>
                      <a:xfrm>
                        <a:off x="0" y="0"/>
                        <a:ext cx="8676005" cy="36830"/>
                      </a:xfrm>
                      <a:custGeom>
                        <a:avLst/>
                        <a:gdLst/>
                        <a:ahLst/>
                        <a:cxnLst/>
                        <a:pathLst>
                          <a:path w="13663" h="58">
                            <a:moveTo>
                              <a:pt x="0" y="0"/>
                            </a:moveTo>
                            <a:lnTo>
                              <a:pt x="13662" y="0"/>
                            </a:lnTo>
                            <a:lnTo>
                              <a:pt x="13662" y="28"/>
                            </a:lnTo>
                            <a:lnTo>
                              <a:pt x="0" y="28"/>
                            </a:lnTo>
                            <a:lnTo>
                              <a:pt x="0" y="0"/>
                            </a:lnTo>
                            <a:close/>
                          </a:path>
                          <a:path w="13663" h="58">
                            <a:moveTo>
                              <a:pt x="0" y="43"/>
                            </a:moveTo>
                            <a:lnTo>
                              <a:pt x="13662" y="43"/>
                            </a:lnTo>
                            <a:lnTo>
                              <a:pt x="13662" y="57"/>
                            </a:lnTo>
                            <a:lnTo>
                              <a:pt x="0" y="57"/>
                            </a:lnTo>
                            <a:lnTo>
                              <a:pt x="0" y="43"/>
                            </a:lnTo>
                            <a:close/>
                          </a:path>
                        </a:pathLst>
                      </a:custGeom>
                      <a:solidFill>
                        <a:srgbClr val="000000"/>
                      </a:solidFill>
                      <a:ln>
                        <a:noFill/>
                      </a:ln>
                    </wps:spPr>
                    <wps:bodyPr upright="1"/>
                  </wps:wsp>
                </a:graphicData>
              </a:graphic>
            </wp:inline>
          </w:drawing>
        </mc:Choice>
        <mc:Fallback>
          <w:pict>
            <v:shape id="_x0000_s1026" o:spid="_x0000_s1026" o:spt="100" style="height:2.9pt;width:683.15pt;" fillcolor="#000000" filled="t" stroked="f" coordsize="13663,58" o:gfxdata="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W88BrVAAAABAEAAA8AAAAAAAAAAQAgAAAAIgAAAGRycy9kb3ducmV2&#10;LnhtbFBLAQIUABQAAAAIAIdO4kCM0wzUOAIAAHQFAAAOAAAAAAAAAAEAIAAAACQBAABkcnMvZTJv&#10;RG9jLnhtbFBLBQYAAAAABgAGAFkBAADOBQAAAAA=&#10;" path="m0,0l13662,0,13662,28,0,28,0,0xem0,43l13662,43,13662,57,0,57,0,43xe">
              <v:fill on="t" focussize="0,0"/>
              <v:stroke on="f"/>
              <v:imagedata o:title=""/>
              <o:lock v:ext="edit" aspectratio="f"/>
              <w10:wrap type="none"/>
              <w10:anchorlock/>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48436">
    <w:pPr>
      <w:pStyle w:val="32"/>
      <w:pBdr>
        <w:bottom w:val="single" w:color="auto" w:sz="6" w:space="0"/>
      </w:pBdr>
      <w:ind w:left="0" w:leftChars="0" w:firstLine="0" w:firstLineChars="0"/>
      <w:jc w:val="center"/>
      <w:rPr>
        <w:rFonts w:eastAsia="黑体"/>
        <w:bCs/>
        <w:sz w:val="16"/>
        <w:szCs w:val="16"/>
      </w:rPr>
    </w:pPr>
    <w:r>
      <w:rPr>
        <w:rFonts w:hint="eastAsia" w:ascii="Times New Roman" w:hAnsi="Times New Roman" w:eastAsia="黑体" w:cs="Times New Roman"/>
        <w:bCs/>
        <w:sz w:val="16"/>
        <w:szCs w:val="16"/>
        <w:lang w:val="en-US" w:eastAsia="zh-CN"/>
      </w:rPr>
      <w:t>黑龙江省黑河市孙吴县黑尊牛(黑龙江)牧业科技有限公司万头安格斯高端肉牛育种养殖项目</w:t>
    </w:r>
    <w:r>
      <w:rPr>
        <w:rFonts w:ascii="Times New Roman" w:hAnsi="Times New Roman" w:eastAsia="黑体" w:cs="Times New Roman"/>
        <w:bCs/>
        <w:sz w:val="16"/>
        <w:szCs w:val="16"/>
      </w:rPr>
      <w:t>环境影</w:t>
    </w:r>
    <w:r>
      <w:rPr>
        <w:rFonts w:eastAsia="黑体"/>
        <w:bCs/>
        <w:sz w:val="16"/>
        <w:szCs w:val="16"/>
      </w:rPr>
      <w:t>响报告书</w:t>
    </w:r>
  </w:p>
  <w:p w14:paraId="6063BA34">
    <w:pPr>
      <w:spacing w:before="56" w:line="226" w:lineRule="auto"/>
      <w:ind w:left="4749"/>
      <w:rPr>
        <w:rFonts w:ascii="宋体" w:hAnsi="宋体" w:eastAsia="宋体" w:cs="宋体"/>
        <w:sz w:val="20"/>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70700"/>
  <w:p w14:paraId="400AF1A6">
    <w:pPr>
      <w:ind w:left="284"/>
      <w:rPr>
        <w:rFonts w:ascii="黑体" w:hAnsi="黑体" w:eastAsia="黑体"/>
      </w:rPr>
    </w:pPr>
    <w:r>
      <w:rPr>
        <w:rFonts w:hint="eastAsia" w:ascii="黑体" w:hAnsi="黑体" w:eastAsia="黑体"/>
      </w:rPr>
      <w:t>HJ 2.3—2018</w:t>
    </w:r>
  </w:p>
  <w:p w14:paraId="1408EC34">
    <w:pPr>
      <w:ind w:left="284" w:right="120" w:rightChars="50"/>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81DD0F">
    <w:pPr>
      <w:pStyle w:val="3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3D500">
    <w:pPr>
      <w:pStyle w:val="3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0F6E6">
    <w:pPr>
      <w:pStyle w:val="32"/>
      <w:pBdr>
        <w:bottom w:val="single" w:color="auto" w:sz="6" w:space="0"/>
      </w:pBdr>
      <w:ind w:left="0" w:leftChars="0" w:firstLine="0" w:firstLineChars="0"/>
      <w:jc w:val="center"/>
      <w:rPr>
        <w:rFonts w:eastAsia="黑体"/>
        <w:bCs/>
        <w:sz w:val="16"/>
        <w:szCs w:val="16"/>
      </w:rPr>
    </w:pPr>
    <w:r>
      <w:rPr>
        <w:rFonts w:hint="eastAsia" w:ascii="Times New Roman" w:hAnsi="Times New Roman" w:eastAsia="黑体" w:cs="Times New Roman"/>
        <w:bCs/>
        <w:sz w:val="16"/>
        <w:szCs w:val="16"/>
        <w:lang w:val="en-US" w:eastAsia="zh-CN"/>
      </w:rPr>
      <w:t>黑龙江省黑河市孙吴县黑尊牛(黑龙江)牧业科技有限公司万头安格斯高端肉牛育种养殖项目</w:t>
    </w:r>
    <w:r>
      <w:rPr>
        <w:rFonts w:ascii="Times New Roman" w:hAnsi="Times New Roman" w:eastAsia="黑体" w:cs="Times New Roman"/>
        <w:bCs/>
        <w:sz w:val="16"/>
        <w:szCs w:val="16"/>
      </w:rPr>
      <w:t>环境影</w:t>
    </w:r>
    <w:r>
      <w:rPr>
        <w:rFonts w:eastAsia="黑体"/>
        <w:bCs/>
        <w:sz w:val="16"/>
        <w:szCs w:val="16"/>
      </w:rPr>
      <w:t>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8CAB6">
    <w:pPr>
      <w:pStyle w:val="32"/>
      <w:pBdr>
        <w:bottom w:val="single" w:color="auto" w:sz="6" w:space="0"/>
      </w:pBdr>
      <w:ind w:left="0" w:leftChars="0" w:firstLine="0" w:firstLineChars="0"/>
      <w:jc w:val="center"/>
      <w:rPr>
        <w:rFonts w:eastAsia="黑体"/>
        <w:bCs/>
        <w:sz w:val="16"/>
        <w:szCs w:val="16"/>
      </w:rPr>
    </w:pPr>
    <w:r>
      <w:rPr>
        <w:rFonts w:hint="eastAsia" w:ascii="Times New Roman" w:hAnsi="Times New Roman" w:eastAsia="黑体" w:cs="Times New Roman"/>
        <w:bCs/>
        <w:sz w:val="16"/>
        <w:szCs w:val="16"/>
        <w:lang w:val="en-US" w:eastAsia="zh-CN"/>
      </w:rPr>
      <w:t>黑龙江省黑河市孙吴县黑尊牛(黑龙江)牧业科技有限公司万头安格斯高端肉牛育种养殖项目</w:t>
    </w:r>
    <w:r>
      <w:rPr>
        <w:rFonts w:ascii="Times New Roman" w:hAnsi="Times New Roman" w:eastAsia="黑体" w:cs="Times New Roman"/>
        <w:bCs/>
        <w:sz w:val="16"/>
        <w:szCs w:val="16"/>
      </w:rPr>
      <w:t>环境影</w:t>
    </w:r>
    <w:r>
      <w:rPr>
        <w:rFonts w:eastAsia="黑体"/>
        <w:bCs/>
        <w:sz w:val="16"/>
        <w:szCs w:val="16"/>
      </w:rPr>
      <w:t>响报告书</w:t>
    </w:r>
  </w:p>
  <w:p w14:paraId="0FB4A2D3">
    <w:pPr>
      <w:spacing w:before="56" w:line="226" w:lineRule="auto"/>
      <w:ind w:left="4433"/>
      <w:rPr>
        <w:rFonts w:ascii="宋体" w:hAnsi="宋体" w:eastAsia="宋体" w:cs="宋体"/>
        <w:sz w:val="20"/>
        <w:szCs w:val="20"/>
      </w:rPr>
    </w:pPr>
  </w:p>
  <w:p w14:paraId="03C06941">
    <w:pPr>
      <w:spacing w:before="14" w:line="48" w:lineRule="exact"/>
      <w:ind w:firstLine="18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F1E7DA">
    <w:pPr>
      <w:pStyle w:val="32"/>
      <w:pBdr>
        <w:bottom w:val="single" w:color="auto" w:sz="6" w:space="0"/>
      </w:pBdr>
      <w:ind w:left="0" w:leftChars="0" w:firstLine="0" w:firstLineChars="0"/>
      <w:jc w:val="center"/>
      <w:rPr>
        <w:rFonts w:eastAsia="黑体"/>
        <w:bCs/>
        <w:sz w:val="16"/>
        <w:szCs w:val="16"/>
      </w:rPr>
    </w:pPr>
    <w:r>
      <w:rPr>
        <w:rFonts w:hint="eastAsia" w:ascii="Times New Roman" w:hAnsi="Times New Roman" w:eastAsia="黑体" w:cs="Times New Roman"/>
        <w:bCs/>
        <w:sz w:val="16"/>
        <w:szCs w:val="16"/>
        <w:lang w:val="en-US" w:eastAsia="zh-CN"/>
      </w:rPr>
      <w:t>黑龙江省黑河市孙吴县黑尊牛(黑龙江)牧业科技有限公司万头安格斯高端肉牛育种养殖项目</w:t>
    </w:r>
    <w:r>
      <w:rPr>
        <w:rFonts w:ascii="Times New Roman" w:hAnsi="Times New Roman" w:eastAsia="黑体" w:cs="Times New Roman"/>
        <w:bCs/>
        <w:sz w:val="16"/>
        <w:szCs w:val="16"/>
      </w:rPr>
      <w:t>环境影</w:t>
    </w:r>
    <w:r>
      <w:rPr>
        <w:rFonts w:eastAsia="黑体"/>
        <w:bCs/>
        <w:sz w:val="16"/>
        <w:szCs w:val="16"/>
      </w:rPr>
      <w:t>响报告书</w:t>
    </w:r>
  </w:p>
  <w:p w14:paraId="13050043">
    <w:pPr>
      <w:spacing w:before="15" w:line="48" w:lineRule="exac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5D881D">
    <w:pPr>
      <w:spacing w:before="56" w:line="226" w:lineRule="auto"/>
      <w:ind w:left="2132"/>
      <w:rPr>
        <w:rFonts w:ascii="宋体" w:hAnsi="宋体" w:eastAsia="宋体" w:cs="宋体"/>
        <w:sz w:val="20"/>
        <w:szCs w:val="20"/>
      </w:rPr>
    </w:pPr>
    <w:r>
      <mc:AlternateContent>
        <mc:Choice Requires="wps">
          <w:drawing>
            <wp:anchor distT="0" distB="0" distL="114300" distR="114300" simplePos="0" relativeHeight="251685888" behindDoc="0" locked="0" layoutInCell="0" allowOverlap="1">
              <wp:simplePos x="0" y="0"/>
              <wp:positionH relativeFrom="page">
                <wp:posOffset>1080135</wp:posOffset>
              </wp:positionH>
              <wp:positionV relativeFrom="page">
                <wp:posOffset>905510</wp:posOffset>
              </wp:positionV>
              <wp:extent cx="5400675" cy="9525"/>
              <wp:effectExtent l="0" t="0" r="0" b="0"/>
              <wp:wrapNone/>
              <wp:docPr id="184" name="任意多边形 184"/>
              <wp:cNvGraphicFramePr/>
              <a:graphic xmlns:a="http://schemas.openxmlformats.org/drawingml/2006/main">
                <a:graphicData uri="http://schemas.microsoft.com/office/word/2010/wordprocessingShape">
                  <wps:wsp>
                    <wps:cNvSpPr/>
                    <wps:spPr>
                      <a:xfrm>
                        <a:off x="0" y="0"/>
                        <a:ext cx="5400675" cy="9525"/>
                      </a:xfrm>
                      <a:custGeom>
                        <a:avLst/>
                        <a:gdLst/>
                        <a:ahLst/>
                        <a:cxnLst/>
                        <a:pathLst>
                          <a:path w="8505" h="15">
                            <a:moveTo>
                              <a:pt x="0" y="0"/>
                            </a:moveTo>
                            <a:lnTo>
                              <a:pt x="8504" y="0"/>
                            </a:lnTo>
                            <a:lnTo>
                              <a:pt x="8504"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5.05pt;margin-top:71.3pt;height:0.75pt;width:425.25pt;mso-position-horizontal-relative:page;mso-position-vertical-relative:page;z-index:251685888;mso-width-relative:page;mso-height-relative:page;" fillcolor="#000000" filled="t" stroked="f" coordsize="8505,15" o:allowincell="f" o:gfxdata="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2K0X2QAAAAwBAAAPAAAAAAAA&#10;AAEAIAAAACIAAABkcnMvZG93bnJldi54bWxQSwECFAAUAAAACACHTuJALPbHAhECAAB/BAAADgAA&#10;AAAAAAABACAAAAAoAQAAZHJzL2Uyb0RvYy54bWxQSwUGAAAAAAYABgBZAQAAqwUAAAAA&#10;" path="m0,0l8504,0,8504,14,0,14,0,0xe">
              <v:fill on="t" focussize="0,0"/>
              <v:stroke on="f"/>
              <v:imagedata o:title=""/>
              <o:lock v:ext="edit" aspectratio="f"/>
            </v:shape>
          </w:pict>
        </mc:Fallback>
      </mc:AlternateContent>
    </w:r>
    <w:r>
      <w:rPr>
        <w:rFonts w:ascii="宋体" w:hAnsi="宋体" w:eastAsia="宋体" w:cs="宋体"/>
        <w:spacing w:val="9"/>
        <w:sz w:val="20"/>
        <w:szCs w:val="20"/>
      </w:rPr>
      <w:t>肇源县和平乡青松养猪场扩建项目环境影响报告书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61823B">
    <w:pPr>
      <w:spacing w:before="56" w:line="226" w:lineRule="auto"/>
      <w:ind w:left="4561"/>
      <w:rPr>
        <w:rFonts w:ascii="宋体" w:hAnsi="宋体" w:eastAsia="宋体" w:cs="宋体"/>
        <w:sz w:val="20"/>
        <w:szCs w:val="20"/>
      </w:rPr>
    </w:pPr>
    <w:r>
      <w:rPr>
        <w:rFonts w:ascii="宋体" w:hAnsi="宋体" w:eastAsia="宋体" w:cs="宋体"/>
        <w:spacing w:val="9"/>
        <w:sz w:val="20"/>
        <w:szCs w:val="20"/>
      </w:rPr>
      <w:t>肇源县和平乡青松养猪场扩建项目环境影响报告书</w:t>
    </w:r>
  </w:p>
  <w:p w14:paraId="2D3A4537">
    <w:pPr>
      <w:spacing w:before="15" w:line="48" w:lineRule="exact"/>
      <w:ind w:firstLine="29"/>
    </w:pPr>
    <w:r>
      <w:rPr>
        <w:position w:val="-1"/>
      </w:rPr>
      <mc:AlternateContent>
        <mc:Choice Requires="wps">
          <w:drawing>
            <wp:inline distT="0" distB="0" distL="114300" distR="114300">
              <wp:extent cx="8676005" cy="36830"/>
              <wp:effectExtent l="0" t="0" r="10795" b="1270"/>
              <wp:docPr id="180" name="任意多边形 180"/>
              <wp:cNvGraphicFramePr/>
              <a:graphic xmlns:a="http://schemas.openxmlformats.org/drawingml/2006/main">
                <a:graphicData uri="http://schemas.microsoft.com/office/word/2010/wordprocessingShape">
                  <wps:wsp>
                    <wps:cNvSpPr/>
                    <wps:spPr>
                      <a:xfrm>
                        <a:off x="0" y="0"/>
                        <a:ext cx="8676005" cy="36830"/>
                      </a:xfrm>
                      <a:custGeom>
                        <a:avLst/>
                        <a:gdLst/>
                        <a:ahLst/>
                        <a:cxnLst/>
                        <a:pathLst>
                          <a:path w="13663" h="58">
                            <a:moveTo>
                              <a:pt x="0" y="0"/>
                            </a:moveTo>
                            <a:lnTo>
                              <a:pt x="13662" y="0"/>
                            </a:lnTo>
                            <a:lnTo>
                              <a:pt x="13662" y="28"/>
                            </a:lnTo>
                            <a:lnTo>
                              <a:pt x="0" y="28"/>
                            </a:lnTo>
                            <a:lnTo>
                              <a:pt x="0" y="0"/>
                            </a:lnTo>
                            <a:close/>
                          </a:path>
                          <a:path w="13663" h="58">
                            <a:moveTo>
                              <a:pt x="0" y="43"/>
                            </a:moveTo>
                            <a:lnTo>
                              <a:pt x="13662" y="43"/>
                            </a:lnTo>
                            <a:lnTo>
                              <a:pt x="13662" y="57"/>
                            </a:lnTo>
                            <a:lnTo>
                              <a:pt x="0" y="57"/>
                            </a:lnTo>
                            <a:lnTo>
                              <a:pt x="0" y="43"/>
                            </a:lnTo>
                            <a:close/>
                          </a:path>
                        </a:pathLst>
                      </a:custGeom>
                      <a:solidFill>
                        <a:srgbClr val="000000"/>
                      </a:solidFill>
                      <a:ln>
                        <a:noFill/>
                      </a:ln>
                    </wps:spPr>
                    <wps:bodyPr upright="1"/>
                  </wps:wsp>
                </a:graphicData>
              </a:graphic>
            </wp:inline>
          </w:drawing>
        </mc:Choice>
        <mc:Fallback>
          <w:pict>
            <v:shape id="_x0000_s1026" o:spid="_x0000_s1026" o:spt="100" style="height:2.9pt;width:683.15pt;" fillcolor="#000000" filled="t" stroked="f" coordsize="13663,58" o:gfxdata="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JbzwGtUAAAAEAQAADwAAAAAAAAABACAAAAAiAAAAZHJzL2Rvd25yZXYueG1sUEsB&#10;AhQAFAAAAAgAh07iQHaEwbAxAgAAdAUAAA4AAAAAAAAAAQAgAAAAJAEAAGRycy9lMm9Eb2MueG1s&#10;UEsFBgAAAAAGAAYAWQEAAMcFAAAAAA==&#10;" path="m0,0l13662,0,13662,28,0,28,0,0xem0,43l13662,43,13662,57,0,57,0,43xe">
              <v:fill on="t" focussize="0,0"/>
              <v:stroke on="f"/>
              <v:imagedata o:title=""/>
              <o:lock v:ext="edit" aspectratio="f"/>
              <w10:wrap type="none"/>
              <w10:anchorlock/>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162ED0">
    <w:pPr>
      <w:spacing w:before="56" w:line="226" w:lineRule="auto"/>
      <w:ind w:left="2132"/>
      <w:rPr>
        <w:rFonts w:ascii="宋体" w:hAnsi="宋体" w:eastAsia="宋体" w:cs="宋体"/>
        <w:sz w:val="20"/>
        <w:szCs w:val="20"/>
      </w:rPr>
    </w:pPr>
    <w:r>
      <mc:AlternateContent>
        <mc:Choice Requires="wps">
          <w:drawing>
            <wp:anchor distT="0" distB="0" distL="114300" distR="114300" simplePos="0" relativeHeight="251685888" behindDoc="0" locked="0" layoutInCell="0" allowOverlap="1">
              <wp:simplePos x="0" y="0"/>
              <wp:positionH relativeFrom="page">
                <wp:posOffset>1080135</wp:posOffset>
              </wp:positionH>
              <wp:positionV relativeFrom="page">
                <wp:posOffset>905510</wp:posOffset>
              </wp:positionV>
              <wp:extent cx="5400675" cy="9525"/>
              <wp:effectExtent l="0" t="0" r="0" b="0"/>
              <wp:wrapNone/>
              <wp:docPr id="177" name="任意多边形 177"/>
              <wp:cNvGraphicFramePr/>
              <a:graphic xmlns:a="http://schemas.openxmlformats.org/drawingml/2006/main">
                <a:graphicData uri="http://schemas.microsoft.com/office/word/2010/wordprocessingShape">
                  <wps:wsp>
                    <wps:cNvSpPr/>
                    <wps:spPr>
                      <a:xfrm>
                        <a:off x="0" y="0"/>
                        <a:ext cx="5400675" cy="9525"/>
                      </a:xfrm>
                      <a:custGeom>
                        <a:avLst/>
                        <a:gdLst/>
                        <a:ahLst/>
                        <a:cxnLst/>
                        <a:pathLst>
                          <a:path w="8505" h="15">
                            <a:moveTo>
                              <a:pt x="0" y="0"/>
                            </a:moveTo>
                            <a:lnTo>
                              <a:pt x="8504" y="0"/>
                            </a:lnTo>
                            <a:lnTo>
                              <a:pt x="8504"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85.05pt;margin-top:71.3pt;height:0.75pt;width:425.25pt;mso-position-horizontal-relative:page;mso-position-vertical-relative:page;z-index:251685888;mso-width-relative:page;mso-height-relative:page;" fillcolor="#000000" filled="t" stroked="f" coordsize="8505,15" o:allowincell="f" o:gfxdata="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ditF9kAAAAMAQAADwAA&#10;AAAAAAABACAAAAAiAAAAZHJzL2Rvd25yZXYueG1sUEsBAhQAFAAAAAgAh07iQAU7oS4VAgAAfwQA&#10;AA4AAAAAAAAAAQAgAAAAKAEAAGRycy9lMm9Eb2MueG1sUEsFBgAAAAAGAAYAWQEAAK8FAAAAAA==&#10;" path="m0,0l8504,0,8504,14,0,14,0,0xe">
              <v:fill on="t" focussize="0,0"/>
              <v:stroke on="f"/>
              <v:imagedata o:title=""/>
              <o:lock v:ext="edit" aspectratio="f"/>
            </v:shape>
          </w:pict>
        </mc:Fallback>
      </mc:AlternateContent>
    </w:r>
    <w:r>
      <w:rPr>
        <w:rFonts w:ascii="宋体" w:hAnsi="宋体" w:eastAsia="宋体" w:cs="宋体"/>
        <w:spacing w:val="9"/>
        <w:sz w:val="20"/>
        <w:szCs w:val="20"/>
      </w:rPr>
      <w:t>肇源县和平乡青松养猪场扩建项目环境影响报告书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443D21"/>
    <w:multiLevelType w:val="singleLevel"/>
    <w:tmpl w:val="8C443D21"/>
    <w:lvl w:ilvl="0" w:tentative="0">
      <w:start w:val="4"/>
      <w:numFmt w:val="decimal"/>
      <w:suff w:val="nothing"/>
      <w:lvlText w:val="（%1）"/>
      <w:lvlJc w:val="left"/>
    </w:lvl>
  </w:abstractNum>
  <w:abstractNum w:abstractNumId="1">
    <w:nsid w:val="D11ACF11"/>
    <w:multiLevelType w:val="singleLevel"/>
    <w:tmpl w:val="D11ACF11"/>
    <w:lvl w:ilvl="0" w:tentative="0">
      <w:start w:val="5"/>
      <w:numFmt w:val="decimal"/>
      <w:suff w:val="nothing"/>
      <w:lvlText w:val="（%1）"/>
      <w:lvlJc w:val="left"/>
    </w:lvl>
  </w:abstractNum>
  <w:abstractNum w:abstractNumId="2">
    <w:nsid w:val="F1775FB3"/>
    <w:multiLevelType w:val="singleLevel"/>
    <w:tmpl w:val="F1775FB3"/>
    <w:lvl w:ilvl="0" w:tentative="0">
      <w:start w:val="1"/>
      <w:numFmt w:val="decimal"/>
      <w:suff w:val="nothing"/>
      <w:lvlText w:val="（%1）"/>
      <w:lvlJc w:val="left"/>
    </w:lvl>
  </w:abstractNum>
  <w:abstractNum w:abstractNumId="3">
    <w:nsid w:val="0000000F"/>
    <w:multiLevelType w:val="multilevel"/>
    <w:tmpl w:val="0000000F"/>
    <w:lvl w:ilvl="0" w:tentative="0">
      <w:start w:val="1"/>
      <w:numFmt w:val="decimal"/>
      <w:lvlText w:val="%1."/>
      <w:lvlJc w:val="left"/>
      <w:pPr>
        <w:tabs>
          <w:tab w:val="left" w:pos="360"/>
        </w:tabs>
        <w:ind w:left="360" w:hanging="360"/>
      </w:pPr>
      <w:rPr>
        <w:rFonts w:hint="eastAsia"/>
      </w:rPr>
    </w:lvl>
    <w:lvl w:ilvl="1" w:tentative="0">
      <w:start w:val="1"/>
      <w:numFmt w:val="lowerLetter"/>
      <w:pStyle w:val="372"/>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11"/>
    <w:multiLevelType w:val="multilevel"/>
    <w:tmpl w:val="00000011"/>
    <w:lvl w:ilvl="0" w:tentative="0">
      <w:start w:val="1"/>
      <w:numFmt w:val="decimalEnclosedCircle"/>
      <w:pStyle w:val="239"/>
      <w:lvlText w:val="%1"/>
      <w:lvlJc w:val="left"/>
      <w:pPr>
        <w:tabs>
          <w:tab w:val="left" w:pos="780"/>
        </w:tabs>
        <w:ind w:left="780" w:hanging="360"/>
      </w:pPr>
      <w:rPr>
        <w:rFonts w:hint="eastAsia"/>
      </w:rPr>
    </w:lvl>
    <w:lvl w:ilvl="1" w:tentative="0">
      <w:start w:val="1"/>
      <w:numFmt w:val="lowerLetter"/>
      <w:pStyle w:val="231"/>
      <w:lvlText w:val="%2)"/>
      <w:lvlJc w:val="left"/>
      <w:pPr>
        <w:tabs>
          <w:tab w:val="left" w:pos="1260"/>
        </w:tabs>
        <w:ind w:left="1260" w:hanging="420"/>
      </w:pPr>
    </w:lvl>
    <w:lvl w:ilvl="2" w:tentative="0">
      <w:start w:val="1"/>
      <w:numFmt w:val="lowerRoman"/>
      <w:pStyle w:val="253"/>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5">
    <w:nsid w:val="00000013"/>
    <w:multiLevelType w:val="multilevel"/>
    <w:tmpl w:val="00000013"/>
    <w:lvl w:ilvl="0" w:tentative="0">
      <w:start w:val="1"/>
      <w:numFmt w:val="decimal"/>
      <w:pStyle w:val="365"/>
      <w:lvlText w:val="%1．"/>
      <w:lvlJc w:val="left"/>
      <w:pPr>
        <w:tabs>
          <w:tab w:val="left" w:pos="720"/>
        </w:tabs>
        <w:ind w:left="720" w:hanging="720"/>
      </w:pPr>
      <w:rPr>
        <w:rFonts w:hint="default" w:ascii="宋体" w:hAnsi="Courier New" w:eastAsia="宋体"/>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5F5C43F"/>
    <w:multiLevelType w:val="singleLevel"/>
    <w:tmpl w:val="05F5C43F"/>
    <w:lvl w:ilvl="0" w:tentative="0">
      <w:start w:val="1"/>
      <w:numFmt w:val="decimal"/>
      <w:suff w:val="nothing"/>
      <w:lvlText w:val="（%1）"/>
      <w:lvlJc w:val="left"/>
    </w:lvl>
  </w:abstractNum>
  <w:abstractNum w:abstractNumId="7">
    <w:nsid w:val="0D025530"/>
    <w:multiLevelType w:val="singleLevel"/>
    <w:tmpl w:val="0D025530"/>
    <w:lvl w:ilvl="0" w:tentative="0">
      <w:start w:val="1"/>
      <w:numFmt w:val="decimal"/>
      <w:suff w:val="nothing"/>
      <w:lvlText w:val="（%1）"/>
      <w:lvlJc w:val="left"/>
    </w:lvl>
  </w:abstractNum>
  <w:abstractNum w:abstractNumId="8">
    <w:nsid w:val="2E387BB7"/>
    <w:multiLevelType w:val="singleLevel"/>
    <w:tmpl w:val="2E387BB7"/>
    <w:lvl w:ilvl="0" w:tentative="0">
      <w:start w:val="1"/>
      <w:numFmt w:val="upperLetter"/>
      <w:suff w:val="nothing"/>
      <w:lvlText w:val="%1、"/>
      <w:lvlJc w:val="left"/>
    </w:lvl>
  </w:abstractNum>
  <w:num w:numId="1">
    <w:abstractNumId w:val="4"/>
  </w:num>
  <w:num w:numId="2">
    <w:abstractNumId w:val="5"/>
  </w:num>
  <w:num w:numId="3">
    <w:abstractNumId w:val="3"/>
  </w:num>
  <w:num w:numId="4">
    <w:abstractNumId w:val="7"/>
  </w:num>
  <w:num w:numId="5">
    <w:abstractNumId w:val="2"/>
  </w:num>
  <w:num w:numId="6">
    <w:abstractNumId w:val="6"/>
  </w:num>
  <w:num w:numId="7">
    <w:abstractNumId w:val="0"/>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M0NTQ0MjhjYzk2ZDcyNDY2ZTU4MjMzMGRkYmY1ODMifQ=="/>
    <w:docVar w:name="KSO_WPS_MARK_KEY" w:val="4599a67b-6326-4ae7-848d-da999b1e946c"/>
  </w:docVars>
  <w:rsids>
    <w:rsidRoot w:val="003B39DD"/>
    <w:rsid w:val="0000050E"/>
    <w:rsid w:val="00004008"/>
    <w:rsid w:val="0000526C"/>
    <w:rsid w:val="00005E83"/>
    <w:rsid w:val="00006825"/>
    <w:rsid w:val="000075CF"/>
    <w:rsid w:val="00007F6A"/>
    <w:rsid w:val="000103E9"/>
    <w:rsid w:val="000106F1"/>
    <w:rsid w:val="00011210"/>
    <w:rsid w:val="000113E4"/>
    <w:rsid w:val="00011B7E"/>
    <w:rsid w:val="00011EAC"/>
    <w:rsid w:val="00012F1D"/>
    <w:rsid w:val="0001301A"/>
    <w:rsid w:val="0001458C"/>
    <w:rsid w:val="00014875"/>
    <w:rsid w:val="00016CA5"/>
    <w:rsid w:val="000170B2"/>
    <w:rsid w:val="000203EF"/>
    <w:rsid w:val="000209EE"/>
    <w:rsid w:val="00020C00"/>
    <w:rsid w:val="00020F1A"/>
    <w:rsid w:val="00022D6E"/>
    <w:rsid w:val="00024E81"/>
    <w:rsid w:val="00025184"/>
    <w:rsid w:val="0002569F"/>
    <w:rsid w:val="00030AB8"/>
    <w:rsid w:val="00032590"/>
    <w:rsid w:val="0003282B"/>
    <w:rsid w:val="00032A24"/>
    <w:rsid w:val="00032A32"/>
    <w:rsid w:val="0003447A"/>
    <w:rsid w:val="0003664A"/>
    <w:rsid w:val="00036916"/>
    <w:rsid w:val="0003710C"/>
    <w:rsid w:val="00040C6C"/>
    <w:rsid w:val="000421A6"/>
    <w:rsid w:val="00042C12"/>
    <w:rsid w:val="000444D7"/>
    <w:rsid w:val="00045EEC"/>
    <w:rsid w:val="00046053"/>
    <w:rsid w:val="000467B1"/>
    <w:rsid w:val="000467F7"/>
    <w:rsid w:val="00046D07"/>
    <w:rsid w:val="00047165"/>
    <w:rsid w:val="00051413"/>
    <w:rsid w:val="0005197F"/>
    <w:rsid w:val="00051B82"/>
    <w:rsid w:val="0005357C"/>
    <w:rsid w:val="000535F4"/>
    <w:rsid w:val="000537D7"/>
    <w:rsid w:val="00053E92"/>
    <w:rsid w:val="00053ED2"/>
    <w:rsid w:val="00056B9B"/>
    <w:rsid w:val="0005728F"/>
    <w:rsid w:val="0005799B"/>
    <w:rsid w:val="000607C2"/>
    <w:rsid w:val="00060866"/>
    <w:rsid w:val="00060EE2"/>
    <w:rsid w:val="00061479"/>
    <w:rsid w:val="00061A01"/>
    <w:rsid w:val="00062147"/>
    <w:rsid w:val="00062BE5"/>
    <w:rsid w:val="000633ED"/>
    <w:rsid w:val="000640EF"/>
    <w:rsid w:val="00064FFF"/>
    <w:rsid w:val="00065409"/>
    <w:rsid w:val="00065CE0"/>
    <w:rsid w:val="000664C5"/>
    <w:rsid w:val="000668DC"/>
    <w:rsid w:val="00066FA1"/>
    <w:rsid w:val="00067603"/>
    <w:rsid w:val="00067923"/>
    <w:rsid w:val="000711AA"/>
    <w:rsid w:val="00072336"/>
    <w:rsid w:val="000733C2"/>
    <w:rsid w:val="00073D88"/>
    <w:rsid w:val="00075596"/>
    <w:rsid w:val="00075737"/>
    <w:rsid w:val="00076369"/>
    <w:rsid w:val="000774A6"/>
    <w:rsid w:val="00077563"/>
    <w:rsid w:val="00077CC2"/>
    <w:rsid w:val="0008006D"/>
    <w:rsid w:val="00083F31"/>
    <w:rsid w:val="00084333"/>
    <w:rsid w:val="00085825"/>
    <w:rsid w:val="00085E9A"/>
    <w:rsid w:val="00086978"/>
    <w:rsid w:val="00086B03"/>
    <w:rsid w:val="00087889"/>
    <w:rsid w:val="00087F7B"/>
    <w:rsid w:val="000914A0"/>
    <w:rsid w:val="00091F45"/>
    <w:rsid w:val="0009226D"/>
    <w:rsid w:val="0009617C"/>
    <w:rsid w:val="000965F3"/>
    <w:rsid w:val="00096DA7"/>
    <w:rsid w:val="00097769"/>
    <w:rsid w:val="000A0020"/>
    <w:rsid w:val="000A140D"/>
    <w:rsid w:val="000A1DAA"/>
    <w:rsid w:val="000A29C8"/>
    <w:rsid w:val="000A32D9"/>
    <w:rsid w:val="000A33E1"/>
    <w:rsid w:val="000A3AFB"/>
    <w:rsid w:val="000A42C0"/>
    <w:rsid w:val="000A610A"/>
    <w:rsid w:val="000A6705"/>
    <w:rsid w:val="000A6714"/>
    <w:rsid w:val="000A6E68"/>
    <w:rsid w:val="000A7DA4"/>
    <w:rsid w:val="000B08F6"/>
    <w:rsid w:val="000B1E15"/>
    <w:rsid w:val="000B2CCA"/>
    <w:rsid w:val="000B2F7A"/>
    <w:rsid w:val="000B33B0"/>
    <w:rsid w:val="000B3666"/>
    <w:rsid w:val="000B3F6C"/>
    <w:rsid w:val="000B463D"/>
    <w:rsid w:val="000B48BD"/>
    <w:rsid w:val="000B4925"/>
    <w:rsid w:val="000B5101"/>
    <w:rsid w:val="000B60DD"/>
    <w:rsid w:val="000B6167"/>
    <w:rsid w:val="000B62CE"/>
    <w:rsid w:val="000C0E42"/>
    <w:rsid w:val="000C1B34"/>
    <w:rsid w:val="000C1E1E"/>
    <w:rsid w:val="000C20EE"/>
    <w:rsid w:val="000C3A51"/>
    <w:rsid w:val="000C4199"/>
    <w:rsid w:val="000C4DD7"/>
    <w:rsid w:val="000C51F2"/>
    <w:rsid w:val="000C5713"/>
    <w:rsid w:val="000C5976"/>
    <w:rsid w:val="000C5F5E"/>
    <w:rsid w:val="000C66DA"/>
    <w:rsid w:val="000C6CBB"/>
    <w:rsid w:val="000D0537"/>
    <w:rsid w:val="000D0D76"/>
    <w:rsid w:val="000D1722"/>
    <w:rsid w:val="000D2978"/>
    <w:rsid w:val="000D2BFA"/>
    <w:rsid w:val="000D34C8"/>
    <w:rsid w:val="000D34EF"/>
    <w:rsid w:val="000D3869"/>
    <w:rsid w:val="000D4EFB"/>
    <w:rsid w:val="000D543F"/>
    <w:rsid w:val="000D5456"/>
    <w:rsid w:val="000D5545"/>
    <w:rsid w:val="000D55C9"/>
    <w:rsid w:val="000D5E1A"/>
    <w:rsid w:val="000D6106"/>
    <w:rsid w:val="000D6B92"/>
    <w:rsid w:val="000D7A4C"/>
    <w:rsid w:val="000D7CE4"/>
    <w:rsid w:val="000E0242"/>
    <w:rsid w:val="000E138C"/>
    <w:rsid w:val="000E1C93"/>
    <w:rsid w:val="000E2573"/>
    <w:rsid w:val="000E2C0B"/>
    <w:rsid w:val="000E358B"/>
    <w:rsid w:val="000E43AB"/>
    <w:rsid w:val="000E5BDB"/>
    <w:rsid w:val="000E66DE"/>
    <w:rsid w:val="000E6F89"/>
    <w:rsid w:val="000F16F9"/>
    <w:rsid w:val="000F18D2"/>
    <w:rsid w:val="000F2451"/>
    <w:rsid w:val="000F3CFE"/>
    <w:rsid w:val="000F4DC7"/>
    <w:rsid w:val="000F6E2C"/>
    <w:rsid w:val="000F74E4"/>
    <w:rsid w:val="000F7A0E"/>
    <w:rsid w:val="001009D2"/>
    <w:rsid w:val="00100D0F"/>
    <w:rsid w:val="00101062"/>
    <w:rsid w:val="00101384"/>
    <w:rsid w:val="0010324A"/>
    <w:rsid w:val="0010406A"/>
    <w:rsid w:val="001052B9"/>
    <w:rsid w:val="00105925"/>
    <w:rsid w:val="00106DC0"/>
    <w:rsid w:val="001077EB"/>
    <w:rsid w:val="001107EC"/>
    <w:rsid w:val="00112471"/>
    <w:rsid w:val="00112A53"/>
    <w:rsid w:val="001137EB"/>
    <w:rsid w:val="00113AF2"/>
    <w:rsid w:val="00113C6C"/>
    <w:rsid w:val="001159C3"/>
    <w:rsid w:val="00117564"/>
    <w:rsid w:val="001179E8"/>
    <w:rsid w:val="0012026F"/>
    <w:rsid w:val="00121F05"/>
    <w:rsid w:val="001233D0"/>
    <w:rsid w:val="00123955"/>
    <w:rsid w:val="00123ABE"/>
    <w:rsid w:val="00123D9E"/>
    <w:rsid w:val="00126B8C"/>
    <w:rsid w:val="00126D5A"/>
    <w:rsid w:val="001274FE"/>
    <w:rsid w:val="001278CD"/>
    <w:rsid w:val="00127A3C"/>
    <w:rsid w:val="00127D72"/>
    <w:rsid w:val="0013022A"/>
    <w:rsid w:val="001308EE"/>
    <w:rsid w:val="00130B9D"/>
    <w:rsid w:val="00131802"/>
    <w:rsid w:val="00132C66"/>
    <w:rsid w:val="00132DC7"/>
    <w:rsid w:val="0013344C"/>
    <w:rsid w:val="00133650"/>
    <w:rsid w:val="00133ADB"/>
    <w:rsid w:val="00133BB5"/>
    <w:rsid w:val="00133DD9"/>
    <w:rsid w:val="00134896"/>
    <w:rsid w:val="0013549B"/>
    <w:rsid w:val="00135D95"/>
    <w:rsid w:val="00136CBD"/>
    <w:rsid w:val="0013705A"/>
    <w:rsid w:val="00137726"/>
    <w:rsid w:val="00137B31"/>
    <w:rsid w:val="001407E3"/>
    <w:rsid w:val="0014085C"/>
    <w:rsid w:val="00140AA3"/>
    <w:rsid w:val="00142236"/>
    <w:rsid w:val="00142B4C"/>
    <w:rsid w:val="00143748"/>
    <w:rsid w:val="001468AE"/>
    <w:rsid w:val="0014735C"/>
    <w:rsid w:val="001504EE"/>
    <w:rsid w:val="00150D6F"/>
    <w:rsid w:val="001511B3"/>
    <w:rsid w:val="00151886"/>
    <w:rsid w:val="0015275A"/>
    <w:rsid w:val="00153517"/>
    <w:rsid w:val="0015429F"/>
    <w:rsid w:val="001543AD"/>
    <w:rsid w:val="00155B22"/>
    <w:rsid w:val="00155D11"/>
    <w:rsid w:val="00155EC5"/>
    <w:rsid w:val="00157A27"/>
    <w:rsid w:val="00157D91"/>
    <w:rsid w:val="0016063D"/>
    <w:rsid w:val="00160D6F"/>
    <w:rsid w:val="00161322"/>
    <w:rsid w:val="00161637"/>
    <w:rsid w:val="001621BD"/>
    <w:rsid w:val="00162851"/>
    <w:rsid w:val="00162DA3"/>
    <w:rsid w:val="00163AAE"/>
    <w:rsid w:val="00163AF0"/>
    <w:rsid w:val="00164B4D"/>
    <w:rsid w:val="001666DF"/>
    <w:rsid w:val="00170432"/>
    <w:rsid w:val="00170A9A"/>
    <w:rsid w:val="00170EC3"/>
    <w:rsid w:val="00173AE7"/>
    <w:rsid w:val="001764E5"/>
    <w:rsid w:val="001768FC"/>
    <w:rsid w:val="00177043"/>
    <w:rsid w:val="00180CC2"/>
    <w:rsid w:val="00182098"/>
    <w:rsid w:val="00183466"/>
    <w:rsid w:val="00183A18"/>
    <w:rsid w:val="00184276"/>
    <w:rsid w:val="00184F9F"/>
    <w:rsid w:val="0018628F"/>
    <w:rsid w:val="00187F53"/>
    <w:rsid w:val="001908B5"/>
    <w:rsid w:val="00190B86"/>
    <w:rsid w:val="001910AC"/>
    <w:rsid w:val="00192048"/>
    <w:rsid w:val="00192482"/>
    <w:rsid w:val="0019408F"/>
    <w:rsid w:val="00194426"/>
    <w:rsid w:val="001956B7"/>
    <w:rsid w:val="00195DA9"/>
    <w:rsid w:val="001960EF"/>
    <w:rsid w:val="00196AF7"/>
    <w:rsid w:val="0019774D"/>
    <w:rsid w:val="00197A91"/>
    <w:rsid w:val="001A14F4"/>
    <w:rsid w:val="001A17D8"/>
    <w:rsid w:val="001A1D89"/>
    <w:rsid w:val="001A1E1D"/>
    <w:rsid w:val="001A211C"/>
    <w:rsid w:val="001A26C2"/>
    <w:rsid w:val="001A2A31"/>
    <w:rsid w:val="001A2B40"/>
    <w:rsid w:val="001A38B7"/>
    <w:rsid w:val="001A451C"/>
    <w:rsid w:val="001A4850"/>
    <w:rsid w:val="001A4F1E"/>
    <w:rsid w:val="001A5DDF"/>
    <w:rsid w:val="001A6164"/>
    <w:rsid w:val="001A6402"/>
    <w:rsid w:val="001A67AE"/>
    <w:rsid w:val="001A768F"/>
    <w:rsid w:val="001B0BE0"/>
    <w:rsid w:val="001B0EB7"/>
    <w:rsid w:val="001B15E0"/>
    <w:rsid w:val="001B23C9"/>
    <w:rsid w:val="001B6346"/>
    <w:rsid w:val="001C03A4"/>
    <w:rsid w:val="001C03A7"/>
    <w:rsid w:val="001C0B77"/>
    <w:rsid w:val="001C1564"/>
    <w:rsid w:val="001C23DE"/>
    <w:rsid w:val="001C2E71"/>
    <w:rsid w:val="001C3CD3"/>
    <w:rsid w:val="001C3DEE"/>
    <w:rsid w:val="001C4811"/>
    <w:rsid w:val="001C4D3B"/>
    <w:rsid w:val="001C51B0"/>
    <w:rsid w:val="001C573D"/>
    <w:rsid w:val="001C5E18"/>
    <w:rsid w:val="001D1041"/>
    <w:rsid w:val="001D18D2"/>
    <w:rsid w:val="001D2F4E"/>
    <w:rsid w:val="001D339C"/>
    <w:rsid w:val="001D39A2"/>
    <w:rsid w:val="001D4AC1"/>
    <w:rsid w:val="001D717B"/>
    <w:rsid w:val="001D7BFA"/>
    <w:rsid w:val="001E0AAF"/>
    <w:rsid w:val="001E0AEE"/>
    <w:rsid w:val="001E41F8"/>
    <w:rsid w:val="001E497A"/>
    <w:rsid w:val="001E534A"/>
    <w:rsid w:val="001E587B"/>
    <w:rsid w:val="001E5E57"/>
    <w:rsid w:val="001E63B7"/>
    <w:rsid w:val="001E72AC"/>
    <w:rsid w:val="001E7429"/>
    <w:rsid w:val="001E7EFB"/>
    <w:rsid w:val="001F11F6"/>
    <w:rsid w:val="001F3ED4"/>
    <w:rsid w:val="001F4413"/>
    <w:rsid w:val="001F5880"/>
    <w:rsid w:val="001F5C91"/>
    <w:rsid w:val="001F5EAA"/>
    <w:rsid w:val="001F6398"/>
    <w:rsid w:val="001F6468"/>
    <w:rsid w:val="001F64E3"/>
    <w:rsid w:val="001F7F56"/>
    <w:rsid w:val="00200717"/>
    <w:rsid w:val="00200965"/>
    <w:rsid w:val="00201669"/>
    <w:rsid w:val="002019F9"/>
    <w:rsid w:val="00205847"/>
    <w:rsid w:val="002060FA"/>
    <w:rsid w:val="00206630"/>
    <w:rsid w:val="00206F66"/>
    <w:rsid w:val="00207275"/>
    <w:rsid w:val="00207455"/>
    <w:rsid w:val="002076AB"/>
    <w:rsid w:val="00211365"/>
    <w:rsid w:val="0021152B"/>
    <w:rsid w:val="002128B4"/>
    <w:rsid w:val="00212FCC"/>
    <w:rsid w:val="002168D2"/>
    <w:rsid w:val="0022086D"/>
    <w:rsid w:val="00221650"/>
    <w:rsid w:val="0022202E"/>
    <w:rsid w:val="0022247F"/>
    <w:rsid w:val="0022286D"/>
    <w:rsid w:val="00222D26"/>
    <w:rsid w:val="00223009"/>
    <w:rsid w:val="00223C0D"/>
    <w:rsid w:val="002255E6"/>
    <w:rsid w:val="002267C8"/>
    <w:rsid w:val="00227612"/>
    <w:rsid w:val="00227989"/>
    <w:rsid w:val="002300EA"/>
    <w:rsid w:val="00230E3A"/>
    <w:rsid w:val="00230FB4"/>
    <w:rsid w:val="00231789"/>
    <w:rsid w:val="00231A53"/>
    <w:rsid w:val="0023253F"/>
    <w:rsid w:val="002336E9"/>
    <w:rsid w:val="00234260"/>
    <w:rsid w:val="00235329"/>
    <w:rsid w:val="00235A6C"/>
    <w:rsid w:val="00235D6D"/>
    <w:rsid w:val="0023602F"/>
    <w:rsid w:val="00236476"/>
    <w:rsid w:val="00236AFA"/>
    <w:rsid w:val="00236D12"/>
    <w:rsid w:val="0023730F"/>
    <w:rsid w:val="00240293"/>
    <w:rsid w:val="002411CA"/>
    <w:rsid w:val="0024126D"/>
    <w:rsid w:val="002413AA"/>
    <w:rsid w:val="0024375C"/>
    <w:rsid w:val="002442F4"/>
    <w:rsid w:val="00244C24"/>
    <w:rsid w:val="00244E5A"/>
    <w:rsid w:val="00246176"/>
    <w:rsid w:val="0025006C"/>
    <w:rsid w:val="00251C33"/>
    <w:rsid w:val="002528CA"/>
    <w:rsid w:val="00253DC6"/>
    <w:rsid w:val="00253E95"/>
    <w:rsid w:val="00254943"/>
    <w:rsid w:val="00256B83"/>
    <w:rsid w:val="0025726E"/>
    <w:rsid w:val="00257A86"/>
    <w:rsid w:val="00257BCC"/>
    <w:rsid w:val="00260EA2"/>
    <w:rsid w:val="00260F45"/>
    <w:rsid w:val="00260FB5"/>
    <w:rsid w:val="00261565"/>
    <w:rsid w:val="002618BE"/>
    <w:rsid w:val="00262955"/>
    <w:rsid w:val="002632F7"/>
    <w:rsid w:val="00263C07"/>
    <w:rsid w:val="00264A73"/>
    <w:rsid w:val="00264AFF"/>
    <w:rsid w:val="00265AF0"/>
    <w:rsid w:val="002667AA"/>
    <w:rsid w:val="00270497"/>
    <w:rsid w:val="0027058D"/>
    <w:rsid w:val="0027086A"/>
    <w:rsid w:val="00271D04"/>
    <w:rsid w:val="002721F5"/>
    <w:rsid w:val="00272C1A"/>
    <w:rsid w:val="002741A2"/>
    <w:rsid w:val="00277387"/>
    <w:rsid w:val="0028005B"/>
    <w:rsid w:val="00280BE4"/>
    <w:rsid w:val="00280E6A"/>
    <w:rsid w:val="00280E83"/>
    <w:rsid w:val="00282DC4"/>
    <w:rsid w:val="002831D1"/>
    <w:rsid w:val="002832B7"/>
    <w:rsid w:val="00283CF7"/>
    <w:rsid w:val="00283E96"/>
    <w:rsid w:val="002840F3"/>
    <w:rsid w:val="00284693"/>
    <w:rsid w:val="0028540F"/>
    <w:rsid w:val="002856B1"/>
    <w:rsid w:val="00286A72"/>
    <w:rsid w:val="00287F11"/>
    <w:rsid w:val="00290104"/>
    <w:rsid w:val="00290559"/>
    <w:rsid w:val="00290EB3"/>
    <w:rsid w:val="0029494B"/>
    <w:rsid w:val="0029679D"/>
    <w:rsid w:val="002968FE"/>
    <w:rsid w:val="00296CA3"/>
    <w:rsid w:val="00297938"/>
    <w:rsid w:val="00297B82"/>
    <w:rsid w:val="002A26C0"/>
    <w:rsid w:val="002A2E05"/>
    <w:rsid w:val="002A2EC9"/>
    <w:rsid w:val="002A37AF"/>
    <w:rsid w:val="002A4039"/>
    <w:rsid w:val="002A415B"/>
    <w:rsid w:val="002A4208"/>
    <w:rsid w:val="002A420D"/>
    <w:rsid w:val="002A4A54"/>
    <w:rsid w:val="002A508B"/>
    <w:rsid w:val="002A5E1E"/>
    <w:rsid w:val="002A6E14"/>
    <w:rsid w:val="002A78C1"/>
    <w:rsid w:val="002A7CA1"/>
    <w:rsid w:val="002B1765"/>
    <w:rsid w:val="002B3CA7"/>
    <w:rsid w:val="002B41C9"/>
    <w:rsid w:val="002B4E78"/>
    <w:rsid w:val="002B64D4"/>
    <w:rsid w:val="002B6D28"/>
    <w:rsid w:val="002B6E97"/>
    <w:rsid w:val="002B73FA"/>
    <w:rsid w:val="002B7432"/>
    <w:rsid w:val="002C0CE2"/>
    <w:rsid w:val="002C1039"/>
    <w:rsid w:val="002C1EBF"/>
    <w:rsid w:val="002C2828"/>
    <w:rsid w:val="002C30FD"/>
    <w:rsid w:val="002C314B"/>
    <w:rsid w:val="002C3230"/>
    <w:rsid w:val="002C33DE"/>
    <w:rsid w:val="002C367E"/>
    <w:rsid w:val="002C55BF"/>
    <w:rsid w:val="002C5905"/>
    <w:rsid w:val="002C6AD8"/>
    <w:rsid w:val="002C73A7"/>
    <w:rsid w:val="002C7794"/>
    <w:rsid w:val="002D0AAE"/>
    <w:rsid w:val="002D1054"/>
    <w:rsid w:val="002D1498"/>
    <w:rsid w:val="002D239F"/>
    <w:rsid w:val="002D2D54"/>
    <w:rsid w:val="002D37A1"/>
    <w:rsid w:val="002D5463"/>
    <w:rsid w:val="002D7C78"/>
    <w:rsid w:val="002D7FA2"/>
    <w:rsid w:val="002E0900"/>
    <w:rsid w:val="002E0BA3"/>
    <w:rsid w:val="002E22D9"/>
    <w:rsid w:val="002E2CA8"/>
    <w:rsid w:val="002E3BE5"/>
    <w:rsid w:val="002E3DCA"/>
    <w:rsid w:val="002E3FBD"/>
    <w:rsid w:val="002E4B42"/>
    <w:rsid w:val="002E5444"/>
    <w:rsid w:val="002E58B8"/>
    <w:rsid w:val="002E6912"/>
    <w:rsid w:val="002F0862"/>
    <w:rsid w:val="002F09C2"/>
    <w:rsid w:val="002F0E29"/>
    <w:rsid w:val="002F0E50"/>
    <w:rsid w:val="002F1530"/>
    <w:rsid w:val="002F1859"/>
    <w:rsid w:val="002F19DD"/>
    <w:rsid w:val="002F2BE4"/>
    <w:rsid w:val="002F2E66"/>
    <w:rsid w:val="002F3E7D"/>
    <w:rsid w:val="002F4DEF"/>
    <w:rsid w:val="002F4E04"/>
    <w:rsid w:val="002F4FEB"/>
    <w:rsid w:val="002F6A41"/>
    <w:rsid w:val="002F7AAF"/>
    <w:rsid w:val="003012BB"/>
    <w:rsid w:val="00301C01"/>
    <w:rsid w:val="00302210"/>
    <w:rsid w:val="00302779"/>
    <w:rsid w:val="00302BE0"/>
    <w:rsid w:val="00302F21"/>
    <w:rsid w:val="00305243"/>
    <w:rsid w:val="003052E4"/>
    <w:rsid w:val="0030536E"/>
    <w:rsid w:val="003055EF"/>
    <w:rsid w:val="00305A74"/>
    <w:rsid w:val="00305C94"/>
    <w:rsid w:val="00305CA5"/>
    <w:rsid w:val="00305CF2"/>
    <w:rsid w:val="003104D4"/>
    <w:rsid w:val="003135DD"/>
    <w:rsid w:val="00313C57"/>
    <w:rsid w:val="00314476"/>
    <w:rsid w:val="00315EC0"/>
    <w:rsid w:val="0031737B"/>
    <w:rsid w:val="00317380"/>
    <w:rsid w:val="00321C3A"/>
    <w:rsid w:val="0032230D"/>
    <w:rsid w:val="00322429"/>
    <w:rsid w:val="00323467"/>
    <w:rsid w:val="00323BAB"/>
    <w:rsid w:val="003242B8"/>
    <w:rsid w:val="0032442E"/>
    <w:rsid w:val="00325973"/>
    <w:rsid w:val="0032724C"/>
    <w:rsid w:val="00327A3A"/>
    <w:rsid w:val="00327C32"/>
    <w:rsid w:val="003308AA"/>
    <w:rsid w:val="00330F05"/>
    <w:rsid w:val="0033402B"/>
    <w:rsid w:val="00334700"/>
    <w:rsid w:val="003348FA"/>
    <w:rsid w:val="0033500E"/>
    <w:rsid w:val="003352EF"/>
    <w:rsid w:val="00335A34"/>
    <w:rsid w:val="00336327"/>
    <w:rsid w:val="003364D7"/>
    <w:rsid w:val="0033684F"/>
    <w:rsid w:val="003371EA"/>
    <w:rsid w:val="0033771F"/>
    <w:rsid w:val="00337B7C"/>
    <w:rsid w:val="00337C7F"/>
    <w:rsid w:val="00337F6D"/>
    <w:rsid w:val="0034030C"/>
    <w:rsid w:val="00341467"/>
    <w:rsid w:val="00341E4E"/>
    <w:rsid w:val="003424C4"/>
    <w:rsid w:val="00342562"/>
    <w:rsid w:val="003426DD"/>
    <w:rsid w:val="00342FC1"/>
    <w:rsid w:val="00343AC3"/>
    <w:rsid w:val="00343F2F"/>
    <w:rsid w:val="0034463B"/>
    <w:rsid w:val="00346852"/>
    <w:rsid w:val="0034726A"/>
    <w:rsid w:val="00347F45"/>
    <w:rsid w:val="00351648"/>
    <w:rsid w:val="003528D2"/>
    <w:rsid w:val="003534B2"/>
    <w:rsid w:val="00353C4F"/>
    <w:rsid w:val="0035419E"/>
    <w:rsid w:val="00355188"/>
    <w:rsid w:val="00355609"/>
    <w:rsid w:val="00355809"/>
    <w:rsid w:val="00355C4A"/>
    <w:rsid w:val="00356603"/>
    <w:rsid w:val="00360BC8"/>
    <w:rsid w:val="00360EC1"/>
    <w:rsid w:val="0036105F"/>
    <w:rsid w:val="00361C4D"/>
    <w:rsid w:val="00362DC7"/>
    <w:rsid w:val="00363828"/>
    <w:rsid w:val="0036413A"/>
    <w:rsid w:val="00364BA5"/>
    <w:rsid w:val="00365341"/>
    <w:rsid w:val="00365785"/>
    <w:rsid w:val="00366D8F"/>
    <w:rsid w:val="00367615"/>
    <w:rsid w:val="003676AE"/>
    <w:rsid w:val="00370E61"/>
    <w:rsid w:val="0037121D"/>
    <w:rsid w:val="00371EE0"/>
    <w:rsid w:val="003721E4"/>
    <w:rsid w:val="00372529"/>
    <w:rsid w:val="003732EA"/>
    <w:rsid w:val="003738F7"/>
    <w:rsid w:val="00373D21"/>
    <w:rsid w:val="003746F6"/>
    <w:rsid w:val="003747E0"/>
    <w:rsid w:val="0037485E"/>
    <w:rsid w:val="003755EF"/>
    <w:rsid w:val="00375F20"/>
    <w:rsid w:val="00375FC9"/>
    <w:rsid w:val="0037640B"/>
    <w:rsid w:val="0038032E"/>
    <w:rsid w:val="0038034A"/>
    <w:rsid w:val="0038086B"/>
    <w:rsid w:val="00380EA6"/>
    <w:rsid w:val="003820E3"/>
    <w:rsid w:val="00382EE9"/>
    <w:rsid w:val="00383299"/>
    <w:rsid w:val="00384606"/>
    <w:rsid w:val="0038498E"/>
    <w:rsid w:val="0038576B"/>
    <w:rsid w:val="00387570"/>
    <w:rsid w:val="00387EEC"/>
    <w:rsid w:val="00390843"/>
    <w:rsid w:val="00391148"/>
    <w:rsid w:val="003911F3"/>
    <w:rsid w:val="003919A8"/>
    <w:rsid w:val="00392F8C"/>
    <w:rsid w:val="00393AB4"/>
    <w:rsid w:val="00393BBE"/>
    <w:rsid w:val="00394E58"/>
    <w:rsid w:val="0039538F"/>
    <w:rsid w:val="00395EE7"/>
    <w:rsid w:val="00397174"/>
    <w:rsid w:val="003A1CD1"/>
    <w:rsid w:val="003A1D48"/>
    <w:rsid w:val="003A4E24"/>
    <w:rsid w:val="003A69DD"/>
    <w:rsid w:val="003B09E1"/>
    <w:rsid w:val="003B0E6D"/>
    <w:rsid w:val="003B254C"/>
    <w:rsid w:val="003B39DD"/>
    <w:rsid w:val="003B4A75"/>
    <w:rsid w:val="003B5347"/>
    <w:rsid w:val="003B550A"/>
    <w:rsid w:val="003B60E8"/>
    <w:rsid w:val="003B618D"/>
    <w:rsid w:val="003B7169"/>
    <w:rsid w:val="003B7216"/>
    <w:rsid w:val="003B7463"/>
    <w:rsid w:val="003C2160"/>
    <w:rsid w:val="003C2D8A"/>
    <w:rsid w:val="003C4153"/>
    <w:rsid w:val="003C4440"/>
    <w:rsid w:val="003C4839"/>
    <w:rsid w:val="003C4A08"/>
    <w:rsid w:val="003C5069"/>
    <w:rsid w:val="003C50AA"/>
    <w:rsid w:val="003C5CC8"/>
    <w:rsid w:val="003C62FF"/>
    <w:rsid w:val="003C6D32"/>
    <w:rsid w:val="003C742E"/>
    <w:rsid w:val="003D0505"/>
    <w:rsid w:val="003D1D7B"/>
    <w:rsid w:val="003D276B"/>
    <w:rsid w:val="003D3A86"/>
    <w:rsid w:val="003D3FAB"/>
    <w:rsid w:val="003D4380"/>
    <w:rsid w:val="003D481C"/>
    <w:rsid w:val="003D4A97"/>
    <w:rsid w:val="003D799A"/>
    <w:rsid w:val="003E0721"/>
    <w:rsid w:val="003E0F99"/>
    <w:rsid w:val="003E1E49"/>
    <w:rsid w:val="003E24B0"/>
    <w:rsid w:val="003E35D0"/>
    <w:rsid w:val="003E3FB0"/>
    <w:rsid w:val="003E4C62"/>
    <w:rsid w:val="003E4FDD"/>
    <w:rsid w:val="003E622B"/>
    <w:rsid w:val="003E6CBB"/>
    <w:rsid w:val="003E6F62"/>
    <w:rsid w:val="003E73EC"/>
    <w:rsid w:val="003E74AA"/>
    <w:rsid w:val="003E76D8"/>
    <w:rsid w:val="003E77D9"/>
    <w:rsid w:val="003E7DB6"/>
    <w:rsid w:val="003F30ED"/>
    <w:rsid w:val="003F4400"/>
    <w:rsid w:val="003F4D9C"/>
    <w:rsid w:val="003F4FDE"/>
    <w:rsid w:val="003F592A"/>
    <w:rsid w:val="003F5CBD"/>
    <w:rsid w:val="003F5E73"/>
    <w:rsid w:val="003F75DD"/>
    <w:rsid w:val="00402369"/>
    <w:rsid w:val="004036C8"/>
    <w:rsid w:val="004041B3"/>
    <w:rsid w:val="00404755"/>
    <w:rsid w:val="00405204"/>
    <w:rsid w:val="00405DE1"/>
    <w:rsid w:val="004065F5"/>
    <w:rsid w:val="00406BCB"/>
    <w:rsid w:val="00407282"/>
    <w:rsid w:val="00407A49"/>
    <w:rsid w:val="00410D1A"/>
    <w:rsid w:val="0041404D"/>
    <w:rsid w:val="004143A7"/>
    <w:rsid w:val="00414C5D"/>
    <w:rsid w:val="00414DB4"/>
    <w:rsid w:val="004154DD"/>
    <w:rsid w:val="00415DE6"/>
    <w:rsid w:val="004164D8"/>
    <w:rsid w:val="00416A2A"/>
    <w:rsid w:val="004171C4"/>
    <w:rsid w:val="00417A3B"/>
    <w:rsid w:val="00421690"/>
    <w:rsid w:val="0042199B"/>
    <w:rsid w:val="00422E13"/>
    <w:rsid w:val="0042356D"/>
    <w:rsid w:val="00423FA7"/>
    <w:rsid w:val="004241B7"/>
    <w:rsid w:val="004244D0"/>
    <w:rsid w:val="00426C5C"/>
    <w:rsid w:val="00426ECF"/>
    <w:rsid w:val="004318D0"/>
    <w:rsid w:val="00432641"/>
    <w:rsid w:val="0043313B"/>
    <w:rsid w:val="004338B5"/>
    <w:rsid w:val="00433B6E"/>
    <w:rsid w:val="0043675E"/>
    <w:rsid w:val="00440059"/>
    <w:rsid w:val="00440DCC"/>
    <w:rsid w:val="00440FBA"/>
    <w:rsid w:val="00441694"/>
    <w:rsid w:val="00443192"/>
    <w:rsid w:val="00443BCE"/>
    <w:rsid w:val="00444318"/>
    <w:rsid w:val="0044529E"/>
    <w:rsid w:val="00445D59"/>
    <w:rsid w:val="0044626F"/>
    <w:rsid w:val="004462A6"/>
    <w:rsid w:val="00450BD4"/>
    <w:rsid w:val="0045114A"/>
    <w:rsid w:val="00452F4F"/>
    <w:rsid w:val="004537A5"/>
    <w:rsid w:val="00455C1E"/>
    <w:rsid w:val="0045703C"/>
    <w:rsid w:val="004604CA"/>
    <w:rsid w:val="00460D64"/>
    <w:rsid w:val="00461342"/>
    <w:rsid w:val="00461486"/>
    <w:rsid w:val="004618CE"/>
    <w:rsid w:val="0046207B"/>
    <w:rsid w:val="004636A6"/>
    <w:rsid w:val="00463BE7"/>
    <w:rsid w:val="0046408D"/>
    <w:rsid w:val="004643E8"/>
    <w:rsid w:val="004646FC"/>
    <w:rsid w:val="00464DAE"/>
    <w:rsid w:val="00465073"/>
    <w:rsid w:val="00465EBA"/>
    <w:rsid w:val="0046608E"/>
    <w:rsid w:val="00466F64"/>
    <w:rsid w:val="0047140C"/>
    <w:rsid w:val="00473087"/>
    <w:rsid w:val="00474207"/>
    <w:rsid w:val="00475AA3"/>
    <w:rsid w:val="00476902"/>
    <w:rsid w:val="00476922"/>
    <w:rsid w:val="0047738F"/>
    <w:rsid w:val="00481580"/>
    <w:rsid w:val="00481975"/>
    <w:rsid w:val="004819F6"/>
    <w:rsid w:val="00482DDF"/>
    <w:rsid w:val="00483224"/>
    <w:rsid w:val="004849CB"/>
    <w:rsid w:val="00484F1D"/>
    <w:rsid w:val="00484F24"/>
    <w:rsid w:val="00485333"/>
    <w:rsid w:val="00486729"/>
    <w:rsid w:val="00486F43"/>
    <w:rsid w:val="00487978"/>
    <w:rsid w:val="0049034C"/>
    <w:rsid w:val="00492839"/>
    <w:rsid w:val="00492B1E"/>
    <w:rsid w:val="00493056"/>
    <w:rsid w:val="00496460"/>
    <w:rsid w:val="00496BC9"/>
    <w:rsid w:val="0049759D"/>
    <w:rsid w:val="004A0904"/>
    <w:rsid w:val="004A15EA"/>
    <w:rsid w:val="004A18F7"/>
    <w:rsid w:val="004A21DE"/>
    <w:rsid w:val="004A23B4"/>
    <w:rsid w:val="004A2ADC"/>
    <w:rsid w:val="004A2E12"/>
    <w:rsid w:val="004A41F6"/>
    <w:rsid w:val="004A42DF"/>
    <w:rsid w:val="004A5CCE"/>
    <w:rsid w:val="004A745F"/>
    <w:rsid w:val="004B1360"/>
    <w:rsid w:val="004B3468"/>
    <w:rsid w:val="004B36F5"/>
    <w:rsid w:val="004B3B46"/>
    <w:rsid w:val="004B60FD"/>
    <w:rsid w:val="004B7644"/>
    <w:rsid w:val="004B7862"/>
    <w:rsid w:val="004C0D04"/>
    <w:rsid w:val="004C0E81"/>
    <w:rsid w:val="004C135E"/>
    <w:rsid w:val="004C1DDC"/>
    <w:rsid w:val="004C293E"/>
    <w:rsid w:val="004C3AFA"/>
    <w:rsid w:val="004C3BD9"/>
    <w:rsid w:val="004C3CFE"/>
    <w:rsid w:val="004C3F91"/>
    <w:rsid w:val="004C40B0"/>
    <w:rsid w:val="004C47C9"/>
    <w:rsid w:val="004C4E37"/>
    <w:rsid w:val="004C5BE7"/>
    <w:rsid w:val="004C64B0"/>
    <w:rsid w:val="004C6F44"/>
    <w:rsid w:val="004C7BA1"/>
    <w:rsid w:val="004D0619"/>
    <w:rsid w:val="004D138E"/>
    <w:rsid w:val="004D3AB9"/>
    <w:rsid w:val="004D45F3"/>
    <w:rsid w:val="004D570C"/>
    <w:rsid w:val="004D7758"/>
    <w:rsid w:val="004D78B1"/>
    <w:rsid w:val="004E1294"/>
    <w:rsid w:val="004E2D33"/>
    <w:rsid w:val="004E3982"/>
    <w:rsid w:val="004E40E6"/>
    <w:rsid w:val="004E5053"/>
    <w:rsid w:val="004E551E"/>
    <w:rsid w:val="004E6931"/>
    <w:rsid w:val="004E6CE8"/>
    <w:rsid w:val="004F0416"/>
    <w:rsid w:val="004F1ED1"/>
    <w:rsid w:val="004F22D0"/>
    <w:rsid w:val="004F3D58"/>
    <w:rsid w:val="004F3E28"/>
    <w:rsid w:val="004F41BE"/>
    <w:rsid w:val="004F6772"/>
    <w:rsid w:val="004F7AC2"/>
    <w:rsid w:val="004F7AC9"/>
    <w:rsid w:val="004F7FE6"/>
    <w:rsid w:val="00500DD7"/>
    <w:rsid w:val="00501054"/>
    <w:rsid w:val="0050208B"/>
    <w:rsid w:val="005026E3"/>
    <w:rsid w:val="00502883"/>
    <w:rsid w:val="00502E21"/>
    <w:rsid w:val="00503B2B"/>
    <w:rsid w:val="00505B9F"/>
    <w:rsid w:val="0050623D"/>
    <w:rsid w:val="00507BCA"/>
    <w:rsid w:val="005105AF"/>
    <w:rsid w:val="005117BC"/>
    <w:rsid w:val="00511B08"/>
    <w:rsid w:val="00511CDE"/>
    <w:rsid w:val="0051267F"/>
    <w:rsid w:val="00512A99"/>
    <w:rsid w:val="005138F2"/>
    <w:rsid w:val="00514BE5"/>
    <w:rsid w:val="00517220"/>
    <w:rsid w:val="00517A63"/>
    <w:rsid w:val="00520C16"/>
    <w:rsid w:val="00522634"/>
    <w:rsid w:val="00522ABA"/>
    <w:rsid w:val="00524A20"/>
    <w:rsid w:val="00524FD8"/>
    <w:rsid w:val="00525551"/>
    <w:rsid w:val="005258EF"/>
    <w:rsid w:val="00527DEB"/>
    <w:rsid w:val="00527FA8"/>
    <w:rsid w:val="00527FFD"/>
    <w:rsid w:val="00531377"/>
    <w:rsid w:val="005321EC"/>
    <w:rsid w:val="0053234A"/>
    <w:rsid w:val="00534AF0"/>
    <w:rsid w:val="005359ED"/>
    <w:rsid w:val="00535F8D"/>
    <w:rsid w:val="00536F59"/>
    <w:rsid w:val="00537FB7"/>
    <w:rsid w:val="005401FC"/>
    <w:rsid w:val="005403E8"/>
    <w:rsid w:val="0054266A"/>
    <w:rsid w:val="00542F56"/>
    <w:rsid w:val="0054586F"/>
    <w:rsid w:val="00547DD1"/>
    <w:rsid w:val="00550029"/>
    <w:rsid w:val="00551442"/>
    <w:rsid w:val="00551621"/>
    <w:rsid w:val="00552248"/>
    <w:rsid w:val="0055243E"/>
    <w:rsid w:val="00553B55"/>
    <w:rsid w:val="0055404B"/>
    <w:rsid w:val="00554CDD"/>
    <w:rsid w:val="005553C0"/>
    <w:rsid w:val="00555A5D"/>
    <w:rsid w:val="00556786"/>
    <w:rsid w:val="00556B31"/>
    <w:rsid w:val="00557714"/>
    <w:rsid w:val="00557E33"/>
    <w:rsid w:val="00561AFE"/>
    <w:rsid w:val="00562CCD"/>
    <w:rsid w:val="005631CA"/>
    <w:rsid w:val="0056389E"/>
    <w:rsid w:val="00563BEE"/>
    <w:rsid w:val="0056463C"/>
    <w:rsid w:val="00564964"/>
    <w:rsid w:val="00566706"/>
    <w:rsid w:val="00570427"/>
    <w:rsid w:val="00570AC7"/>
    <w:rsid w:val="00570ADF"/>
    <w:rsid w:val="00570B27"/>
    <w:rsid w:val="005716B8"/>
    <w:rsid w:val="00572CE7"/>
    <w:rsid w:val="00572FF9"/>
    <w:rsid w:val="00573595"/>
    <w:rsid w:val="00573866"/>
    <w:rsid w:val="005748B1"/>
    <w:rsid w:val="00574E37"/>
    <w:rsid w:val="005762A3"/>
    <w:rsid w:val="00580849"/>
    <w:rsid w:val="00581A6E"/>
    <w:rsid w:val="005826CC"/>
    <w:rsid w:val="00583023"/>
    <w:rsid w:val="0058360A"/>
    <w:rsid w:val="00584227"/>
    <w:rsid w:val="00585BD1"/>
    <w:rsid w:val="00585BDD"/>
    <w:rsid w:val="005865F1"/>
    <w:rsid w:val="00587765"/>
    <w:rsid w:val="00590170"/>
    <w:rsid w:val="005907C6"/>
    <w:rsid w:val="005908E1"/>
    <w:rsid w:val="0059130B"/>
    <w:rsid w:val="00591CD3"/>
    <w:rsid w:val="00591FF5"/>
    <w:rsid w:val="0059236D"/>
    <w:rsid w:val="00593584"/>
    <w:rsid w:val="005953AD"/>
    <w:rsid w:val="005959CA"/>
    <w:rsid w:val="00595D0A"/>
    <w:rsid w:val="005969CA"/>
    <w:rsid w:val="00596F47"/>
    <w:rsid w:val="0059794F"/>
    <w:rsid w:val="005A0A93"/>
    <w:rsid w:val="005A1E08"/>
    <w:rsid w:val="005A2E7E"/>
    <w:rsid w:val="005A345C"/>
    <w:rsid w:val="005A3B4D"/>
    <w:rsid w:val="005A518E"/>
    <w:rsid w:val="005A54D2"/>
    <w:rsid w:val="005A562F"/>
    <w:rsid w:val="005A5C90"/>
    <w:rsid w:val="005A7EB5"/>
    <w:rsid w:val="005B02E9"/>
    <w:rsid w:val="005B0F7C"/>
    <w:rsid w:val="005B25A4"/>
    <w:rsid w:val="005B43C4"/>
    <w:rsid w:val="005B55F8"/>
    <w:rsid w:val="005B57BB"/>
    <w:rsid w:val="005B6196"/>
    <w:rsid w:val="005B77F7"/>
    <w:rsid w:val="005B7AF0"/>
    <w:rsid w:val="005C03BC"/>
    <w:rsid w:val="005C0AFE"/>
    <w:rsid w:val="005C25B4"/>
    <w:rsid w:val="005C31E7"/>
    <w:rsid w:val="005C3E0F"/>
    <w:rsid w:val="005C5286"/>
    <w:rsid w:val="005C55B5"/>
    <w:rsid w:val="005C6081"/>
    <w:rsid w:val="005C69E4"/>
    <w:rsid w:val="005C718E"/>
    <w:rsid w:val="005C767B"/>
    <w:rsid w:val="005C798B"/>
    <w:rsid w:val="005D024F"/>
    <w:rsid w:val="005D127A"/>
    <w:rsid w:val="005D2132"/>
    <w:rsid w:val="005D3C79"/>
    <w:rsid w:val="005D4774"/>
    <w:rsid w:val="005D491B"/>
    <w:rsid w:val="005D6294"/>
    <w:rsid w:val="005D69EF"/>
    <w:rsid w:val="005E06A0"/>
    <w:rsid w:val="005E2ACA"/>
    <w:rsid w:val="005E325D"/>
    <w:rsid w:val="005E3275"/>
    <w:rsid w:val="005E4605"/>
    <w:rsid w:val="005E4EE8"/>
    <w:rsid w:val="005E695E"/>
    <w:rsid w:val="005E6FE7"/>
    <w:rsid w:val="005E733C"/>
    <w:rsid w:val="005E742C"/>
    <w:rsid w:val="005E7606"/>
    <w:rsid w:val="005E7C4F"/>
    <w:rsid w:val="005F0D96"/>
    <w:rsid w:val="005F2477"/>
    <w:rsid w:val="005F26A5"/>
    <w:rsid w:val="005F38A8"/>
    <w:rsid w:val="005F3B0B"/>
    <w:rsid w:val="005F4C1E"/>
    <w:rsid w:val="005F6957"/>
    <w:rsid w:val="005F6BFB"/>
    <w:rsid w:val="005F709B"/>
    <w:rsid w:val="005F75A0"/>
    <w:rsid w:val="005F7729"/>
    <w:rsid w:val="006006DE"/>
    <w:rsid w:val="00600931"/>
    <w:rsid w:val="00600FAB"/>
    <w:rsid w:val="0060316C"/>
    <w:rsid w:val="00603831"/>
    <w:rsid w:val="00603AE5"/>
    <w:rsid w:val="006049BE"/>
    <w:rsid w:val="00604ACA"/>
    <w:rsid w:val="0060582A"/>
    <w:rsid w:val="00605C21"/>
    <w:rsid w:val="00605F59"/>
    <w:rsid w:val="00606C73"/>
    <w:rsid w:val="00607A0A"/>
    <w:rsid w:val="0061036A"/>
    <w:rsid w:val="006106EA"/>
    <w:rsid w:val="00610856"/>
    <w:rsid w:val="00610AB5"/>
    <w:rsid w:val="00612794"/>
    <w:rsid w:val="00612FDD"/>
    <w:rsid w:val="0061336E"/>
    <w:rsid w:val="00613F33"/>
    <w:rsid w:val="006203D5"/>
    <w:rsid w:val="00620A9D"/>
    <w:rsid w:val="00620BBA"/>
    <w:rsid w:val="00620C55"/>
    <w:rsid w:val="00620F79"/>
    <w:rsid w:val="00622CCB"/>
    <w:rsid w:val="006230F7"/>
    <w:rsid w:val="006233BB"/>
    <w:rsid w:val="00623FE6"/>
    <w:rsid w:val="00624ECC"/>
    <w:rsid w:val="006260C2"/>
    <w:rsid w:val="0062649F"/>
    <w:rsid w:val="00626A4E"/>
    <w:rsid w:val="006274CB"/>
    <w:rsid w:val="00627D89"/>
    <w:rsid w:val="00627EF5"/>
    <w:rsid w:val="00627FE4"/>
    <w:rsid w:val="00630280"/>
    <w:rsid w:val="00632800"/>
    <w:rsid w:val="00633006"/>
    <w:rsid w:val="00633F58"/>
    <w:rsid w:val="00634770"/>
    <w:rsid w:val="00635032"/>
    <w:rsid w:val="006351F0"/>
    <w:rsid w:val="00635BA5"/>
    <w:rsid w:val="006362FC"/>
    <w:rsid w:val="00636B96"/>
    <w:rsid w:val="006376AA"/>
    <w:rsid w:val="006377C3"/>
    <w:rsid w:val="00637955"/>
    <w:rsid w:val="00637D9B"/>
    <w:rsid w:val="0064060B"/>
    <w:rsid w:val="00641DFD"/>
    <w:rsid w:val="0064245B"/>
    <w:rsid w:val="0064274A"/>
    <w:rsid w:val="00642E90"/>
    <w:rsid w:val="00644D85"/>
    <w:rsid w:val="00644EA5"/>
    <w:rsid w:val="00646B5D"/>
    <w:rsid w:val="00646E90"/>
    <w:rsid w:val="00650A4F"/>
    <w:rsid w:val="00650C6C"/>
    <w:rsid w:val="00652A3E"/>
    <w:rsid w:val="0065355B"/>
    <w:rsid w:val="00653591"/>
    <w:rsid w:val="0065394F"/>
    <w:rsid w:val="00654163"/>
    <w:rsid w:val="00654688"/>
    <w:rsid w:val="00654E0C"/>
    <w:rsid w:val="00655B5D"/>
    <w:rsid w:val="006564C5"/>
    <w:rsid w:val="00657DC6"/>
    <w:rsid w:val="0066012F"/>
    <w:rsid w:val="00660962"/>
    <w:rsid w:val="00661AD3"/>
    <w:rsid w:val="00661CCA"/>
    <w:rsid w:val="00661FBB"/>
    <w:rsid w:val="00663083"/>
    <w:rsid w:val="0066310D"/>
    <w:rsid w:val="00663390"/>
    <w:rsid w:val="006644A6"/>
    <w:rsid w:val="00664885"/>
    <w:rsid w:val="00665D12"/>
    <w:rsid w:val="00666084"/>
    <w:rsid w:val="00666157"/>
    <w:rsid w:val="006724B7"/>
    <w:rsid w:val="00673391"/>
    <w:rsid w:val="0067369F"/>
    <w:rsid w:val="006737A0"/>
    <w:rsid w:val="0067410B"/>
    <w:rsid w:val="0067442F"/>
    <w:rsid w:val="006755AA"/>
    <w:rsid w:val="006755B0"/>
    <w:rsid w:val="00676AA5"/>
    <w:rsid w:val="00677A9A"/>
    <w:rsid w:val="00681B45"/>
    <w:rsid w:val="00682217"/>
    <w:rsid w:val="0068621F"/>
    <w:rsid w:val="00686F5E"/>
    <w:rsid w:val="00687765"/>
    <w:rsid w:val="006906AF"/>
    <w:rsid w:val="00690CD8"/>
    <w:rsid w:val="006920CF"/>
    <w:rsid w:val="00692BE4"/>
    <w:rsid w:val="00692EC3"/>
    <w:rsid w:val="00693830"/>
    <w:rsid w:val="00697933"/>
    <w:rsid w:val="006A0313"/>
    <w:rsid w:val="006A0A3E"/>
    <w:rsid w:val="006A1BF6"/>
    <w:rsid w:val="006A1C37"/>
    <w:rsid w:val="006A3DB4"/>
    <w:rsid w:val="006A54A2"/>
    <w:rsid w:val="006A5B81"/>
    <w:rsid w:val="006A60E8"/>
    <w:rsid w:val="006A7B67"/>
    <w:rsid w:val="006A7BFF"/>
    <w:rsid w:val="006B09AC"/>
    <w:rsid w:val="006B0A64"/>
    <w:rsid w:val="006B0F5F"/>
    <w:rsid w:val="006B18CD"/>
    <w:rsid w:val="006B2E83"/>
    <w:rsid w:val="006B3218"/>
    <w:rsid w:val="006B38CC"/>
    <w:rsid w:val="006B43B2"/>
    <w:rsid w:val="006B4A61"/>
    <w:rsid w:val="006B5390"/>
    <w:rsid w:val="006B7476"/>
    <w:rsid w:val="006B74E9"/>
    <w:rsid w:val="006B7BF5"/>
    <w:rsid w:val="006C04B0"/>
    <w:rsid w:val="006C093F"/>
    <w:rsid w:val="006C1049"/>
    <w:rsid w:val="006C14E7"/>
    <w:rsid w:val="006C1DF2"/>
    <w:rsid w:val="006C225D"/>
    <w:rsid w:val="006C4DDB"/>
    <w:rsid w:val="006C5FD6"/>
    <w:rsid w:val="006C5FDE"/>
    <w:rsid w:val="006C710E"/>
    <w:rsid w:val="006C72C0"/>
    <w:rsid w:val="006C7B11"/>
    <w:rsid w:val="006D1369"/>
    <w:rsid w:val="006D2211"/>
    <w:rsid w:val="006D4752"/>
    <w:rsid w:val="006D4A58"/>
    <w:rsid w:val="006D4BF0"/>
    <w:rsid w:val="006D5054"/>
    <w:rsid w:val="006D507A"/>
    <w:rsid w:val="006D592D"/>
    <w:rsid w:val="006D5B22"/>
    <w:rsid w:val="006D64AE"/>
    <w:rsid w:val="006D6A62"/>
    <w:rsid w:val="006D6E00"/>
    <w:rsid w:val="006D7B9B"/>
    <w:rsid w:val="006D7C3B"/>
    <w:rsid w:val="006D7D0C"/>
    <w:rsid w:val="006E16C7"/>
    <w:rsid w:val="006E2196"/>
    <w:rsid w:val="006E25C7"/>
    <w:rsid w:val="006E3EA1"/>
    <w:rsid w:val="006E3F83"/>
    <w:rsid w:val="006E3F93"/>
    <w:rsid w:val="006E5A77"/>
    <w:rsid w:val="006E65EA"/>
    <w:rsid w:val="006E6937"/>
    <w:rsid w:val="006F027D"/>
    <w:rsid w:val="006F080F"/>
    <w:rsid w:val="006F1863"/>
    <w:rsid w:val="006F1D30"/>
    <w:rsid w:val="006F21F8"/>
    <w:rsid w:val="006F2869"/>
    <w:rsid w:val="006F310E"/>
    <w:rsid w:val="006F4249"/>
    <w:rsid w:val="006F42E6"/>
    <w:rsid w:val="006F4C78"/>
    <w:rsid w:val="006F7286"/>
    <w:rsid w:val="006F79BA"/>
    <w:rsid w:val="006F7C3B"/>
    <w:rsid w:val="007001D9"/>
    <w:rsid w:val="00700AEC"/>
    <w:rsid w:val="0070200E"/>
    <w:rsid w:val="0070225A"/>
    <w:rsid w:val="007038AC"/>
    <w:rsid w:val="00703CB6"/>
    <w:rsid w:val="00703F33"/>
    <w:rsid w:val="007046E1"/>
    <w:rsid w:val="00705108"/>
    <w:rsid w:val="007059A7"/>
    <w:rsid w:val="0071076A"/>
    <w:rsid w:val="0071084C"/>
    <w:rsid w:val="00712F81"/>
    <w:rsid w:val="007131FE"/>
    <w:rsid w:val="00714009"/>
    <w:rsid w:val="00714F53"/>
    <w:rsid w:val="00715416"/>
    <w:rsid w:val="00715FA7"/>
    <w:rsid w:val="00716AD7"/>
    <w:rsid w:val="00716FEB"/>
    <w:rsid w:val="007173C2"/>
    <w:rsid w:val="00717DE9"/>
    <w:rsid w:val="00717ED1"/>
    <w:rsid w:val="00720283"/>
    <w:rsid w:val="007223A6"/>
    <w:rsid w:val="00723530"/>
    <w:rsid w:val="00724053"/>
    <w:rsid w:val="007242B4"/>
    <w:rsid w:val="007243ED"/>
    <w:rsid w:val="007249BB"/>
    <w:rsid w:val="00725C23"/>
    <w:rsid w:val="007262AF"/>
    <w:rsid w:val="00726D9B"/>
    <w:rsid w:val="00727904"/>
    <w:rsid w:val="00727F71"/>
    <w:rsid w:val="007311F2"/>
    <w:rsid w:val="0073156A"/>
    <w:rsid w:val="00731FA2"/>
    <w:rsid w:val="0073214A"/>
    <w:rsid w:val="007327DE"/>
    <w:rsid w:val="00735C74"/>
    <w:rsid w:val="0074245D"/>
    <w:rsid w:val="00743328"/>
    <w:rsid w:val="007441A9"/>
    <w:rsid w:val="007447AE"/>
    <w:rsid w:val="00744FBB"/>
    <w:rsid w:val="007452FE"/>
    <w:rsid w:val="00746D45"/>
    <w:rsid w:val="007477CC"/>
    <w:rsid w:val="00747DE4"/>
    <w:rsid w:val="00751879"/>
    <w:rsid w:val="00752B23"/>
    <w:rsid w:val="007547AA"/>
    <w:rsid w:val="00755345"/>
    <w:rsid w:val="00755C9E"/>
    <w:rsid w:val="007569AC"/>
    <w:rsid w:val="007577D0"/>
    <w:rsid w:val="00760206"/>
    <w:rsid w:val="007636F7"/>
    <w:rsid w:val="00763B36"/>
    <w:rsid w:val="007649E2"/>
    <w:rsid w:val="007654E4"/>
    <w:rsid w:val="00765868"/>
    <w:rsid w:val="007661C0"/>
    <w:rsid w:val="007665D4"/>
    <w:rsid w:val="0076784D"/>
    <w:rsid w:val="007702AE"/>
    <w:rsid w:val="0077087F"/>
    <w:rsid w:val="00770AB7"/>
    <w:rsid w:val="00770AFB"/>
    <w:rsid w:val="00771B6A"/>
    <w:rsid w:val="00773340"/>
    <w:rsid w:val="0077398D"/>
    <w:rsid w:val="00773F01"/>
    <w:rsid w:val="00774643"/>
    <w:rsid w:val="00775E61"/>
    <w:rsid w:val="0077777A"/>
    <w:rsid w:val="0077784C"/>
    <w:rsid w:val="00777CF8"/>
    <w:rsid w:val="0078044B"/>
    <w:rsid w:val="00781626"/>
    <w:rsid w:val="0078273F"/>
    <w:rsid w:val="00782A8B"/>
    <w:rsid w:val="00782AE1"/>
    <w:rsid w:val="0078345C"/>
    <w:rsid w:val="00784528"/>
    <w:rsid w:val="00784FFF"/>
    <w:rsid w:val="00786839"/>
    <w:rsid w:val="007868E9"/>
    <w:rsid w:val="00786A52"/>
    <w:rsid w:val="00786E71"/>
    <w:rsid w:val="0078727A"/>
    <w:rsid w:val="007872F3"/>
    <w:rsid w:val="007901AA"/>
    <w:rsid w:val="00790B13"/>
    <w:rsid w:val="00790C5E"/>
    <w:rsid w:val="00791F50"/>
    <w:rsid w:val="00793EEA"/>
    <w:rsid w:val="00794282"/>
    <w:rsid w:val="007953EC"/>
    <w:rsid w:val="007977B7"/>
    <w:rsid w:val="007A043E"/>
    <w:rsid w:val="007A04B9"/>
    <w:rsid w:val="007A10BC"/>
    <w:rsid w:val="007A1761"/>
    <w:rsid w:val="007A725E"/>
    <w:rsid w:val="007A7A7C"/>
    <w:rsid w:val="007B08CA"/>
    <w:rsid w:val="007B1714"/>
    <w:rsid w:val="007B1E69"/>
    <w:rsid w:val="007B2546"/>
    <w:rsid w:val="007B3C47"/>
    <w:rsid w:val="007B4140"/>
    <w:rsid w:val="007B66D3"/>
    <w:rsid w:val="007B7DDA"/>
    <w:rsid w:val="007C0B29"/>
    <w:rsid w:val="007C0F9D"/>
    <w:rsid w:val="007C2F77"/>
    <w:rsid w:val="007C43B4"/>
    <w:rsid w:val="007C5706"/>
    <w:rsid w:val="007C5D94"/>
    <w:rsid w:val="007C6A9E"/>
    <w:rsid w:val="007C7822"/>
    <w:rsid w:val="007C7A0A"/>
    <w:rsid w:val="007D08D6"/>
    <w:rsid w:val="007D098B"/>
    <w:rsid w:val="007D4FC5"/>
    <w:rsid w:val="007D5AD0"/>
    <w:rsid w:val="007D5B17"/>
    <w:rsid w:val="007D6946"/>
    <w:rsid w:val="007D7EEA"/>
    <w:rsid w:val="007E07A6"/>
    <w:rsid w:val="007E1A24"/>
    <w:rsid w:val="007E22FA"/>
    <w:rsid w:val="007E2B24"/>
    <w:rsid w:val="007E2C14"/>
    <w:rsid w:val="007E32DC"/>
    <w:rsid w:val="007E3AC8"/>
    <w:rsid w:val="007E5ED7"/>
    <w:rsid w:val="007E6BAB"/>
    <w:rsid w:val="007E7166"/>
    <w:rsid w:val="007F0414"/>
    <w:rsid w:val="007F1CFB"/>
    <w:rsid w:val="007F2225"/>
    <w:rsid w:val="007F29CC"/>
    <w:rsid w:val="007F31A5"/>
    <w:rsid w:val="007F3A5F"/>
    <w:rsid w:val="007F3D07"/>
    <w:rsid w:val="007F4D1A"/>
    <w:rsid w:val="007F5371"/>
    <w:rsid w:val="007F56A1"/>
    <w:rsid w:val="007F59E9"/>
    <w:rsid w:val="007F619E"/>
    <w:rsid w:val="007F6564"/>
    <w:rsid w:val="007F7214"/>
    <w:rsid w:val="007F77D4"/>
    <w:rsid w:val="007F799D"/>
    <w:rsid w:val="007F7AD4"/>
    <w:rsid w:val="007F7BE3"/>
    <w:rsid w:val="00800854"/>
    <w:rsid w:val="008022AE"/>
    <w:rsid w:val="00802EC1"/>
    <w:rsid w:val="00803506"/>
    <w:rsid w:val="00804343"/>
    <w:rsid w:val="00804BFB"/>
    <w:rsid w:val="0080514D"/>
    <w:rsid w:val="00805B7B"/>
    <w:rsid w:val="008062AE"/>
    <w:rsid w:val="00807223"/>
    <w:rsid w:val="0080780E"/>
    <w:rsid w:val="0081019F"/>
    <w:rsid w:val="00811090"/>
    <w:rsid w:val="00812297"/>
    <w:rsid w:val="0081334A"/>
    <w:rsid w:val="008139B2"/>
    <w:rsid w:val="00813B45"/>
    <w:rsid w:val="008140DD"/>
    <w:rsid w:val="00814204"/>
    <w:rsid w:val="008142C5"/>
    <w:rsid w:val="00814E44"/>
    <w:rsid w:val="00816775"/>
    <w:rsid w:val="00820685"/>
    <w:rsid w:val="00820A59"/>
    <w:rsid w:val="00821193"/>
    <w:rsid w:val="0082190D"/>
    <w:rsid w:val="00821E7B"/>
    <w:rsid w:val="008229FC"/>
    <w:rsid w:val="00822C3C"/>
    <w:rsid w:val="00823409"/>
    <w:rsid w:val="00823EFD"/>
    <w:rsid w:val="00823F4C"/>
    <w:rsid w:val="00825AED"/>
    <w:rsid w:val="008262DC"/>
    <w:rsid w:val="00826F06"/>
    <w:rsid w:val="0082779F"/>
    <w:rsid w:val="0082788E"/>
    <w:rsid w:val="00827E6A"/>
    <w:rsid w:val="00830114"/>
    <w:rsid w:val="0083012C"/>
    <w:rsid w:val="00831628"/>
    <w:rsid w:val="00831C8C"/>
    <w:rsid w:val="00832163"/>
    <w:rsid w:val="00833E68"/>
    <w:rsid w:val="00834553"/>
    <w:rsid w:val="008356C0"/>
    <w:rsid w:val="008374C0"/>
    <w:rsid w:val="00840F43"/>
    <w:rsid w:val="008414C5"/>
    <w:rsid w:val="00841C19"/>
    <w:rsid w:val="00841E62"/>
    <w:rsid w:val="00843876"/>
    <w:rsid w:val="00843AE5"/>
    <w:rsid w:val="0084430C"/>
    <w:rsid w:val="00846AFB"/>
    <w:rsid w:val="0085147A"/>
    <w:rsid w:val="008519EA"/>
    <w:rsid w:val="008541E6"/>
    <w:rsid w:val="008546E2"/>
    <w:rsid w:val="00854714"/>
    <w:rsid w:val="00854DE9"/>
    <w:rsid w:val="00856606"/>
    <w:rsid w:val="00856D14"/>
    <w:rsid w:val="00856D2B"/>
    <w:rsid w:val="008606F2"/>
    <w:rsid w:val="00860F51"/>
    <w:rsid w:val="00861820"/>
    <w:rsid w:val="0086293A"/>
    <w:rsid w:val="00862DCB"/>
    <w:rsid w:val="00863867"/>
    <w:rsid w:val="00863A1A"/>
    <w:rsid w:val="00863F60"/>
    <w:rsid w:val="00866088"/>
    <w:rsid w:val="008672E6"/>
    <w:rsid w:val="008678B8"/>
    <w:rsid w:val="00867B2F"/>
    <w:rsid w:val="00867D48"/>
    <w:rsid w:val="00870065"/>
    <w:rsid w:val="00871A76"/>
    <w:rsid w:val="008721A8"/>
    <w:rsid w:val="008724BF"/>
    <w:rsid w:val="008725D2"/>
    <w:rsid w:val="00872746"/>
    <w:rsid w:val="00873134"/>
    <w:rsid w:val="008737DC"/>
    <w:rsid w:val="00875107"/>
    <w:rsid w:val="008759A7"/>
    <w:rsid w:val="00876159"/>
    <w:rsid w:val="008764D4"/>
    <w:rsid w:val="00877CD8"/>
    <w:rsid w:val="00880155"/>
    <w:rsid w:val="00880CCF"/>
    <w:rsid w:val="0088105C"/>
    <w:rsid w:val="008821AE"/>
    <w:rsid w:val="00882F04"/>
    <w:rsid w:val="00883F8F"/>
    <w:rsid w:val="00885A59"/>
    <w:rsid w:val="00885BFA"/>
    <w:rsid w:val="008866E7"/>
    <w:rsid w:val="00890385"/>
    <w:rsid w:val="0089095E"/>
    <w:rsid w:val="00890A70"/>
    <w:rsid w:val="0089305C"/>
    <w:rsid w:val="00895224"/>
    <w:rsid w:val="008955B0"/>
    <w:rsid w:val="00896E89"/>
    <w:rsid w:val="0089786B"/>
    <w:rsid w:val="00897C77"/>
    <w:rsid w:val="00897ED0"/>
    <w:rsid w:val="008A04CB"/>
    <w:rsid w:val="008A09A3"/>
    <w:rsid w:val="008A0ECC"/>
    <w:rsid w:val="008A0F00"/>
    <w:rsid w:val="008A0F04"/>
    <w:rsid w:val="008A1C25"/>
    <w:rsid w:val="008A27EF"/>
    <w:rsid w:val="008A459B"/>
    <w:rsid w:val="008A4A49"/>
    <w:rsid w:val="008A507C"/>
    <w:rsid w:val="008A50AC"/>
    <w:rsid w:val="008A5402"/>
    <w:rsid w:val="008A54F0"/>
    <w:rsid w:val="008A6926"/>
    <w:rsid w:val="008B05C8"/>
    <w:rsid w:val="008B09D9"/>
    <w:rsid w:val="008B27B7"/>
    <w:rsid w:val="008B43D6"/>
    <w:rsid w:val="008B4FD9"/>
    <w:rsid w:val="008B5CC6"/>
    <w:rsid w:val="008B647F"/>
    <w:rsid w:val="008B6793"/>
    <w:rsid w:val="008B739C"/>
    <w:rsid w:val="008B73B0"/>
    <w:rsid w:val="008B7914"/>
    <w:rsid w:val="008B7A4A"/>
    <w:rsid w:val="008C037B"/>
    <w:rsid w:val="008C0DE6"/>
    <w:rsid w:val="008C1B99"/>
    <w:rsid w:val="008C2826"/>
    <w:rsid w:val="008C2DD6"/>
    <w:rsid w:val="008C2F8B"/>
    <w:rsid w:val="008C317F"/>
    <w:rsid w:val="008C3BC7"/>
    <w:rsid w:val="008C4F4E"/>
    <w:rsid w:val="008C58C4"/>
    <w:rsid w:val="008C6260"/>
    <w:rsid w:val="008C6C4B"/>
    <w:rsid w:val="008C6F8F"/>
    <w:rsid w:val="008C724E"/>
    <w:rsid w:val="008D0AAB"/>
    <w:rsid w:val="008D0D31"/>
    <w:rsid w:val="008D1C04"/>
    <w:rsid w:val="008D2232"/>
    <w:rsid w:val="008D27D9"/>
    <w:rsid w:val="008D3709"/>
    <w:rsid w:val="008D3B03"/>
    <w:rsid w:val="008D5005"/>
    <w:rsid w:val="008D61A2"/>
    <w:rsid w:val="008D6299"/>
    <w:rsid w:val="008D701E"/>
    <w:rsid w:val="008E04BE"/>
    <w:rsid w:val="008E1250"/>
    <w:rsid w:val="008E14FD"/>
    <w:rsid w:val="008E177D"/>
    <w:rsid w:val="008E1F78"/>
    <w:rsid w:val="008E361B"/>
    <w:rsid w:val="008E3C12"/>
    <w:rsid w:val="008E5E77"/>
    <w:rsid w:val="008E6CDF"/>
    <w:rsid w:val="008E6FF0"/>
    <w:rsid w:val="008E6FF2"/>
    <w:rsid w:val="008E7912"/>
    <w:rsid w:val="008E79AE"/>
    <w:rsid w:val="008E7DBA"/>
    <w:rsid w:val="008F0383"/>
    <w:rsid w:val="008F0821"/>
    <w:rsid w:val="008F11B3"/>
    <w:rsid w:val="008F1421"/>
    <w:rsid w:val="008F18BC"/>
    <w:rsid w:val="008F1E47"/>
    <w:rsid w:val="008F1F0C"/>
    <w:rsid w:val="008F2E3D"/>
    <w:rsid w:val="008F3662"/>
    <w:rsid w:val="008F45EE"/>
    <w:rsid w:val="008F4A3A"/>
    <w:rsid w:val="008F55AA"/>
    <w:rsid w:val="008F6105"/>
    <w:rsid w:val="008F6395"/>
    <w:rsid w:val="008F70E6"/>
    <w:rsid w:val="008F7390"/>
    <w:rsid w:val="008F7592"/>
    <w:rsid w:val="008F7991"/>
    <w:rsid w:val="008F7E28"/>
    <w:rsid w:val="0090092F"/>
    <w:rsid w:val="0090558A"/>
    <w:rsid w:val="00905AAC"/>
    <w:rsid w:val="00905E7E"/>
    <w:rsid w:val="009062A8"/>
    <w:rsid w:val="009077EB"/>
    <w:rsid w:val="009116C3"/>
    <w:rsid w:val="00911899"/>
    <w:rsid w:val="00911F28"/>
    <w:rsid w:val="009122BC"/>
    <w:rsid w:val="0091349C"/>
    <w:rsid w:val="00913AAA"/>
    <w:rsid w:val="00914330"/>
    <w:rsid w:val="00916D78"/>
    <w:rsid w:val="00916FB8"/>
    <w:rsid w:val="00917023"/>
    <w:rsid w:val="00917105"/>
    <w:rsid w:val="00917D70"/>
    <w:rsid w:val="0092015C"/>
    <w:rsid w:val="00920F0E"/>
    <w:rsid w:val="00921BC3"/>
    <w:rsid w:val="00922B31"/>
    <w:rsid w:val="009243CF"/>
    <w:rsid w:val="00924B9F"/>
    <w:rsid w:val="009271CD"/>
    <w:rsid w:val="0092769B"/>
    <w:rsid w:val="009303A7"/>
    <w:rsid w:val="009315AA"/>
    <w:rsid w:val="00932BC4"/>
    <w:rsid w:val="00932EFD"/>
    <w:rsid w:val="00934997"/>
    <w:rsid w:val="00934A7B"/>
    <w:rsid w:val="00937574"/>
    <w:rsid w:val="00940397"/>
    <w:rsid w:val="00940A75"/>
    <w:rsid w:val="00941442"/>
    <w:rsid w:val="00942A79"/>
    <w:rsid w:val="009437A6"/>
    <w:rsid w:val="00943D66"/>
    <w:rsid w:val="00944A41"/>
    <w:rsid w:val="00944D50"/>
    <w:rsid w:val="009451A6"/>
    <w:rsid w:val="00945507"/>
    <w:rsid w:val="00945E36"/>
    <w:rsid w:val="00946086"/>
    <w:rsid w:val="009464CA"/>
    <w:rsid w:val="0095012B"/>
    <w:rsid w:val="009509C3"/>
    <w:rsid w:val="0095119D"/>
    <w:rsid w:val="009511C2"/>
    <w:rsid w:val="00951E09"/>
    <w:rsid w:val="00953127"/>
    <w:rsid w:val="00954529"/>
    <w:rsid w:val="009554BA"/>
    <w:rsid w:val="00955636"/>
    <w:rsid w:val="00956DD7"/>
    <w:rsid w:val="009619C1"/>
    <w:rsid w:val="009622A7"/>
    <w:rsid w:val="00962571"/>
    <w:rsid w:val="0096312D"/>
    <w:rsid w:val="00963147"/>
    <w:rsid w:val="009634C8"/>
    <w:rsid w:val="009635E3"/>
    <w:rsid w:val="00963C77"/>
    <w:rsid w:val="0096413A"/>
    <w:rsid w:val="009646E6"/>
    <w:rsid w:val="0096470A"/>
    <w:rsid w:val="00964E25"/>
    <w:rsid w:val="0096759C"/>
    <w:rsid w:val="009709B8"/>
    <w:rsid w:val="00970E27"/>
    <w:rsid w:val="009714E7"/>
    <w:rsid w:val="0097211E"/>
    <w:rsid w:val="0097226C"/>
    <w:rsid w:val="00973183"/>
    <w:rsid w:val="00973318"/>
    <w:rsid w:val="00973A05"/>
    <w:rsid w:val="00974035"/>
    <w:rsid w:val="0097621F"/>
    <w:rsid w:val="00983400"/>
    <w:rsid w:val="009846A9"/>
    <w:rsid w:val="00984737"/>
    <w:rsid w:val="0098517F"/>
    <w:rsid w:val="009856C6"/>
    <w:rsid w:val="00985A42"/>
    <w:rsid w:val="00985AFE"/>
    <w:rsid w:val="009865CB"/>
    <w:rsid w:val="00986EF3"/>
    <w:rsid w:val="00987801"/>
    <w:rsid w:val="009908E1"/>
    <w:rsid w:val="00990FD4"/>
    <w:rsid w:val="00991A41"/>
    <w:rsid w:val="00991C72"/>
    <w:rsid w:val="0099376D"/>
    <w:rsid w:val="009943D4"/>
    <w:rsid w:val="009954F7"/>
    <w:rsid w:val="0099798B"/>
    <w:rsid w:val="009A036E"/>
    <w:rsid w:val="009A0E2A"/>
    <w:rsid w:val="009A160E"/>
    <w:rsid w:val="009A18EB"/>
    <w:rsid w:val="009A24D1"/>
    <w:rsid w:val="009A2D15"/>
    <w:rsid w:val="009A716D"/>
    <w:rsid w:val="009A71A3"/>
    <w:rsid w:val="009B050D"/>
    <w:rsid w:val="009B12E1"/>
    <w:rsid w:val="009B17F4"/>
    <w:rsid w:val="009B191F"/>
    <w:rsid w:val="009B3D2C"/>
    <w:rsid w:val="009B5582"/>
    <w:rsid w:val="009B5F24"/>
    <w:rsid w:val="009B6790"/>
    <w:rsid w:val="009B67B1"/>
    <w:rsid w:val="009B7772"/>
    <w:rsid w:val="009C016F"/>
    <w:rsid w:val="009C11F7"/>
    <w:rsid w:val="009C13BD"/>
    <w:rsid w:val="009C1590"/>
    <w:rsid w:val="009C27B6"/>
    <w:rsid w:val="009C29E0"/>
    <w:rsid w:val="009C32C2"/>
    <w:rsid w:val="009C3B00"/>
    <w:rsid w:val="009C4CD7"/>
    <w:rsid w:val="009C58BF"/>
    <w:rsid w:val="009C5B47"/>
    <w:rsid w:val="009C5DBC"/>
    <w:rsid w:val="009C5FDE"/>
    <w:rsid w:val="009C675F"/>
    <w:rsid w:val="009C6989"/>
    <w:rsid w:val="009D0E3A"/>
    <w:rsid w:val="009D0E8A"/>
    <w:rsid w:val="009D1A6D"/>
    <w:rsid w:val="009D2648"/>
    <w:rsid w:val="009D26C9"/>
    <w:rsid w:val="009D3202"/>
    <w:rsid w:val="009D353B"/>
    <w:rsid w:val="009D382A"/>
    <w:rsid w:val="009D3BB6"/>
    <w:rsid w:val="009D42D6"/>
    <w:rsid w:val="009D4409"/>
    <w:rsid w:val="009D58D7"/>
    <w:rsid w:val="009D5D91"/>
    <w:rsid w:val="009D5E3E"/>
    <w:rsid w:val="009D5FFD"/>
    <w:rsid w:val="009D7EB1"/>
    <w:rsid w:val="009E1DB8"/>
    <w:rsid w:val="009E2076"/>
    <w:rsid w:val="009E23ED"/>
    <w:rsid w:val="009E3B71"/>
    <w:rsid w:val="009E5196"/>
    <w:rsid w:val="009E519F"/>
    <w:rsid w:val="009E524A"/>
    <w:rsid w:val="009E5FFD"/>
    <w:rsid w:val="009E73E8"/>
    <w:rsid w:val="009E7D1E"/>
    <w:rsid w:val="009F0466"/>
    <w:rsid w:val="009F08E9"/>
    <w:rsid w:val="009F1B4E"/>
    <w:rsid w:val="009F2BC6"/>
    <w:rsid w:val="009F43EE"/>
    <w:rsid w:val="009F4C66"/>
    <w:rsid w:val="009F50C8"/>
    <w:rsid w:val="009F58D1"/>
    <w:rsid w:val="009F69DB"/>
    <w:rsid w:val="00A01465"/>
    <w:rsid w:val="00A034F3"/>
    <w:rsid w:val="00A03F40"/>
    <w:rsid w:val="00A04AAA"/>
    <w:rsid w:val="00A05B9D"/>
    <w:rsid w:val="00A0631B"/>
    <w:rsid w:val="00A06440"/>
    <w:rsid w:val="00A06978"/>
    <w:rsid w:val="00A100D2"/>
    <w:rsid w:val="00A1024B"/>
    <w:rsid w:val="00A10B16"/>
    <w:rsid w:val="00A10C1D"/>
    <w:rsid w:val="00A10E18"/>
    <w:rsid w:val="00A11178"/>
    <w:rsid w:val="00A11D72"/>
    <w:rsid w:val="00A12B37"/>
    <w:rsid w:val="00A13065"/>
    <w:rsid w:val="00A13CE8"/>
    <w:rsid w:val="00A14C5F"/>
    <w:rsid w:val="00A15489"/>
    <w:rsid w:val="00A1562C"/>
    <w:rsid w:val="00A177D3"/>
    <w:rsid w:val="00A21E10"/>
    <w:rsid w:val="00A22178"/>
    <w:rsid w:val="00A233DB"/>
    <w:rsid w:val="00A2343A"/>
    <w:rsid w:val="00A23E14"/>
    <w:rsid w:val="00A254E2"/>
    <w:rsid w:val="00A25FC4"/>
    <w:rsid w:val="00A266DB"/>
    <w:rsid w:val="00A267F9"/>
    <w:rsid w:val="00A26C6A"/>
    <w:rsid w:val="00A27117"/>
    <w:rsid w:val="00A272FA"/>
    <w:rsid w:val="00A2775F"/>
    <w:rsid w:val="00A27887"/>
    <w:rsid w:val="00A27B99"/>
    <w:rsid w:val="00A30380"/>
    <w:rsid w:val="00A30490"/>
    <w:rsid w:val="00A30D12"/>
    <w:rsid w:val="00A318A8"/>
    <w:rsid w:val="00A31AC4"/>
    <w:rsid w:val="00A322A7"/>
    <w:rsid w:val="00A32E74"/>
    <w:rsid w:val="00A330FF"/>
    <w:rsid w:val="00A337A4"/>
    <w:rsid w:val="00A3451D"/>
    <w:rsid w:val="00A34912"/>
    <w:rsid w:val="00A359A7"/>
    <w:rsid w:val="00A36D3C"/>
    <w:rsid w:val="00A37C90"/>
    <w:rsid w:val="00A401C1"/>
    <w:rsid w:val="00A40436"/>
    <w:rsid w:val="00A408F6"/>
    <w:rsid w:val="00A40C14"/>
    <w:rsid w:val="00A422B4"/>
    <w:rsid w:val="00A427B0"/>
    <w:rsid w:val="00A42874"/>
    <w:rsid w:val="00A428E2"/>
    <w:rsid w:val="00A431D8"/>
    <w:rsid w:val="00A43C11"/>
    <w:rsid w:val="00A44856"/>
    <w:rsid w:val="00A44F61"/>
    <w:rsid w:val="00A45336"/>
    <w:rsid w:val="00A461D7"/>
    <w:rsid w:val="00A47090"/>
    <w:rsid w:val="00A4716D"/>
    <w:rsid w:val="00A47C21"/>
    <w:rsid w:val="00A47D7A"/>
    <w:rsid w:val="00A504EB"/>
    <w:rsid w:val="00A50687"/>
    <w:rsid w:val="00A50E48"/>
    <w:rsid w:val="00A50F7E"/>
    <w:rsid w:val="00A512DB"/>
    <w:rsid w:val="00A52D92"/>
    <w:rsid w:val="00A53634"/>
    <w:rsid w:val="00A542CF"/>
    <w:rsid w:val="00A54501"/>
    <w:rsid w:val="00A55F55"/>
    <w:rsid w:val="00A562E8"/>
    <w:rsid w:val="00A56694"/>
    <w:rsid w:val="00A570AE"/>
    <w:rsid w:val="00A571A3"/>
    <w:rsid w:val="00A57541"/>
    <w:rsid w:val="00A5767E"/>
    <w:rsid w:val="00A602BF"/>
    <w:rsid w:val="00A614F3"/>
    <w:rsid w:val="00A619D0"/>
    <w:rsid w:val="00A61EE7"/>
    <w:rsid w:val="00A62083"/>
    <w:rsid w:val="00A62923"/>
    <w:rsid w:val="00A65C76"/>
    <w:rsid w:val="00A664A1"/>
    <w:rsid w:val="00A6782E"/>
    <w:rsid w:val="00A70357"/>
    <w:rsid w:val="00A72692"/>
    <w:rsid w:val="00A73A15"/>
    <w:rsid w:val="00A74368"/>
    <w:rsid w:val="00A75400"/>
    <w:rsid w:val="00A754EB"/>
    <w:rsid w:val="00A754F4"/>
    <w:rsid w:val="00A77557"/>
    <w:rsid w:val="00A778C7"/>
    <w:rsid w:val="00A80285"/>
    <w:rsid w:val="00A8077D"/>
    <w:rsid w:val="00A80F94"/>
    <w:rsid w:val="00A82837"/>
    <w:rsid w:val="00A8343B"/>
    <w:rsid w:val="00A84C21"/>
    <w:rsid w:val="00A86D56"/>
    <w:rsid w:val="00A875C6"/>
    <w:rsid w:val="00A90A7D"/>
    <w:rsid w:val="00A9127B"/>
    <w:rsid w:val="00A91815"/>
    <w:rsid w:val="00A91F8C"/>
    <w:rsid w:val="00A922BE"/>
    <w:rsid w:val="00A94CFC"/>
    <w:rsid w:val="00A956F1"/>
    <w:rsid w:val="00A968BC"/>
    <w:rsid w:val="00A97B60"/>
    <w:rsid w:val="00AA0682"/>
    <w:rsid w:val="00AA2048"/>
    <w:rsid w:val="00AA25A9"/>
    <w:rsid w:val="00AA28B6"/>
    <w:rsid w:val="00AA2AB3"/>
    <w:rsid w:val="00AA3C4C"/>
    <w:rsid w:val="00AA44B9"/>
    <w:rsid w:val="00AA52AA"/>
    <w:rsid w:val="00AA52AD"/>
    <w:rsid w:val="00AA586A"/>
    <w:rsid w:val="00AA5DAA"/>
    <w:rsid w:val="00AA5E0C"/>
    <w:rsid w:val="00AA5FE3"/>
    <w:rsid w:val="00AA7657"/>
    <w:rsid w:val="00AA7C67"/>
    <w:rsid w:val="00AB04E1"/>
    <w:rsid w:val="00AB1B79"/>
    <w:rsid w:val="00AB24AF"/>
    <w:rsid w:val="00AB2B0B"/>
    <w:rsid w:val="00AB328C"/>
    <w:rsid w:val="00AB3C08"/>
    <w:rsid w:val="00AB59E4"/>
    <w:rsid w:val="00AB6AC1"/>
    <w:rsid w:val="00AC081F"/>
    <w:rsid w:val="00AC0D63"/>
    <w:rsid w:val="00AC151C"/>
    <w:rsid w:val="00AC1D0D"/>
    <w:rsid w:val="00AC2962"/>
    <w:rsid w:val="00AC2F2D"/>
    <w:rsid w:val="00AC41E0"/>
    <w:rsid w:val="00AC5F7C"/>
    <w:rsid w:val="00AC60A5"/>
    <w:rsid w:val="00AC66D2"/>
    <w:rsid w:val="00AC726A"/>
    <w:rsid w:val="00AC7CCA"/>
    <w:rsid w:val="00AD07FA"/>
    <w:rsid w:val="00AD0C1F"/>
    <w:rsid w:val="00AD0FD8"/>
    <w:rsid w:val="00AD1677"/>
    <w:rsid w:val="00AD192E"/>
    <w:rsid w:val="00AD2760"/>
    <w:rsid w:val="00AD2AF7"/>
    <w:rsid w:val="00AD2E5B"/>
    <w:rsid w:val="00AD3018"/>
    <w:rsid w:val="00AD3BF6"/>
    <w:rsid w:val="00AD63B6"/>
    <w:rsid w:val="00AD6402"/>
    <w:rsid w:val="00AD7A8B"/>
    <w:rsid w:val="00AE04F5"/>
    <w:rsid w:val="00AE0BD8"/>
    <w:rsid w:val="00AE2533"/>
    <w:rsid w:val="00AE2877"/>
    <w:rsid w:val="00AE2C66"/>
    <w:rsid w:val="00AE2D5A"/>
    <w:rsid w:val="00AE2FE7"/>
    <w:rsid w:val="00AE39C1"/>
    <w:rsid w:val="00AE47EE"/>
    <w:rsid w:val="00AE5CF6"/>
    <w:rsid w:val="00AE5D3E"/>
    <w:rsid w:val="00AE5DF9"/>
    <w:rsid w:val="00AE65C4"/>
    <w:rsid w:val="00AE7763"/>
    <w:rsid w:val="00AE7FCE"/>
    <w:rsid w:val="00AF10AD"/>
    <w:rsid w:val="00AF199A"/>
    <w:rsid w:val="00AF2860"/>
    <w:rsid w:val="00AF2CB3"/>
    <w:rsid w:val="00AF3977"/>
    <w:rsid w:val="00AF50A7"/>
    <w:rsid w:val="00AF584D"/>
    <w:rsid w:val="00AF58BD"/>
    <w:rsid w:val="00AF5DF7"/>
    <w:rsid w:val="00AF720E"/>
    <w:rsid w:val="00AF7626"/>
    <w:rsid w:val="00B00807"/>
    <w:rsid w:val="00B0115E"/>
    <w:rsid w:val="00B03845"/>
    <w:rsid w:val="00B048B9"/>
    <w:rsid w:val="00B04E34"/>
    <w:rsid w:val="00B05A0B"/>
    <w:rsid w:val="00B06533"/>
    <w:rsid w:val="00B10AB8"/>
    <w:rsid w:val="00B10EDB"/>
    <w:rsid w:val="00B10F5E"/>
    <w:rsid w:val="00B116E0"/>
    <w:rsid w:val="00B119F2"/>
    <w:rsid w:val="00B14166"/>
    <w:rsid w:val="00B148CA"/>
    <w:rsid w:val="00B159BF"/>
    <w:rsid w:val="00B16474"/>
    <w:rsid w:val="00B16F2A"/>
    <w:rsid w:val="00B17281"/>
    <w:rsid w:val="00B21E19"/>
    <w:rsid w:val="00B21E6C"/>
    <w:rsid w:val="00B220A5"/>
    <w:rsid w:val="00B2273C"/>
    <w:rsid w:val="00B228B0"/>
    <w:rsid w:val="00B2333C"/>
    <w:rsid w:val="00B2409E"/>
    <w:rsid w:val="00B24101"/>
    <w:rsid w:val="00B249E9"/>
    <w:rsid w:val="00B25D5E"/>
    <w:rsid w:val="00B2602D"/>
    <w:rsid w:val="00B2657B"/>
    <w:rsid w:val="00B265ED"/>
    <w:rsid w:val="00B2682E"/>
    <w:rsid w:val="00B26F1F"/>
    <w:rsid w:val="00B272F4"/>
    <w:rsid w:val="00B30508"/>
    <w:rsid w:val="00B3065A"/>
    <w:rsid w:val="00B31950"/>
    <w:rsid w:val="00B3204B"/>
    <w:rsid w:val="00B325B3"/>
    <w:rsid w:val="00B32CF7"/>
    <w:rsid w:val="00B33811"/>
    <w:rsid w:val="00B33E8B"/>
    <w:rsid w:val="00B34B29"/>
    <w:rsid w:val="00B35422"/>
    <w:rsid w:val="00B371CD"/>
    <w:rsid w:val="00B37363"/>
    <w:rsid w:val="00B37966"/>
    <w:rsid w:val="00B37DDD"/>
    <w:rsid w:val="00B40BD3"/>
    <w:rsid w:val="00B416B1"/>
    <w:rsid w:val="00B422AD"/>
    <w:rsid w:val="00B42CCF"/>
    <w:rsid w:val="00B43D11"/>
    <w:rsid w:val="00B44092"/>
    <w:rsid w:val="00B44170"/>
    <w:rsid w:val="00B44803"/>
    <w:rsid w:val="00B44872"/>
    <w:rsid w:val="00B451F5"/>
    <w:rsid w:val="00B45C26"/>
    <w:rsid w:val="00B466A1"/>
    <w:rsid w:val="00B46BDA"/>
    <w:rsid w:val="00B4738F"/>
    <w:rsid w:val="00B47961"/>
    <w:rsid w:val="00B53041"/>
    <w:rsid w:val="00B54210"/>
    <w:rsid w:val="00B54943"/>
    <w:rsid w:val="00B54CDE"/>
    <w:rsid w:val="00B55FD7"/>
    <w:rsid w:val="00B562F8"/>
    <w:rsid w:val="00B573D1"/>
    <w:rsid w:val="00B578A6"/>
    <w:rsid w:val="00B60CA5"/>
    <w:rsid w:val="00B60E11"/>
    <w:rsid w:val="00B61D5D"/>
    <w:rsid w:val="00B6241E"/>
    <w:rsid w:val="00B63C72"/>
    <w:rsid w:val="00B6456C"/>
    <w:rsid w:val="00B64942"/>
    <w:rsid w:val="00B6571E"/>
    <w:rsid w:val="00B66639"/>
    <w:rsid w:val="00B66B27"/>
    <w:rsid w:val="00B67FF2"/>
    <w:rsid w:val="00B70E69"/>
    <w:rsid w:val="00B717B7"/>
    <w:rsid w:val="00B72664"/>
    <w:rsid w:val="00B739E5"/>
    <w:rsid w:val="00B73C3C"/>
    <w:rsid w:val="00B747BE"/>
    <w:rsid w:val="00B776D2"/>
    <w:rsid w:val="00B77F34"/>
    <w:rsid w:val="00B801E9"/>
    <w:rsid w:val="00B80894"/>
    <w:rsid w:val="00B80A56"/>
    <w:rsid w:val="00B825E1"/>
    <w:rsid w:val="00B82DC9"/>
    <w:rsid w:val="00B82DE1"/>
    <w:rsid w:val="00B83178"/>
    <w:rsid w:val="00B84027"/>
    <w:rsid w:val="00B854A9"/>
    <w:rsid w:val="00B85789"/>
    <w:rsid w:val="00B85F6B"/>
    <w:rsid w:val="00B92C0D"/>
    <w:rsid w:val="00B941B8"/>
    <w:rsid w:val="00B94EB7"/>
    <w:rsid w:val="00BA0534"/>
    <w:rsid w:val="00BA0BF9"/>
    <w:rsid w:val="00BA1421"/>
    <w:rsid w:val="00BA20D6"/>
    <w:rsid w:val="00BA267D"/>
    <w:rsid w:val="00BA2F5B"/>
    <w:rsid w:val="00BA36E3"/>
    <w:rsid w:val="00BA3A8B"/>
    <w:rsid w:val="00BA42B9"/>
    <w:rsid w:val="00BA46BA"/>
    <w:rsid w:val="00BA4715"/>
    <w:rsid w:val="00BA4D98"/>
    <w:rsid w:val="00BA530A"/>
    <w:rsid w:val="00BA5C55"/>
    <w:rsid w:val="00BA616D"/>
    <w:rsid w:val="00BA6667"/>
    <w:rsid w:val="00BA6B12"/>
    <w:rsid w:val="00BB0384"/>
    <w:rsid w:val="00BB318E"/>
    <w:rsid w:val="00BB635F"/>
    <w:rsid w:val="00BC03A1"/>
    <w:rsid w:val="00BC083B"/>
    <w:rsid w:val="00BC4C98"/>
    <w:rsid w:val="00BC51DB"/>
    <w:rsid w:val="00BC6887"/>
    <w:rsid w:val="00BD0455"/>
    <w:rsid w:val="00BD08A9"/>
    <w:rsid w:val="00BD0F5A"/>
    <w:rsid w:val="00BD1A5D"/>
    <w:rsid w:val="00BD23C7"/>
    <w:rsid w:val="00BD29A2"/>
    <w:rsid w:val="00BD33FF"/>
    <w:rsid w:val="00BD4704"/>
    <w:rsid w:val="00BD49E6"/>
    <w:rsid w:val="00BD4D13"/>
    <w:rsid w:val="00BD5233"/>
    <w:rsid w:val="00BD5AE6"/>
    <w:rsid w:val="00BD5CC1"/>
    <w:rsid w:val="00BD630E"/>
    <w:rsid w:val="00BD71AE"/>
    <w:rsid w:val="00BD7720"/>
    <w:rsid w:val="00BD7C35"/>
    <w:rsid w:val="00BD7D18"/>
    <w:rsid w:val="00BE03A8"/>
    <w:rsid w:val="00BE0481"/>
    <w:rsid w:val="00BE088F"/>
    <w:rsid w:val="00BE18DA"/>
    <w:rsid w:val="00BE22F9"/>
    <w:rsid w:val="00BE3532"/>
    <w:rsid w:val="00BE362A"/>
    <w:rsid w:val="00BE3A8D"/>
    <w:rsid w:val="00BE3B51"/>
    <w:rsid w:val="00BE46B5"/>
    <w:rsid w:val="00BE47DA"/>
    <w:rsid w:val="00BE50D6"/>
    <w:rsid w:val="00BE5C43"/>
    <w:rsid w:val="00BF12B5"/>
    <w:rsid w:val="00BF13C5"/>
    <w:rsid w:val="00BF16B3"/>
    <w:rsid w:val="00BF254D"/>
    <w:rsid w:val="00BF2704"/>
    <w:rsid w:val="00BF2754"/>
    <w:rsid w:val="00BF32F0"/>
    <w:rsid w:val="00BF3C90"/>
    <w:rsid w:val="00BF3F64"/>
    <w:rsid w:val="00BF4FEE"/>
    <w:rsid w:val="00BF550A"/>
    <w:rsid w:val="00BF5599"/>
    <w:rsid w:val="00BF64F7"/>
    <w:rsid w:val="00BF66BD"/>
    <w:rsid w:val="00BF6D5F"/>
    <w:rsid w:val="00BF723F"/>
    <w:rsid w:val="00BF75CB"/>
    <w:rsid w:val="00BF7C10"/>
    <w:rsid w:val="00C0003D"/>
    <w:rsid w:val="00C016CD"/>
    <w:rsid w:val="00C0194B"/>
    <w:rsid w:val="00C01E10"/>
    <w:rsid w:val="00C02097"/>
    <w:rsid w:val="00C024B4"/>
    <w:rsid w:val="00C04EF3"/>
    <w:rsid w:val="00C051A8"/>
    <w:rsid w:val="00C0556C"/>
    <w:rsid w:val="00C05BA2"/>
    <w:rsid w:val="00C06F61"/>
    <w:rsid w:val="00C07ABB"/>
    <w:rsid w:val="00C07BCB"/>
    <w:rsid w:val="00C103FC"/>
    <w:rsid w:val="00C1105D"/>
    <w:rsid w:val="00C11DD3"/>
    <w:rsid w:val="00C13230"/>
    <w:rsid w:val="00C13703"/>
    <w:rsid w:val="00C14C5C"/>
    <w:rsid w:val="00C14C99"/>
    <w:rsid w:val="00C16C78"/>
    <w:rsid w:val="00C17123"/>
    <w:rsid w:val="00C17696"/>
    <w:rsid w:val="00C200C6"/>
    <w:rsid w:val="00C206C3"/>
    <w:rsid w:val="00C21249"/>
    <w:rsid w:val="00C219CD"/>
    <w:rsid w:val="00C23434"/>
    <w:rsid w:val="00C24B0A"/>
    <w:rsid w:val="00C25109"/>
    <w:rsid w:val="00C2559E"/>
    <w:rsid w:val="00C2637E"/>
    <w:rsid w:val="00C264DD"/>
    <w:rsid w:val="00C275A6"/>
    <w:rsid w:val="00C27765"/>
    <w:rsid w:val="00C27B90"/>
    <w:rsid w:val="00C308FE"/>
    <w:rsid w:val="00C330EF"/>
    <w:rsid w:val="00C33514"/>
    <w:rsid w:val="00C338C2"/>
    <w:rsid w:val="00C33C63"/>
    <w:rsid w:val="00C34BD7"/>
    <w:rsid w:val="00C36C7C"/>
    <w:rsid w:val="00C377EC"/>
    <w:rsid w:val="00C378BA"/>
    <w:rsid w:val="00C379C9"/>
    <w:rsid w:val="00C4132C"/>
    <w:rsid w:val="00C41805"/>
    <w:rsid w:val="00C44442"/>
    <w:rsid w:val="00C45C1C"/>
    <w:rsid w:val="00C4645D"/>
    <w:rsid w:val="00C47315"/>
    <w:rsid w:val="00C5047E"/>
    <w:rsid w:val="00C53543"/>
    <w:rsid w:val="00C547DB"/>
    <w:rsid w:val="00C5542B"/>
    <w:rsid w:val="00C556C0"/>
    <w:rsid w:val="00C55B8B"/>
    <w:rsid w:val="00C560A3"/>
    <w:rsid w:val="00C564BD"/>
    <w:rsid w:val="00C57629"/>
    <w:rsid w:val="00C60411"/>
    <w:rsid w:val="00C611B7"/>
    <w:rsid w:val="00C64111"/>
    <w:rsid w:val="00C6477F"/>
    <w:rsid w:val="00C649E8"/>
    <w:rsid w:val="00C64CA4"/>
    <w:rsid w:val="00C65E4C"/>
    <w:rsid w:val="00C6757D"/>
    <w:rsid w:val="00C70A62"/>
    <w:rsid w:val="00C70F8C"/>
    <w:rsid w:val="00C7177B"/>
    <w:rsid w:val="00C72A0B"/>
    <w:rsid w:val="00C72CCF"/>
    <w:rsid w:val="00C7583C"/>
    <w:rsid w:val="00C7737F"/>
    <w:rsid w:val="00C77566"/>
    <w:rsid w:val="00C803E5"/>
    <w:rsid w:val="00C80E2A"/>
    <w:rsid w:val="00C81366"/>
    <w:rsid w:val="00C81D71"/>
    <w:rsid w:val="00C81E5F"/>
    <w:rsid w:val="00C829D0"/>
    <w:rsid w:val="00C82BE2"/>
    <w:rsid w:val="00C82EE2"/>
    <w:rsid w:val="00C8304E"/>
    <w:rsid w:val="00C830C9"/>
    <w:rsid w:val="00C83618"/>
    <w:rsid w:val="00C84445"/>
    <w:rsid w:val="00C84ADE"/>
    <w:rsid w:val="00C85F4E"/>
    <w:rsid w:val="00C8688E"/>
    <w:rsid w:val="00C86F1F"/>
    <w:rsid w:val="00C87234"/>
    <w:rsid w:val="00C90548"/>
    <w:rsid w:val="00C90EC9"/>
    <w:rsid w:val="00C91DEA"/>
    <w:rsid w:val="00C91DEE"/>
    <w:rsid w:val="00C91FA8"/>
    <w:rsid w:val="00C92945"/>
    <w:rsid w:val="00C934C9"/>
    <w:rsid w:val="00C940AC"/>
    <w:rsid w:val="00C94A33"/>
    <w:rsid w:val="00C954D7"/>
    <w:rsid w:val="00C955F8"/>
    <w:rsid w:val="00C96D33"/>
    <w:rsid w:val="00C97BF3"/>
    <w:rsid w:val="00CA0180"/>
    <w:rsid w:val="00CA06D1"/>
    <w:rsid w:val="00CA4D3A"/>
    <w:rsid w:val="00CA5A74"/>
    <w:rsid w:val="00CA7448"/>
    <w:rsid w:val="00CA784F"/>
    <w:rsid w:val="00CB0D1C"/>
    <w:rsid w:val="00CB0F4C"/>
    <w:rsid w:val="00CB2124"/>
    <w:rsid w:val="00CB283A"/>
    <w:rsid w:val="00CB3235"/>
    <w:rsid w:val="00CB42D5"/>
    <w:rsid w:val="00CB4528"/>
    <w:rsid w:val="00CB45EF"/>
    <w:rsid w:val="00CB478F"/>
    <w:rsid w:val="00CB5386"/>
    <w:rsid w:val="00CC07AF"/>
    <w:rsid w:val="00CC0E16"/>
    <w:rsid w:val="00CC323F"/>
    <w:rsid w:val="00CC3EF8"/>
    <w:rsid w:val="00CC5FE5"/>
    <w:rsid w:val="00CC6223"/>
    <w:rsid w:val="00CC78EB"/>
    <w:rsid w:val="00CC7CE3"/>
    <w:rsid w:val="00CD0741"/>
    <w:rsid w:val="00CD2601"/>
    <w:rsid w:val="00CD3C6E"/>
    <w:rsid w:val="00CD3D7A"/>
    <w:rsid w:val="00CD41FC"/>
    <w:rsid w:val="00CD511A"/>
    <w:rsid w:val="00CD56C7"/>
    <w:rsid w:val="00CD5986"/>
    <w:rsid w:val="00CD62DA"/>
    <w:rsid w:val="00CD6E1F"/>
    <w:rsid w:val="00CD7FDA"/>
    <w:rsid w:val="00CE05B6"/>
    <w:rsid w:val="00CE0C9A"/>
    <w:rsid w:val="00CE2131"/>
    <w:rsid w:val="00CE2632"/>
    <w:rsid w:val="00CE2B4B"/>
    <w:rsid w:val="00CE34E7"/>
    <w:rsid w:val="00CE40D2"/>
    <w:rsid w:val="00CE411F"/>
    <w:rsid w:val="00CE4387"/>
    <w:rsid w:val="00CE4F8D"/>
    <w:rsid w:val="00CE5849"/>
    <w:rsid w:val="00CE64FA"/>
    <w:rsid w:val="00CE6889"/>
    <w:rsid w:val="00CE7128"/>
    <w:rsid w:val="00CE742C"/>
    <w:rsid w:val="00CF0647"/>
    <w:rsid w:val="00CF153E"/>
    <w:rsid w:val="00CF162A"/>
    <w:rsid w:val="00CF3941"/>
    <w:rsid w:val="00CF39CF"/>
    <w:rsid w:val="00CF505F"/>
    <w:rsid w:val="00CF690D"/>
    <w:rsid w:val="00CF7449"/>
    <w:rsid w:val="00D0279B"/>
    <w:rsid w:val="00D02ED2"/>
    <w:rsid w:val="00D03452"/>
    <w:rsid w:val="00D03971"/>
    <w:rsid w:val="00D05660"/>
    <w:rsid w:val="00D068CF"/>
    <w:rsid w:val="00D06D4E"/>
    <w:rsid w:val="00D0753D"/>
    <w:rsid w:val="00D103B0"/>
    <w:rsid w:val="00D10469"/>
    <w:rsid w:val="00D139B1"/>
    <w:rsid w:val="00D140D8"/>
    <w:rsid w:val="00D14E32"/>
    <w:rsid w:val="00D15C9E"/>
    <w:rsid w:val="00D165DE"/>
    <w:rsid w:val="00D1767E"/>
    <w:rsid w:val="00D201FD"/>
    <w:rsid w:val="00D206DA"/>
    <w:rsid w:val="00D206E2"/>
    <w:rsid w:val="00D21062"/>
    <w:rsid w:val="00D21364"/>
    <w:rsid w:val="00D22E97"/>
    <w:rsid w:val="00D234A8"/>
    <w:rsid w:val="00D235CA"/>
    <w:rsid w:val="00D23BC5"/>
    <w:rsid w:val="00D242C5"/>
    <w:rsid w:val="00D26516"/>
    <w:rsid w:val="00D2721A"/>
    <w:rsid w:val="00D27DAF"/>
    <w:rsid w:val="00D31BFF"/>
    <w:rsid w:val="00D31C23"/>
    <w:rsid w:val="00D324F6"/>
    <w:rsid w:val="00D33176"/>
    <w:rsid w:val="00D3389A"/>
    <w:rsid w:val="00D343D8"/>
    <w:rsid w:val="00D349B6"/>
    <w:rsid w:val="00D34F11"/>
    <w:rsid w:val="00D34F2C"/>
    <w:rsid w:val="00D357C8"/>
    <w:rsid w:val="00D35DAB"/>
    <w:rsid w:val="00D35FAF"/>
    <w:rsid w:val="00D36021"/>
    <w:rsid w:val="00D36919"/>
    <w:rsid w:val="00D36F81"/>
    <w:rsid w:val="00D407DF"/>
    <w:rsid w:val="00D40EE4"/>
    <w:rsid w:val="00D41544"/>
    <w:rsid w:val="00D41E74"/>
    <w:rsid w:val="00D434C3"/>
    <w:rsid w:val="00D4388E"/>
    <w:rsid w:val="00D44077"/>
    <w:rsid w:val="00D4498F"/>
    <w:rsid w:val="00D4577F"/>
    <w:rsid w:val="00D465CA"/>
    <w:rsid w:val="00D46A8B"/>
    <w:rsid w:val="00D47C21"/>
    <w:rsid w:val="00D47D82"/>
    <w:rsid w:val="00D50F76"/>
    <w:rsid w:val="00D5159F"/>
    <w:rsid w:val="00D51624"/>
    <w:rsid w:val="00D5179B"/>
    <w:rsid w:val="00D51866"/>
    <w:rsid w:val="00D51DE4"/>
    <w:rsid w:val="00D53A31"/>
    <w:rsid w:val="00D550DF"/>
    <w:rsid w:val="00D5555D"/>
    <w:rsid w:val="00D55598"/>
    <w:rsid w:val="00D5615D"/>
    <w:rsid w:val="00D572F1"/>
    <w:rsid w:val="00D57402"/>
    <w:rsid w:val="00D609D7"/>
    <w:rsid w:val="00D62180"/>
    <w:rsid w:val="00D622E7"/>
    <w:rsid w:val="00D62377"/>
    <w:rsid w:val="00D627BB"/>
    <w:rsid w:val="00D64D7B"/>
    <w:rsid w:val="00D656BA"/>
    <w:rsid w:val="00D66B47"/>
    <w:rsid w:val="00D66B80"/>
    <w:rsid w:val="00D66C1A"/>
    <w:rsid w:val="00D70246"/>
    <w:rsid w:val="00D708AD"/>
    <w:rsid w:val="00D71885"/>
    <w:rsid w:val="00D72753"/>
    <w:rsid w:val="00D729CB"/>
    <w:rsid w:val="00D72A24"/>
    <w:rsid w:val="00D7456C"/>
    <w:rsid w:val="00D7486A"/>
    <w:rsid w:val="00D75C42"/>
    <w:rsid w:val="00D75E27"/>
    <w:rsid w:val="00D7741B"/>
    <w:rsid w:val="00D7778D"/>
    <w:rsid w:val="00D77A70"/>
    <w:rsid w:val="00D77BB4"/>
    <w:rsid w:val="00D806E9"/>
    <w:rsid w:val="00D81100"/>
    <w:rsid w:val="00D8266B"/>
    <w:rsid w:val="00D82AB1"/>
    <w:rsid w:val="00D83B39"/>
    <w:rsid w:val="00D83D68"/>
    <w:rsid w:val="00D840A7"/>
    <w:rsid w:val="00D84915"/>
    <w:rsid w:val="00D84F59"/>
    <w:rsid w:val="00D85048"/>
    <w:rsid w:val="00D85364"/>
    <w:rsid w:val="00D853EA"/>
    <w:rsid w:val="00D8678E"/>
    <w:rsid w:val="00D86891"/>
    <w:rsid w:val="00D911B0"/>
    <w:rsid w:val="00D91552"/>
    <w:rsid w:val="00D91F6D"/>
    <w:rsid w:val="00D95E8B"/>
    <w:rsid w:val="00D95EE6"/>
    <w:rsid w:val="00D96B58"/>
    <w:rsid w:val="00D97176"/>
    <w:rsid w:val="00D97301"/>
    <w:rsid w:val="00D9789F"/>
    <w:rsid w:val="00DA0398"/>
    <w:rsid w:val="00DA086E"/>
    <w:rsid w:val="00DA182A"/>
    <w:rsid w:val="00DA2DFF"/>
    <w:rsid w:val="00DA2E09"/>
    <w:rsid w:val="00DA32F3"/>
    <w:rsid w:val="00DA508E"/>
    <w:rsid w:val="00DA58A5"/>
    <w:rsid w:val="00DA5B09"/>
    <w:rsid w:val="00DA6467"/>
    <w:rsid w:val="00DB1253"/>
    <w:rsid w:val="00DB3763"/>
    <w:rsid w:val="00DB4433"/>
    <w:rsid w:val="00DB5FEE"/>
    <w:rsid w:val="00DB611C"/>
    <w:rsid w:val="00DB6EBB"/>
    <w:rsid w:val="00DB70BA"/>
    <w:rsid w:val="00DB768D"/>
    <w:rsid w:val="00DB7D7C"/>
    <w:rsid w:val="00DC1EEE"/>
    <w:rsid w:val="00DC241B"/>
    <w:rsid w:val="00DC2B90"/>
    <w:rsid w:val="00DC563E"/>
    <w:rsid w:val="00DC590C"/>
    <w:rsid w:val="00DC79F3"/>
    <w:rsid w:val="00DD00FC"/>
    <w:rsid w:val="00DD08F0"/>
    <w:rsid w:val="00DD10A0"/>
    <w:rsid w:val="00DD11ED"/>
    <w:rsid w:val="00DD1ADB"/>
    <w:rsid w:val="00DD2673"/>
    <w:rsid w:val="00DD6236"/>
    <w:rsid w:val="00DD7864"/>
    <w:rsid w:val="00DD78FE"/>
    <w:rsid w:val="00DD795E"/>
    <w:rsid w:val="00DE0EEC"/>
    <w:rsid w:val="00DE1C32"/>
    <w:rsid w:val="00DE1C52"/>
    <w:rsid w:val="00DE1D71"/>
    <w:rsid w:val="00DE5702"/>
    <w:rsid w:val="00DE5C4A"/>
    <w:rsid w:val="00DE5C4E"/>
    <w:rsid w:val="00DE63D9"/>
    <w:rsid w:val="00DE70C1"/>
    <w:rsid w:val="00DE7E3F"/>
    <w:rsid w:val="00DF009C"/>
    <w:rsid w:val="00DF0AD6"/>
    <w:rsid w:val="00DF18E5"/>
    <w:rsid w:val="00DF1A0B"/>
    <w:rsid w:val="00DF1DFE"/>
    <w:rsid w:val="00DF33A4"/>
    <w:rsid w:val="00DF3F8C"/>
    <w:rsid w:val="00DF44DE"/>
    <w:rsid w:val="00DF5C0E"/>
    <w:rsid w:val="00DF6B50"/>
    <w:rsid w:val="00DF7C32"/>
    <w:rsid w:val="00E00586"/>
    <w:rsid w:val="00E01443"/>
    <w:rsid w:val="00E02839"/>
    <w:rsid w:val="00E02DBD"/>
    <w:rsid w:val="00E02F13"/>
    <w:rsid w:val="00E0402B"/>
    <w:rsid w:val="00E04D5A"/>
    <w:rsid w:val="00E051E0"/>
    <w:rsid w:val="00E0527D"/>
    <w:rsid w:val="00E06431"/>
    <w:rsid w:val="00E06E24"/>
    <w:rsid w:val="00E07929"/>
    <w:rsid w:val="00E079A3"/>
    <w:rsid w:val="00E07BD3"/>
    <w:rsid w:val="00E10D2F"/>
    <w:rsid w:val="00E12503"/>
    <w:rsid w:val="00E12E1D"/>
    <w:rsid w:val="00E13D5A"/>
    <w:rsid w:val="00E1465A"/>
    <w:rsid w:val="00E14EC7"/>
    <w:rsid w:val="00E1519C"/>
    <w:rsid w:val="00E161D9"/>
    <w:rsid w:val="00E1676A"/>
    <w:rsid w:val="00E167FE"/>
    <w:rsid w:val="00E172BB"/>
    <w:rsid w:val="00E177B1"/>
    <w:rsid w:val="00E2041C"/>
    <w:rsid w:val="00E20F9B"/>
    <w:rsid w:val="00E2101F"/>
    <w:rsid w:val="00E21082"/>
    <w:rsid w:val="00E21B3F"/>
    <w:rsid w:val="00E21BDC"/>
    <w:rsid w:val="00E223A6"/>
    <w:rsid w:val="00E23F51"/>
    <w:rsid w:val="00E24083"/>
    <w:rsid w:val="00E2515C"/>
    <w:rsid w:val="00E26915"/>
    <w:rsid w:val="00E26C26"/>
    <w:rsid w:val="00E30414"/>
    <w:rsid w:val="00E33C54"/>
    <w:rsid w:val="00E355A5"/>
    <w:rsid w:val="00E35CB2"/>
    <w:rsid w:val="00E35E91"/>
    <w:rsid w:val="00E366FF"/>
    <w:rsid w:val="00E368F2"/>
    <w:rsid w:val="00E373D3"/>
    <w:rsid w:val="00E37699"/>
    <w:rsid w:val="00E4023A"/>
    <w:rsid w:val="00E40D47"/>
    <w:rsid w:val="00E40EFD"/>
    <w:rsid w:val="00E4166C"/>
    <w:rsid w:val="00E41D2D"/>
    <w:rsid w:val="00E423A3"/>
    <w:rsid w:val="00E43110"/>
    <w:rsid w:val="00E43173"/>
    <w:rsid w:val="00E4411F"/>
    <w:rsid w:val="00E460FC"/>
    <w:rsid w:val="00E475BE"/>
    <w:rsid w:val="00E47DCF"/>
    <w:rsid w:val="00E47F0E"/>
    <w:rsid w:val="00E51571"/>
    <w:rsid w:val="00E52508"/>
    <w:rsid w:val="00E53BDB"/>
    <w:rsid w:val="00E5497B"/>
    <w:rsid w:val="00E578AE"/>
    <w:rsid w:val="00E61D1D"/>
    <w:rsid w:val="00E628C2"/>
    <w:rsid w:val="00E63064"/>
    <w:rsid w:val="00E63A65"/>
    <w:rsid w:val="00E642C0"/>
    <w:rsid w:val="00E64E2A"/>
    <w:rsid w:val="00E67587"/>
    <w:rsid w:val="00E70EC0"/>
    <w:rsid w:val="00E712EF"/>
    <w:rsid w:val="00E72699"/>
    <w:rsid w:val="00E74F88"/>
    <w:rsid w:val="00E766E7"/>
    <w:rsid w:val="00E77C3E"/>
    <w:rsid w:val="00E813C9"/>
    <w:rsid w:val="00E8187B"/>
    <w:rsid w:val="00E82606"/>
    <w:rsid w:val="00E84C6E"/>
    <w:rsid w:val="00E862A0"/>
    <w:rsid w:val="00E87E21"/>
    <w:rsid w:val="00E903C4"/>
    <w:rsid w:val="00E90505"/>
    <w:rsid w:val="00E9091D"/>
    <w:rsid w:val="00E91ABD"/>
    <w:rsid w:val="00E91F65"/>
    <w:rsid w:val="00E92330"/>
    <w:rsid w:val="00E92844"/>
    <w:rsid w:val="00E92926"/>
    <w:rsid w:val="00E92AD6"/>
    <w:rsid w:val="00E9478B"/>
    <w:rsid w:val="00E9554F"/>
    <w:rsid w:val="00E95B01"/>
    <w:rsid w:val="00E96359"/>
    <w:rsid w:val="00E96FB7"/>
    <w:rsid w:val="00E97279"/>
    <w:rsid w:val="00EA2416"/>
    <w:rsid w:val="00EA24A1"/>
    <w:rsid w:val="00EA3641"/>
    <w:rsid w:val="00EA552C"/>
    <w:rsid w:val="00EB013C"/>
    <w:rsid w:val="00EB02B7"/>
    <w:rsid w:val="00EB0447"/>
    <w:rsid w:val="00EB0702"/>
    <w:rsid w:val="00EB07A5"/>
    <w:rsid w:val="00EB2346"/>
    <w:rsid w:val="00EB2875"/>
    <w:rsid w:val="00EB3865"/>
    <w:rsid w:val="00EB39C0"/>
    <w:rsid w:val="00EB3DA3"/>
    <w:rsid w:val="00EB40AC"/>
    <w:rsid w:val="00EB4840"/>
    <w:rsid w:val="00EB54A8"/>
    <w:rsid w:val="00EB56AA"/>
    <w:rsid w:val="00EC11C7"/>
    <w:rsid w:val="00EC1A7A"/>
    <w:rsid w:val="00EC2589"/>
    <w:rsid w:val="00EC3668"/>
    <w:rsid w:val="00EC3CA4"/>
    <w:rsid w:val="00EC4355"/>
    <w:rsid w:val="00EC51D2"/>
    <w:rsid w:val="00EC6358"/>
    <w:rsid w:val="00ED014B"/>
    <w:rsid w:val="00ED3723"/>
    <w:rsid w:val="00ED3F01"/>
    <w:rsid w:val="00ED5217"/>
    <w:rsid w:val="00ED5320"/>
    <w:rsid w:val="00ED5C43"/>
    <w:rsid w:val="00ED6403"/>
    <w:rsid w:val="00EE1377"/>
    <w:rsid w:val="00EE1621"/>
    <w:rsid w:val="00EE1931"/>
    <w:rsid w:val="00EE2BDD"/>
    <w:rsid w:val="00EE3050"/>
    <w:rsid w:val="00EE4C20"/>
    <w:rsid w:val="00EE6014"/>
    <w:rsid w:val="00EE6F9B"/>
    <w:rsid w:val="00EE7B80"/>
    <w:rsid w:val="00EE7DD3"/>
    <w:rsid w:val="00EF1464"/>
    <w:rsid w:val="00EF18A5"/>
    <w:rsid w:val="00EF27A5"/>
    <w:rsid w:val="00EF3063"/>
    <w:rsid w:val="00EF3273"/>
    <w:rsid w:val="00EF37CD"/>
    <w:rsid w:val="00EF3EC9"/>
    <w:rsid w:val="00EF494D"/>
    <w:rsid w:val="00EF4A3F"/>
    <w:rsid w:val="00EF6310"/>
    <w:rsid w:val="00EF634A"/>
    <w:rsid w:val="00EF65AA"/>
    <w:rsid w:val="00EF6D3E"/>
    <w:rsid w:val="00EF7168"/>
    <w:rsid w:val="00EF7AA2"/>
    <w:rsid w:val="00EF7BCA"/>
    <w:rsid w:val="00EF7D86"/>
    <w:rsid w:val="00F02D36"/>
    <w:rsid w:val="00F03BF9"/>
    <w:rsid w:val="00F04FD7"/>
    <w:rsid w:val="00F05729"/>
    <w:rsid w:val="00F05997"/>
    <w:rsid w:val="00F05BF8"/>
    <w:rsid w:val="00F0667F"/>
    <w:rsid w:val="00F06CB0"/>
    <w:rsid w:val="00F0720A"/>
    <w:rsid w:val="00F077A7"/>
    <w:rsid w:val="00F07CC5"/>
    <w:rsid w:val="00F10505"/>
    <w:rsid w:val="00F1110F"/>
    <w:rsid w:val="00F113E4"/>
    <w:rsid w:val="00F12B3F"/>
    <w:rsid w:val="00F1322B"/>
    <w:rsid w:val="00F146AB"/>
    <w:rsid w:val="00F14DED"/>
    <w:rsid w:val="00F15A33"/>
    <w:rsid w:val="00F16217"/>
    <w:rsid w:val="00F209A8"/>
    <w:rsid w:val="00F21943"/>
    <w:rsid w:val="00F2275A"/>
    <w:rsid w:val="00F23184"/>
    <w:rsid w:val="00F2446D"/>
    <w:rsid w:val="00F250AB"/>
    <w:rsid w:val="00F263F1"/>
    <w:rsid w:val="00F27106"/>
    <w:rsid w:val="00F27707"/>
    <w:rsid w:val="00F30730"/>
    <w:rsid w:val="00F31852"/>
    <w:rsid w:val="00F320D3"/>
    <w:rsid w:val="00F32B7B"/>
    <w:rsid w:val="00F32D8B"/>
    <w:rsid w:val="00F343BD"/>
    <w:rsid w:val="00F34768"/>
    <w:rsid w:val="00F3494E"/>
    <w:rsid w:val="00F3531F"/>
    <w:rsid w:val="00F357C4"/>
    <w:rsid w:val="00F35F63"/>
    <w:rsid w:val="00F40188"/>
    <w:rsid w:val="00F4122D"/>
    <w:rsid w:val="00F413FE"/>
    <w:rsid w:val="00F41681"/>
    <w:rsid w:val="00F41F70"/>
    <w:rsid w:val="00F42443"/>
    <w:rsid w:val="00F428C6"/>
    <w:rsid w:val="00F43371"/>
    <w:rsid w:val="00F43915"/>
    <w:rsid w:val="00F468EE"/>
    <w:rsid w:val="00F47B09"/>
    <w:rsid w:val="00F47DC2"/>
    <w:rsid w:val="00F47F0F"/>
    <w:rsid w:val="00F51C07"/>
    <w:rsid w:val="00F52B8D"/>
    <w:rsid w:val="00F54610"/>
    <w:rsid w:val="00F549F6"/>
    <w:rsid w:val="00F55739"/>
    <w:rsid w:val="00F56AD3"/>
    <w:rsid w:val="00F6002D"/>
    <w:rsid w:val="00F6084A"/>
    <w:rsid w:val="00F61082"/>
    <w:rsid w:val="00F6131D"/>
    <w:rsid w:val="00F6133B"/>
    <w:rsid w:val="00F61A0B"/>
    <w:rsid w:val="00F623C6"/>
    <w:rsid w:val="00F6281E"/>
    <w:rsid w:val="00F63023"/>
    <w:rsid w:val="00F6313F"/>
    <w:rsid w:val="00F666B0"/>
    <w:rsid w:val="00F6738F"/>
    <w:rsid w:val="00F67401"/>
    <w:rsid w:val="00F67C88"/>
    <w:rsid w:val="00F720BA"/>
    <w:rsid w:val="00F7236A"/>
    <w:rsid w:val="00F72682"/>
    <w:rsid w:val="00F72DFE"/>
    <w:rsid w:val="00F73004"/>
    <w:rsid w:val="00F76CE2"/>
    <w:rsid w:val="00F7749B"/>
    <w:rsid w:val="00F8041B"/>
    <w:rsid w:val="00F80A4F"/>
    <w:rsid w:val="00F80FEC"/>
    <w:rsid w:val="00F8136C"/>
    <w:rsid w:val="00F81910"/>
    <w:rsid w:val="00F828A5"/>
    <w:rsid w:val="00F83C8C"/>
    <w:rsid w:val="00F8501B"/>
    <w:rsid w:val="00F856B2"/>
    <w:rsid w:val="00F856FC"/>
    <w:rsid w:val="00F85A7F"/>
    <w:rsid w:val="00F86410"/>
    <w:rsid w:val="00F90859"/>
    <w:rsid w:val="00F90C08"/>
    <w:rsid w:val="00F9203D"/>
    <w:rsid w:val="00F920AE"/>
    <w:rsid w:val="00F943A5"/>
    <w:rsid w:val="00F94A40"/>
    <w:rsid w:val="00F95C5C"/>
    <w:rsid w:val="00F9770C"/>
    <w:rsid w:val="00FA00E1"/>
    <w:rsid w:val="00FA022E"/>
    <w:rsid w:val="00FA1539"/>
    <w:rsid w:val="00FA331A"/>
    <w:rsid w:val="00FA431A"/>
    <w:rsid w:val="00FA5093"/>
    <w:rsid w:val="00FA533F"/>
    <w:rsid w:val="00FA6887"/>
    <w:rsid w:val="00FA6FD1"/>
    <w:rsid w:val="00FB0CCC"/>
    <w:rsid w:val="00FB14CA"/>
    <w:rsid w:val="00FB1FBE"/>
    <w:rsid w:val="00FB200E"/>
    <w:rsid w:val="00FB250A"/>
    <w:rsid w:val="00FB3084"/>
    <w:rsid w:val="00FB3D8C"/>
    <w:rsid w:val="00FB48F6"/>
    <w:rsid w:val="00FB6B6F"/>
    <w:rsid w:val="00FB74F1"/>
    <w:rsid w:val="00FB765D"/>
    <w:rsid w:val="00FB78C5"/>
    <w:rsid w:val="00FC0570"/>
    <w:rsid w:val="00FC0FCD"/>
    <w:rsid w:val="00FC1F74"/>
    <w:rsid w:val="00FC29BB"/>
    <w:rsid w:val="00FC3200"/>
    <w:rsid w:val="00FC371F"/>
    <w:rsid w:val="00FC3BF1"/>
    <w:rsid w:val="00FC4686"/>
    <w:rsid w:val="00FC552D"/>
    <w:rsid w:val="00FC579B"/>
    <w:rsid w:val="00FC57DE"/>
    <w:rsid w:val="00FC5A1B"/>
    <w:rsid w:val="00FD0126"/>
    <w:rsid w:val="00FD0977"/>
    <w:rsid w:val="00FD2127"/>
    <w:rsid w:val="00FD2F9C"/>
    <w:rsid w:val="00FD4076"/>
    <w:rsid w:val="00FD4F09"/>
    <w:rsid w:val="00FD5E1E"/>
    <w:rsid w:val="00FD7280"/>
    <w:rsid w:val="00FD7A3B"/>
    <w:rsid w:val="00FD7E8B"/>
    <w:rsid w:val="00FE2063"/>
    <w:rsid w:val="00FE2808"/>
    <w:rsid w:val="00FE4E53"/>
    <w:rsid w:val="00FE5107"/>
    <w:rsid w:val="00FE51A2"/>
    <w:rsid w:val="00FE529E"/>
    <w:rsid w:val="00FE6E43"/>
    <w:rsid w:val="00FE7E40"/>
    <w:rsid w:val="00FF1285"/>
    <w:rsid w:val="00FF20A4"/>
    <w:rsid w:val="00FF3801"/>
    <w:rsid w:val="00FF41E5"/>
    <w:rsid w:val="00FF4814"/>
    <w:rsid w:val="00FF5B1E"/>
    <w:rsid w:val="00FF5C3A"/>
    <w:rsid w:val="00FF6419"/>
    <w:rsid w:val="00FF6F52"/>
    <w:rsid w:val="00FF78BC"/>
    <w:rsid w:val="00FF7A09"/>
    <w:rsid w:val="01A86EA7"/>
    <w:rsid w:val="01B138D0"/>
    <w:rsid w:val="01BB43F8"/>
    <w:rsid w:val="01EC5C3E"/>
    <w:rsid w:val="02E67681"/>
    <w:rsid w:val="03A9509A"/>
    <w:rsid w:val="04121041"/>
    <w:rsid w:val="05542478"/>
    <w:rsid w:val="05593B25"/>
    <w:rsid w:val="055C54DB"/>
    <w:rsid w:val="059F4C75"/>
    <w:rsid w:val="05C96857"/>
    <w:rsid w:val="06023C82"/>
    <w:rsid w:val="067D17D7"/>
    <w:rsid w:val="06824DC3"/>
    <w:rsid w:val="071C6FC5"/>
    <w:rsid w:val="07215835"/>
    <w:rsid w:val="07870CA3"/>
    <w:rsid w:val="07BC770E"/>
    <w:rsid w:val="08354784"/>
    <w:rsid w:val="08576AA3"/>
    <w:rsid w:val="08707A2B"/>
    <w:rsid w:val="08AB7A4E"/>
    <w:rsid w:val="08AD3A76"/>
    <w:rsid w:val="08C2594B"/>
    <w:rsid w:val="08EF7A39"/>
    <w:rsid w:val="08F4557E"/>
    <w:rsid w:val="09037528"/>
    <w:rsid w:val="09660A14"/>
    <w:rsid w:val="0AF02C43"/>
    <w:rsid w:val="0B5C1F8D"/>
    <w:rsid w:val="0BA1085C"/>
    <w:rsid w:val="0C354F43"/>
    <w:rsid w:val="0C42615A"/>
    <w:rsid w:val="0C43594E"/>
    <w:rsid w:val="0CCC038E"/>
    <w:rsid w:val="0CD46494"/>
    <w:rsid w:val="0DD1346B"/>
    <w:rsid w:val="0DFF03A5"/>
    <w:rsid w:val="0E891CCF"/>
    <w:rsid w:val="0EC04CEC"/>
    <w:rsid w:val="0ED444AF"/>
    <w:rsid w:val="0ED56BFB"/>
    <w:rsid w:val="0EFD7A26"/>
    <w:rsid w:val="0F227143"/>
    <w:rsid w:val="0F573501"/>
    <w:rsid w:val="0FB518AF"/>
    <w:rsid w:val="105E23D7"/>
    <w:rsid w:val="10B22E29"/>
    <w:rsid w:val="10B262A5"/>
    <w:rsid w:val="10D053AB"/>
    <w:rsid w:val="10EF574B"/>
    <w:rsid w:val="1130117C"/>
    <w:rsid w:val="127E0301"/>
    <w:rsid w:val="129F47F0"/>
    <w:rsid w:val="13D50C28"/>
    <w:rsid w:val="14245126"/>
    <w:rsid w:val="152850A6"/>
    <w:rsid w:val="157D2612"/>
    <w:rsid w:val="15886337"/>
    <w:rsid w:val="159348F7"/>
    <w:rsid w:val="15AF6136"/>
    <w:rsid w:val="15E531D6"/>
    <w:rsid w:val="16252B90"/>
    <w:rsid w:val="16D12065"/>
    <w:rsid w:val="183C0D89"/>
    <w:rsid w:val="18C97A63"/>
    <w:rsid w:val="19012171"/>
    <w:rsid w:val="19975AE0"/>
    <w:rsid w:val="19DA170E"/>
    <w:rsid w:val="19E91DDD"/>
    <w:rsid w:val="19F12E44"/>
    <w:rsid w:val="1A0E0192"/>
    <w:rsid w:val="1A850609"/>
    <w:rsid w:val="1B4C6A28"/>
    <w:rsid w:val="1B79633D"/>
    <w:rsid w:val="1BC94465"/>
    <w:rsid w:val="1C22676E"/>
    <w:rsid w:val="1C412074"/>
    <w:rsid w:val="1C4676A1"/>
    <w:rsid w:val="1D6E401D"/>
    <w:rsid w:val="1D7C0366"/>
    <w:rsid w:val="1DB911DA"/>
    <w:rsid w:val="1DE32193"/>
    <w:rsid w:val="1DEE25D3"/>
    <w:rsid w:val="1DF13A61"/>
    <w:rsid w:val="1E2B2950"/>
    <w:rsid w:val="1E4D32CF"/>
    <w:rsid w:val="1E6E7898"/>
    <w:rsid w:val="1E7B24F7"/>
    <w:rsid w:val="1EB92E9F"/>
    <w:rsid w:val="1F152BAF"/>
    <w:rsid w:val="1F5C044F"/>
    <w:rsid w:val="1F7A08B5"/>
    <w:rsid w:val="1FD409FE"/>
    <w:rsid w:val="208955DD"/>
    <w:rsid w:val="208D02F8"/>
    <w:rsid w:val="20C20786"/>
    <w:rsid w:val="20E26A66"/>
    <w:rsid w:val="216E1A4E"/>
    <w:rsid w:val="217A014B"/>
    <w:rsid w:val="220D4705"/>
    <w:rsid w:val="221F65FD"/>
    <w:rsid w:val="226A6156"/>
    <w:rsid w:val="228B7F23"/>
    <w:rsid w:val="228C38D2"/>
    <w:rsid w:val="22AC1A09"/>
    <w:rsid w:val="22F13FD4"/>
    <w:rsid w:val="22F737CA"/>
    <w:rsid w:val="23952182"/>
    <w:rsid w:val="23E149D8"/>
    <w:rsid w:val="244E3135"/>
    <w:rsid w:val="246B4C91"/>
    <w:rsid w:val="24925996"/>
    <w:rsid w:val="24AC4EF1"/>
    <w:rsid w:val="24BE1A8B"/>
    <w:rsid w:val="24DD39BA"/>
    <w:rsid w:val="24DE3AFA"/>
    <w:rsid w:val="24F36A90"/>
    <w:rsid w:val="251206EF"/>
    <w:rsid w:val="251A293E"/>
    <w:rsid w:val="251B2D88"/>
    <w:rsid w:val="251C2C97"/>
    <w:rsid w:val="251E49F6"/>
    <w:rsid w:val="25D75F6F"/>
    <w:rsid w:val="25E52C4B"/>
    <w:rsid w:val="25F13830"/>
    <w:rsid w:val="26643CD2"/>
    <w:rsid w:val="269F7E51"/>
    <w:rsid w:val="26B41FE3"/>
    <w:rsid w:val="26C636CD"/>
    <w:rsid w:val="275D4D64"/>
    <w:rsid w:val="275F31D4"/>
    <w:rsid w:val="27D943F4"/>
    <w:rsid w:val="27F31225"/>
    <w:rsid w:val="28027F93"/>
    <w:rsid w:val="28AF1B27"/>
    <w:rsid w:val="28D2556A"/>
    <w:rsid w:val="2901203A"/>
    <w:rsid w:val="293447AE"/>
    <w:rsid w:val="29452458"/>
    <w:rsid w:val="29CD0509"/>
    <w:rsid w:val="2AA26087"/>
    <w:rsid w:val="2AB1753A"/>
    <w:rsid w:val="2AED3710"/>
    <w:rsid w:val="2AF5043E"/>
    <w:rsid w:val="2B050B4A"/>
    <w:rsid w:val="2B65078B"/>
    <w:rsid w:val="2B7D7E2F"/>
    <w:rsid w:val="2B8068BC"/>
    <w:rsid w:val="2BB63C32"/>
    <w:rsid w:val="2C2B72E5"/>
    <w:rsid w:val="2D391753"/>
    <w:rsid w:val="2DD60F9C"/>
    <w:rsid w:val="2E1E79BF"/>
    <w:rsid w:val="2E32485E"/>
    <w:rsid w:val="2E393461"/>
    <w:rsid w:val="2E876974"/>
    <w:rsid w:val="2E950F8B"/>
    <w:rsid w:val="2F79178F"/>
    <w:rsid w:val="2FC46791"/>
    <w:rsid w:val="303765D9"/>
    <w:rsid w:val="315131B4"/>
    <w:rsid w:val="31573D06"/>
    <w:rsid w:val="315A7B86"/>
    <w:rsid w:val="319B78CA"/>
    <w:rsid w:val="31A32DA2"/>
    <w:rsid w:val="31C92180"/>
    <w:rsid w:val="31E07E0C"/>
    <w:rsid w:val="3219283F"/>
    <w:rsid w:val="32722C3D"/>
    <w:rsid w:val="32822146"/>
    <w:rsid w:val="329E0653"/>
    <w:rsid w:val="32FC18D5"/>
    <w:rsid w:val="334564A2"/>
    <w:rsid w:val="334A6015"/>
    <w:rsid w:val="33532B2D"/>
    <w:rsid w:val="33782905"/>
    <w:rsid w:val="338B0774"/>
    <w:rsid w:val="33C01186"/>
    <w:rsid w:val="33F91F08"/>
    <w:rsid w:val="34553CD2"/>
    <w:rsid w:val="356D6ABA"/>
    <w:rsid w:val="359B5B76"/>
    <w:rsid w:val="35BD150D"/>
    <w:rsid w:val="35DF4B8E"/>
    <w:rsid w:val="36E76052"/>
    <w:rsid w:val="37AE385E"/>
    <w:rsid w:val="37E267C1"/>
    <w:rsid w:val="37EE5AD1"/>
    <w:rsid w:val="37FE22C4"/>
    <w:rsid w:val="3814733C"/>
    <w:rsid w:val="38196A86"/>
    <w:rsid w:val="384369D1"/>
    <w:rsid w:val="385F6110"/>
    <w:rsid w:val="386F2B4A"/>
    <w:rsid w:val="396E2639"/>
    <w:rsid w:val="399B7B23"/>
    <w:rsid w:val="399F1441"/>
    <w:rsid w:val="3A500E42"/>
    <w:rsid w:val="3AD51962"/>
    <w:rsid w:val="3AE8456B"/>
    <w:rsid w:val="3AF95247"/>
    <w:rsid w:val="3B031E58"/>
    <w:rsid w:val="3B4C6D99"/>
    <w:rsid w:val="3BF02A1A"/>
    <w:rsid w:val="3BF07FBA"/>
    <w:rsid w:val="3BF31944"/>
    <w:rsid w:val="3C1F03E3"/>
    <w:rsid w:val="3C616D66"/>
    <w:rsid w:val="3C635B7C"/>
    <w:rsid w:val="3C6D35E8"/>
    <w:rsid w:val="3C9F5ADA"/>
    <w:rsid w:val="3CB50885"/>
    <w:rsid w:val="3D2E2FD3"/>
    <w:rsid w:val="3D827CDE"/>
    <w:rsid w:val="3D870535"/>
    <w:rsid w:val="3D8C1AA8"/>
    <w:rsid w:val="3E5E2F3F"/>
    <w:rsid w:val="3ED23E32"/>
    <w:rsid w:val="3F852C53"/>
    <w:rsid w:val="3F914665"/>
    <w:rsid w:val="3F983321"/>
    <w:rsid w:val="40151AEA"/>
    <w:rsid w:val="40206F11"/>
    <w:rsid w:val="403974D3"/>
    <w:rsid w:val="40622392"/>
    <w:rsid w:val="406B4BC9"/>
    <w:rsid w:val="40A96E9E"/>
    <w:rsid w:val="41055F09"/>
    <w:rsid w:val="41553C72"/>
    <w:rsid w:val="424053CF"/>
    <w:rsid w:val="42686C79"/>
    <w:rsid w:val="42E16F95"/>
    <w:rsid w:val="42FD44B2"/>
    <w:rsid w:val="43164DE4"/>
    <w:rsid w:val="433075B5"/>
    <w:rsid w:val="436C630E"/>
    <w:rsid w:val="43716863"/>
    <w:rsid w:val="43855569"/>
    <w:rsid w:val="438C51C6"/>
    <w:rsid w:val="44112EB6"/>
    <w:rsid w:val="4425687E"/>
    <w:rsid w:val="44432FA1"/>
    <w:rsid w:val="445B0426"/>
    <w:rsid w:val="446A2F3B"/>
    <w:rsid w:val="448B4867"/>
    <w:rsid w:val="450C44BC"/>
    <w:rsid w:val="457B605D"/>
    <w:rsid w:val="4583302F"/>
    <w:rsid w:val="45B44292"/>
    <w:rsid w:val="45D264C6"/>
    <w:rsid w:val="46B67767"/>
    <w:rsid w:val="46B7486B"/>
    <w:rsid w:val="46E34233"/>
    <w:rsid w:val="46ED34AA"/>
    <w:rsid w:val="472B2331"/>
    <w:rsid w:val="473E78B2"/>
    <w:rsid w:val="476B59B3"/>
    <w:rsid w:val="47847AE5"/>
    <w:rsid w:val="48540955"/>
    <w:rsid w:val="487F2472"/>
    <w:rsid w:val="48FE2C3F"/>
    <w:rsid w:val="4907292A"/>
    <w:rsid w:val="49490E18"/>
    <w:rsid w:val="49B52329"/>
    <w:rsid w:val="49F27137"/>
    <w:rsid w:val="4A7E6B45"/>
    <w:rsid w:val="4AFE773A"/>
    <w:rsid w:val="4B440CBB"/>
    <w:rsid w:val="4B750F5D"/>
    <w:rsid w:val="4B967555"/>
    <w:rsid w:val="4C310522"/>
    <w:rsid w:val="4DA14FD6"/>
    <w:rsid w:val="4DC92FA8"/>
    <w:rsid w:val="4E5C4B8E"/>
    <w:rsid w:val="4E7E2297"/>
    <w:rsid w:val="4E850579"/>
    <w:rsid w:val="4E8963E7"/>
    <w:rsid w:val="4E9E59F5"/>
    <w:rsid w:val="4F7A3CCF"/>
    <w:rsid w:val="4FAA182F"/>
    <w:rsid w:val="4FE57E71"/>
    <w:rsid w:val="50B02693"/>
    <w:rsid w:val="518B57C6"/>
    <w:rsid w:val="51D46041"/>
    <w:rsid w:val="51D81308"/>
    <w:rsid w:val="52605C64"/>
    <w:rsid w:val="53003CED"/>
    <w:rsid w:val="530C7118"/>
    <w:rsid w:val="53631F69"/>
    <w:rsid w:val="53901D3A"/>
    <w:rsid w:val="539F6C66"/>
    <w:rsid w:val="540D20DE"/>
    <w:rsid w:val="54324CFF"/>
    <w:rsid w:val="54534C76"/>
    <w:rsid w:val="5486160A"/>
    <w:rsid w:val="54FF5DFF"/>
    <w:rsid w:val="552B6CFD"/>
    <w:rsid w:val="554B62C9"/>
    <w:rsid w:val="5587107B"/>
    <w:rsid w:val="55C53951"/>
    <w:rsid w:val="55EF7110"/>
    <w:rsid w:val="562068BE"/>
    <w:rsid w:val="563D3036"/>
    <w:rsid w:val="568A789B"/>
    <w:rsid w:val="569D3045"/>
    <w:rsid w:val="56C63742"/>
    <w:rsid w:val="57C35BDF"/>
    <w:rsid w:val="57DB5C9D"/>
    <w:rsid w:val="57F413C0"/>
    <w:rsid w:val="57F57CDB"/>
    <w:rsid w:val="57F74D6E"/>
    <w:rsid w:val="58733022"/>
    <w:rsid w:val="59147801"/>
    <w:rsid w:val="593C01BD"/>
    <w:rsid w:val="59545699"/>
    <w:rsid w:val="596B134D"/>
    <w:rsid w:val="59BC17E3"/>
    <w:rsid w:val="5A0E44C2"/>
    <w:rsid w:val="5A205501"/>
    <w:rsid w:val="5A607F6E"/>
    <w:rsid w:val="5A9736B9"/>
    <w:rsid w:val="5AD50A37"/>
    <w:rsid w:val="5B803E41"/>
    <w:rsid w:val="5C297570"/>
    <w:rsid w:val="5D033BD1"/>
    <w:rsid w:val="5D29715D"/>
    <w:rsid w:val="5D557CB0"/>
    <w:rsid w:val="5DFF3DAC"/>
    <w:rsid w:val="5E39214D"/>
    <w:rsid w:val="5E5F123C"/>
    <w:rsid w:val="5EA276B0"/>
    <w:rsid w:val="5F0454EA"/>
    <w:rsid w:val="5F4204A4"/>
    <w:rsid w:val="5F441BE1"/>
    <w:rsid w:val="5F9977BD"/>
    <w:rsid w:val="605221CC"/>
    <w:rsid w:val="606D527C"/>
    <w:rsid w:val="60A54AAB"/>
    <w:rsid w:val="61047A23"/>
    <w:rsid w:val="61376462"/>
    <w:rsid w:val="614367E6"/>
    <w:rsid w:val="61703BC0"/>
    <w:rsid w:val="617F6EAC"/>
    <w:rsid w:val="61A62889"/>
    <w:rsid w:val="61BE4E37"/>
    <w:rsid w:val="61F36E15"/>
    <w:rsid w:val="62BA62F8"/>
    <w:rsid w:val="62E405AC"/>
    <w:rsid w:val="63165FF1"/>
    <w:rsid w:val="63844C03"/>
    <w:rsid w:val="6400232F"/>
    <w:rsid w:val="649862E5"/>
    <w:rsid w:val="65110961"/>
    <w:rsid w:val="65777F3C"/>
    <w:rsid w:val="659F5F6D"/>
    <w:rsid w:val="65B413E0"/>
    <w:rsid w:val="65E21EE9"/>
    <w:rsid w:val="66A22576"/>
    <w:rsid w:val="67256938"/>
    <w:rsid w:val="673D6580"/>
    <w:rsid w:val="673F17B5"/>
    <w:rsid w:val="67434D31"/>
    <w:rsid w:val="67B461D3"/>
    <w:rsid w:val="67BE3ACE"/>
    <w:rsid w:val="68525518"/>
    <w:rsid w:val="68D27E63"/>
    <w:rsid w:val="6929771A"/>
    <w:rsid w:val="697A7F61"/>
    <w:rsid w:val="69A866D1"/>
    <w:rsid w:val="69D269C8"/>
    <w:rsid w:val="69EB643C"/>
    <w:rsid w:val="6A067D74"/>
    <w:rsid w:val="6A162576"/>
    <w:rsid w:val="6A7D3674"/>
    <w:rsid w:val="6AD42215"/>
    <w:rsid w:val="6AF536BB"/>
    <w:rsid w:val="6B2C79E4"/>
    <w:rsid w:val="6B721029"/>
    <w:rsid w:val="6BAC13E3"/>
    <w:rsid w:val="6BAE18A9"/>
    <w:rsid w:val="6BD75016"/>
    <w:rsid w:val="6BDB27CB"/>
    <w:rsid w:val="6BE413C9"/>
    <w:rsid w:val="6CC17684"/>
    <w:rsid w:val="6CD06C38"/>
    <w:rsid w:val="6D07276D"/>
    <w:rsid w:val="6D4903F0"/>
    <w:rsid w:val="6D4D4500"/>
    <w:rsid w:val="6D691FA6"/>
    <w:rsid w:val="6DB732D4"/>
    <w:rsid w:val="6E80136E"/>
    <w:rsid w:val="6E802F39"/>
    <w:rsid w:val="6EDD18B4"/>
    <w:rsid w:val="6F4D7AF4"/>
    <w:rsid w:val="6F77634C"/>
    <w:rsid w:val="6FC60B5F"/>
    <w:rsid w:val="6FD30E77"/>
    <w:rsid w:val="707C393B"/>
    <w:rsid w:val="708228E9"/>
    <w:rsid w:val="70C13132"/>
    <w:rsid w:val="70E555B9"/>
    <w:rsid w:val="712C3864"/>
    <w:rsid w:val="71305AB0"/>
    <w:rsid w:val="71D84C2B"/>
    <w:rsid w:val="72501A09"/>
    <w:rsid w:val="728D1EBF"/>
    <w:rsid w:val="735C724B"/>
    <w:rsid w:val="73880040"/>
    <w:rsid w:val="74EA71C4"/>
    <w:rsid w:val="74FF2584"/>
    <w:rsid w:val="753B3879"/>
    <w:rsid w:val="760D5071"/>
    <w:rsid w:val="76102313"/>
    <w:rsid w:val="765B590F"/>
    <w:rsid w:val="766657E0"/>
    <w:rsid w:val="771275F2"/>
    <w:rsid w:val="778A5D63"/>
    <w:rsid w:val="77961062"/>
    <w:rsid w:val="77AE0576"/>
    <w:rsid w:val="77F527C6"/>
    <w:rsid w:val="78AF797E"/>
    <w:rsid w:val="78FC2232"/>
    <w:rsid w:val="79413571"/>
    <w:rsid w:val="79B272F1"/>
    <w:rsid w:val="79B34969"/>
    <w:rsid w:val="7A4E6567"/>
    <w:rsid w:val="7A754212"/>
    <w:rsid w:val="7AD85D51"/>
    <w:rsid w:val="7AFC5F36"/>
    <w:rsid w:val="7B902803"/>
    <w:rsid w:val="7BBE45F0"/>
    <w:rsid w:val="7C2560A6"/>
    <w:rsid w:val="7CD40D8A"/>
    <w:rsid w:val="7CF22D0E"/>
    <w:rsid w:val="7CFF5DBC"/>
    <w:rsid w:val="7D3F4775"/>
    <w:rsid w:val="7D7B7075"/>
    <w:rsid w:val="7E0565F4"/>
    <w:rsid w:val="7E6D055E"/>
    <w:rsid w:val="7EB1665B"/>
    <w:rsid w:val="7EBB73B3"/>
    <w:rsid w:val="7EC65AAC"/>
    <w:rsid w:val="7EE34CC4"/>
    <w:rsid w:val="7F18520A"/>
    <w:rsid w:val="7F98148B"/>
    <w:rsid w:val="7FA00934"/>
    <w:rsid w:val="7FEC2099"/>
    <w:rsid w:val="7FF335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type="pattern" on="t" color2="#FFFFFF" opacity="39322f" o:opacity2="39322f" focussize="0,0" r:id="rId1"/>
      <v:stroke weight="0.25pt"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qFormat="1" w:unhideWhenUsed="0" w:uiPriority="0" w:semiHidden="0"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ind w:firstLine="480"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68"/>
    <w:autoRedefine/>
    <w:qFormat/>
    <w:uiPriority w:val="0"/>
    <w:pPr>
      <w:ind w:firstLine="0" w:firstLineChars="0"/>
      <w:outlineLvl w:val="0"/>
    </w:pPr>
    <w:rPr>
      <w:rFonts w:eastAsia="黑体"/>
      <w:sz w:val="32"/>
    </w:rPr>
  </w:style>
  <w:style w:type="paragraph" w:styleId="4">
    <w:name w:val="heading 2"/>
    <w:basedOn w:val="1"/>
    <w:next w:val="1"/>
    <w:link w:val="69"/>
    <w:autoRedefine/>
    <w:unhideWhenUsed/>
    <w:qFormat/>
    <w:uiPriority w:val="0"/>
    <w:pPr>
      <w:keepNext/>
      <w:keepLines/>
      <w:spacing w:line="500" w:lineRule="exact"/>
      <w:ind w:firstLine="0" w:firstLineChars="0"/>
      <w:jc w:val="left"/>
      <w:outlineLvl w:val="1"/>
    </w:pPr>
    <w:rPr>
      <w:rFonts w:eastAsia="黑体"/>
      <w:bCs/>
      <w:sz w:val="30"/>
      <w:szCs w:val="32"/>
    </w:rPr>
  </w:style>
  <w:style w:type="paragraph" w:styleId="5">
    <w:name w:val="heading 3"/>
    <w:basedOn w:val="1"/>
    <w:next w:val="1"/>
    <w:link w:val="70"/>
    <w:autoRedefine/>
    <w:unhideWhenUsed/>
    <w:qFormat/>
    <w:uiPriority w:val="0"/>
    <w:pPr>
      <w:keepNext/>
      <w:keepLines/>
      <w:ind w:firstLine="0" w:firstLineChars="0"/>
      <w:jc w:val="left"/>
      <w:outlineLvl w:val="2"/>
    </w:pPr>
    <w:rPr>
      <w:rFonts w:eastAsia="黑体"/>
      <w:bCs/>
      <w:sz w:val="28"/>
      <w:szCs w:val="32"/>
    </w:rPr>
  </w:style>
  <w:style w:type="paragraph" w:styleId="6">
    <w:name w:val="heading 4"/>
    <w:basedOn w:val="1"/>
    <w:next w:val="1"/>
    <w:link w:val="78"/>
    <w:autoRedefine/>
    <w:qFormat/>
    <w:uiPriority w:val="0"/>
    <w:pPr>
      <w:keepNext/>
      <w:keepLines/>
      <w:spacing w:line="480" w:lineRule="exact"/>
      <w:ind w:firstLine="0" w:firstLineChars="0"/>
      <w:outlineLvl w:val="3"/>
    </w:pPr>
    <w:rPr>
      <w:rFonts w:eastAsia="黑体"/>
      <w:szCs w:val="20"/>
      <w:lang w:val="zh-CN"/>
    </w:rPr>
  </w:style>
  <w:style w:type="paragraph" w:styleId="7">
    <w:name w:val="heading 5"/>
    <w:basedOn w:val="1"/>
    <w:next w:val="8"/>
    <w:link w:val="79"/>
    <w:autoRedefine/>
    <w:qFormat/>
    <w:uiPriority w:val="0"/>
    <w:pPr>
      <w:keepNext/>
      <w:keepLines/>
      <w:adjustRightInd/>
      <w:snapToGrid/>
      <w:spacing w:before="280" w:after="290" w:line="372" w:lineRule="auto"/>
      <w:ind w:firstLine="0" w:firstLineChars="0"/>
      <w:outlineLvl w:val="4"/>
    </w:pPr>
    <w:rPr>
      <w:b/>
      <w:sz w:val="28"/>
      <w:szCs w:val="20"/>
      <w:lang w:val="zh-CN"/>
    </w:rPr>
  </w:style>
  <w:style w:type="paragraph" w:styleId="9">
    <w:name w:val="heading 6"/>
    <w:basedOn w:val="1"/>
    <w:next w:val="8"/>
    <w:link w:val="80"/>
    <w:autoRedefine/>
    <w:qFormat/>
    <w:uiPriority w:val="0"/>
    <w:pPr>
      <w:keepNext/>
      <w:keepLines/>
      <w:adjustRightInd/>
      <w:snapToGrid/>
      <w:spacing w:before="240" w:after="64" w:line="317" w:lineRule="auto"/>
      <w:ind w:firstLine="0" w:firstLineChars="0"/>
      <w:outlineLvl w:val="5"/>
    </w:pPr>
    <w:rPr>
      <w:rFonts w:ascii="Arial" w:hAnsi="Arial" w:eastAsia="黑体"/>
      <w:b/>
      <w:szCs w:val="20"/>
      <w:lang w:val="zh-CN"/>
    </w:rPr>
  </w:style>
  <w:style w:type="paragraph" w:styleId="10">
    <w:name w:val="heading 7"/>
    <w:basedOn w:val="1"/>
    <w:next w:val="8"/>
    <w:link w:val="81"/>
    <w:autoRedefine/>
    <w:qFormat/>
    <w:uiPriority w:val="0"/>
    <w:pPr>
      <w:keepNext/>
      <w:keepLines/>
      <w:adjustRightInd/>
      <w:snapToGrid/>
      <w:spacing w:before="240" w:after="64" w:line="317" w:lineRule="auto"/>
      <w:ind w:firstLine="0" w:firstLineChars="0"/>
      <w:outlineLvl w:val="6"/>
    </w:pPr>
    <w:rPr>
      <w:b/>
      <w:szCs w:val="20"/>
      <w:lang w:val="zh-CN"/>
    </w:rPr>
  </w:style>
  <w:style w:type="paragraph" w:styleId="11">
    <w:name w:val="heading 8"/>
    <w:basedOn w:val="1"/>
    <w:next w:val="8"/>
    <w:link w:val="82"/>
    <w:autoRedefine/>
    <w:qFormat/>
    <w:uiPriority w:val="0"/>
    <w:pPr>
      <w:keepNext/>
      <w:keepLines/>
      <w:adjustRightInd/>
      <w:snapToGrid/>
      <w:spacing w:before="240" w:after="64" w:line="317" w:lineRule="auto"/>
      <w:ind w:firstLine="0" w:firstLineChars="0"/>
      <w:outlineLvl w:val="7"/>
    </w:pPr>
    <w:rPr>
      <w:rFonts w:ascii="Arial" w:hAnsi="Arial" w:eastAsia="黑体"/>
      <w:szCs w:val="20"/>
      <w:lang w:val="zh-CN"/>
    </w:rPr>
  </w:style>
  <w:style w:type="paragraph" w:styleId="12">
    <w:name w:val="heading 9"/>
    <w:basedOn w:val="1"/>
    <w:next w:val="8"/>
    <w:link w:val="83"/>
    <w:autoRedefine/>
    <w:qFormat/>
    <w:uiPriority w:val="0"/>
    <w:pPr>
      <w:keepNext/>
      <w:keepLines/>
      <w:adjustRightInd/>
      <w:snapToGrid/>
      <w:spacing w:before="240" w:after="64" w:line="317" w:lineRule="auto"/>
      <w:ind w:firstLine="0" w:firstLineChars="0"/>
      <w:outlineLvl w:val="8"/>
    </w:pPr>
    <w:rPr>
      <w:rFonts w:ascii="Arial" w:hAnsi="Arial" w:eastAsia="黑体"/>
      <w:sz w:val="21"/>
      <w:szCs w:val="20"/>
      <w:lang w:val="zh-CN"/>
    </w:rPr>
  </w:style>
  <w:style w:type="character" w:default="1" w:styleId="49">
    <w:name w:val="Default Paragraph Font"/>
    <w:autoRedefine/>
    <w:unhideWhenUsed/>
    <w:qFormat/>
    <w:uiPriority w:val="1"/>
  </w:style>
  <w:style w:type="table" w:default="1" w:styleId="47">
    <w:name w:val="Normal Table"/>
    <w:autoRedefine/>
    <w:semiHidden/>
    <w:unhideWhenUsed/>
    <w:qFormat/>
    <w:uiPriority w:val="99"/>
    <w:tblPr>
      <w:tblCellMar>
        <w:top w:w="0" w:type="dxa"/>
        <w:left w:w="108" w:type="dxa"/>
        <w:bottom w:w="0" w:type="dxa"/>
        <w:right w:w="108" w:type="dxa"/>
      </w:tblCellMar>
    </w:tblPr>
  </w:style>
  <w:style w:type="paragraph" w:customStyle="1" w:styleId="2">
    <w:name w:val="列出段落1"/>
    <w:basedOn w:val="1"/>
    <w:autoRedefine/>
    <w:qFormat/>
    <w:uiPriority w:val="0"/>
    <w:pPr>
      <w:adjustRightInd/>
      <w:snapToGrid/>
      <w:spacing w:line="240" w:lineRule="auto"/>
      <w:ind w:firstLine="420"/>
    </w:pPr>
    <w:rPr>
      <w:rFonts w:ascii="宋体"/>
      <w:kern w:val="0"/>
      <w:szCs w:val="20"/>
    </w:rPr>
  </w:style>
  <w:style w:type="paragraph" w:styleId="8">
    <w:name w:val="Normal Indent"/>
    <w:basedOn w:val="1"/>
    <w:link w:val="162"/>
    <w:autoRedefine/>
    <w:qFormat/>
    <w:uiPriority w:val="0"/>
    <w:pPr>
      <w:adjustRightInd/>
      <w:snapToGrid/>
      <w:spacing w:line="240" w:lineRule="auto"/>
      <w:ind w:firstLine="420"/>
    </w:pPr>
    <w:rPr>
      <w:sz w:val="21"/>
    </w:rPr>
  </w:style>
  <w:style w:type="paragraph" w:styleId="13">
    <w:name w:val="toc 7"/>
    <w:basedOn w:val="1"/>
    <w:next w:val="1"/>
    <w:autoRedefine/>
    <w:qFormat/>
    <w:uiPriority w:val="39"/>
    <w:pPr>
      <w:adjustRightInd/>
      <w:snapToGrid/>
      <w:spacing w:line="240" w:lineRule="auto"/>
      <w:ind w:left="1260" w:firstLine="0" w:firstLineChars="0"/>
      <w:jc w:val="left"/>
    </w:pPr>
    <w:rPr>
      <w:kern w:val="0"/>
      <w:sz w:val="18"/>
      <w:szCs w:val="20"/>
    </w:rPr>
  </w:style>
  <w:style w:type="paragraph" w:styleId="14">
    <w:name w:val="caption"/>
    <w:basedOn w:val="1"/>
    <w:next w:val="1"/>
    <w:link w:val="174"/>
    <w:autoRedefine/>
    <w:unhideWhenUsed/>
    <w:qFormat/>
    <w:uiPriority w:val="0"/>
    <w:rPr>
      <w:rFonts w:ascii="Cambria" w:hAnsi="Cambria" w:eastAsia="黑体"/>
      <w:sz w:val="20"/>
      <w:szCs w:val="20"/>
    </w:rPr>
  </w:style>
  <w:style w:type="paragraph" w:styleId="15">
    <w:name w:val="Document Map"/>
    <w:basedOn w:val="1"/>
    <w:link w:val="195"/>
    <w:autoRedefine/>
    <w:qFormat/>
    <w:uiPriority w:val="0"/>
    <w:pPr>
      <w:shd w:val="clear" w:color="auto" w:fill="000080"/>
      <w:adjustRightInd/>
      <w:snapToGrid/>
      <w:spacing w:line="240" w:lineRule="auto"/>
      <w:ind w:firstLine="0" w:firstLineChars="0"/>
    </w:pPr>
    <w:rPr>
      <w:sz w:val="21"/>
      <w:shd w:val="clear" w:color="auto" w:fill="000080"/>
    </w:rPr>
  </w:style>
  <w:style w:type="paragraph" w:styleId="16">
    <w:name w:val="annotation text"/>
    <w:basedOn w:val="1"/>
    <w:link w:val="214"/>
    <w:autoRedefine/>
    <w:unhideWhenUsed/>
    <w:qFormat/>
    <w:uiPriority w:val="99"/>
    <w:pPr>
      <w:jc w:val="left"/>
    </w:pPr>
  </w:style>
  <w:style w:type="paragraph" w:styleId="17">
    <w:name w:val="Salutation"/>
    <w:basedOn w:val="1"/>
    <w:next w:val="1"/>
    <w:qFormat/>
    <w:uiPriority w:val="0"/>
  </w:style>
  <w:style w:type="paragraph" w:styleId="18">
    <w:name w:val="Body Text 3"/>
    <w:basedOn w:val="1"/>
    <w:link w:val="139"/>
    <w:autoRedefine/>
    <w:qFormat/>
    <w:uiPriority w:val="0"/>
    <w:pPr>
      <w:adjustRightInd/>
      <w:snapToGrid/>
      <w:spacing w:after="120" w:line="240" w:lineRule="auto"/>
      <w:ind w:firstLine="0" w:firstLineChars="0"/>
    </w:pPr>
    <w:rPr>
      <w:sz w:val="16"/>
    </w:rPr>
  </w:style>
  <w:style w:type="paragraph" w:styleId="19">
    <w:name w:val="Body Text"/>
    <w:basedOn w:val="1"/>
    <w:link w:val="221"/>
    <w:autoRedefine/>
    <w:unhideWhenUsed/>
    <w:qFormat/>
    <w:uiPriority w:val="0"/>
    <w:pPr>
      <w:spacing w:after="120"/>
    </w:pPr>
  </w:style>
  <w:style w:type="paragraph" w:styleId="20">
    <w:name w:val="Body Text Indent"/>
    <w:basedOn w:val="1"/>
    <w:next w:val="21"/>
    <w:link w:val="119"/>
    <w:autoRedefine/>
    <w:qFormat/>
    <w:uiPriority w:val="99"/>
    <w:pPr>
      <w:adjustRightInd/>
      <w:snapToGrid/>
      <w:spacing w:line="500" w:lineRule="exact"/>
      <w:ind w:firstLine="570" w:firstLineChars="0"/>
    </w:pPr>
    <w:rPr>
      <w:rFonts w:ascii="宋体" w:hAnsi="宋体"/>
      <w:sz w:val="28"/>
    </w:rPr>
  </w:style>
  <w:style w:type="paragraph" w:styleId="21">
    <w:name w:val="Body Text Indent 2"/>
    <w:basedOn w:val="1"/>
    <w:next w:val="22"/>
    <w:link w:val="198"/>
    <w:autoRedefine/>
    <w:qFormat/>
    <w:uiPriority w:val="0"/>
    <w:pPr>
      <w:spacing w:line="520" w:lineRule="atLeast"/>
      <w:ind w:firstLine="470" w:firstLineChars="196"/>
    </w:pPr>
  </w:style>
  <w:style w:type="paragraph" w:styleId="22">
    <w:name w:val="Body Text First Indent"/>
    <w:basedOn w:val="19"/>
    <w:next w:val="23"/>
    <w:link w:val="191"/>
    <w:autoRedefine/>
    <w:qFormat/>
    <w:uiPriority w:val="0"/>
    <w:pPr>
      <w:adjustRightInd/>
      <w:snapToGrid/>
      <w:spacing w:before="78" w:beforeLines="25" w:after="78" w:afterLines="25" w:line="240" w:lineRule="auto"/>
      <w:ind w:firstLine="420" w:firstLineChars="100"/>
    </w:pPr>
    <w:rPr>
      <w:sz w:val="21"/>
    </w:rPr>
  </w:style>
  <w:style w:type="paragraph" w:styleId="23">
    <w:name w:val="Body Text First Indent 2"/>
    <w:basedOn w:val="20"/>
    <w:next w:val="24"/>
    <w:link w:val="403"/>
    <w:autoRedefine/>
    <w:semiHidden/>
    <w:unhideWhenUsed/>
    <w:qFormat/>
    <w:uiPriority w:val="99"/>
    <w:pPr>
      <w:adjustRightInd w:val="0"/>
      <w:snapToGrid w:val="0"/>
      <w:spacing w:after="120" w:line="360" w:lineRule="auto"/>
      <w:ind w:left="420" w:leftChars="200" w:firstLine="420" w:firstLineChars="200"/>
    </w:pPr>
    <w:rPr>
      <w:rFonts w:ascii="Times New Roman" w:hAnsi="Times New Roman"/>
      <w:sz w:val="24"/>
    </w:rPr>
  </w:style>
  <w:style w:type="paragraph" w:customStyle="1" w:styleId="24">
    <w:name w:val="报告正文"/>
    <w:basedOn w:val="1"/>
    <w:autoRedefine/>
    <w:qFormat/>
    <w:uiPriority w:val="0"/>
    <w:pPr>
      <w:adjustRightInd/>
      <w:snapToGrid/>
      <w:spacing w:before="50"/>
      <w:ind w:firstLine="540" w:firstLineChars="0"/>
    </w:pPr>
    <w:rPr>
      <w:kern w:val="0"/>
      <w:szCs w:val="20"/>
    </w:rPr>
  </w:style>
  <w:style w:type="paragraph" w:styleId="25">
    <w:name w:val="toc 5"/>
    <w:basedOn w:val="1"/>
    <w:next w:val="1"/>
    <w:autoRedefine/>
    <w:qFormat/>
    <w:uiPriority w:val="39"/>
    <w:pPr>
      <w:adjustRightInd/>
      <w:snapToGrid/>
      <w:spacing w:line="240" w:lineRule="auto"/>
      <w:ind w:left="840" w:firstLine="0" w:firstLineChars="0"/>
      <w:jc w:val="left"/>
    </w:pPr>
    <w:rPr>
      <w:kern w:val="0"/>
      <w:sz w:val="18"/>
      <w:szCs w:val="20"/>
    </w:rPr>
  </w:style>
  <w:style w:type="paragraph" w:styleId="26">
    <w:name w:val="toc 3"/>
    <w:basedOn w:val="1"/>
    <w:next w:val="1"/>
    <w:autoRedefine/>
    <w:qFormat/>
    <w:uiPriority w:val="39"/>
    <w:pPr>
      <w:spacing w:line="400" w:lineRule="exact"/>
      <w:ind w:left="420" w:firstLine="0" w:firstLineChars="0"/>
      <w:jc w:val="left"/>
    </w:pPr>
    <w:rPr>
      <w:snapToGrid w:val="0"/>
      <w:kern w:val="0"/>
      <w:sz w:val="21"/>
      <w:szCs w:val="20"/>
    </w:rPr>
  </w:style>
  <w:style w:type="paragraph" w:styleId="27">
    <w:name w:val="Plain Text"/>
    <w:basedOn w:val="1"/>
    <w:next w:val="17"/>
    <w:link w:val="190"/>
    <w:autoRedefine/>
    <w:qFormat/>
    <w:uiPriority w:val="99"/>
    <w:pPr>
      <w:adjustRightInd/>
      <w:snapToGrid/>
      <w:spacing w:line="240" w:lineRule="auto"/>
      <w:ind w:firstLine="0" w:firstLineChars="0"/>
    </w:pPr>
    <w:rPr>
      <w:rFonts w:ascii="宋体" w:hAnsi="Courier New"/>
      <w:sz w:val="21"/>
    </w:rPr>
  </w:style>
  <w:style w:type="paragraph" w:styleId="28">
    <w:name w:val="toc 8"/>
    <w:basedOn w:val="1"/>
    <w:next w:val="1"/>
    <w:autoRedefine/>
    <w:qFormat/>
    <w:uiPriority w:val="39"/>
    <w:pPr>
      <w:adjustRightInd/>
      <w:snapToGrid/>
      <w:spacing w:line="240" w:lineRule="auto"/>
      <w:ind w:left="1470" w:firstLine="0" w:firstLineChars="0"/>
      <w:jc w:val="left"/>
    </w:pPr>
    <w:rPr>
      <w:kern w:val="0"/>
      <w:sz w:val="18"/>
      <w:szCs w:val="20"/>
    </w:rPr>
  </w:style>
  <w:style w:type="paragraph" w:styleId="29">
    <w:name w:val="Date"/>
    <w:basedOn w:val="1"/>
    <w:next w:val="1"/>
    <w:link w:val="193"/>
    <w:autoRedefine/>
    <w:qFormat/>
    <w:uiPriority w:val="0"/>
    <w:pPr>
      <w:adjustRightInd/>
      <w:snapToGrid/>
      <w:spacing w:line="240" w:lineRule="auto"/>
      <w:ind w:left="100" w:leftChars="2500" w:firstLine="0" w:firstLineChars="0"/>
    </w:pPr>
    <w:rPr>
      <w:sz w:val="28"/>
    </w:rPr>
  </w:style>
  <w:style w:type="paragraph" w:styleId="30">
    <w:name w:val="Balloon Text"/>
    <w:basedOn w:val="1"/>
    <w:link w:val="144"/>
    <w:autoRedefine/>
    <w:qFormat/>
    <w:uiPriority w:val="0"/>
    <w:pPr>
      <w:adjustRightInd/>
      <w:snapToGrid/>
      <w:spacing w:line="240" w:lineRule="auto"/>
      <w:ind w:firstLine="0" w:firstLineChars="0"/>
    </w:pPr>
    <w:rPr>
      <w:sz w:val="18"/>
    </w:rPr>
  </w:style>
  <w:style w:type="paragraph" w:styleId="31">
    <w:name w:val="footer"/>
    <w:basedOn w:val="1"/>
    <w:link w:val="77"/>
    <w:autoRedefine/>
    <w:unhideWhenUsed/>
    <w:qFormat/>
    <w:uiPriority w:val="99"/>
    <w:pPr>
      <w:tabs>
        <w:tab w:val="center" w:pos="4153"/>
        <w:tab w:val="right" w:pos="8306"/>
      </w:tabs>
      <w:spacing w:line="240" w:lineRule="auto"/>
      <w:jc w:val="left"/>
    </w:pPr>
    <w:rPr>
      <w:sz w:val="18"/>
      <w:szCs w:val="18"/>
    </w:rPr>
  </w:style>
  <w:style w:type="paragraph" w:styleId="32">
    <w:name w:val="header"/>
    <w:basedOn w:val="1"/>
    <w:link w:val="76"/>
    <w:autoRedefine/>
    <w:unhideWhenUsed/>
    <w:qFormat/>
    <w:uiPriority w:val="99"/>
    <w:pPr>
      <w:pBdr>
        <w:bottom w:val="single" w:color="auto" w:sz="6" w:space="1"/>
      </w:pBdr>
      <w:tabs>
        <w:tab w:val="center" w:pos="4153"/>
        <w:tab w:val="right" w:pos="8306"/>
      </w:tabs>
      <w:spacing w:line="240" w:lineRule="auto"/>
      <w:jc w:val="center"/>
    </w:pPr>
    <w:rPr>
      <w:sz w:val="18"/>
      <w:szCs w:val="18"/>
    </w:rPr>
  </w:style>
  <w:style w:type="paragraph" w:styleId="33">
    <w:name w:val="toc 1"/>
    <w:basedOn w:val="1"/>
    <w:next w:val="1"/>
    <w:autoRedefine/>
    <w:qFormat/>
    <w:uiPriority w:val="39"/>
    <w:pPr>
      <w:spacing w:line="400" w:lineRule="exact"/>
      <w:ind w:firstLine="0" w:firstLineChars="0"/>
    </w:pPr>
    <w:rPr>
      <w:b/>
      <w:caps/>
      <w:kern w:val="0"/>
      <w:sz w:val="21"/>
      <w:szCs w:val="20"/>
    </w:rPr>
  </w:style>
  <w:style w:type="paragraph" w:styleId="34">
    <w:name w:val="toc 4"/>
    <w:basedOn w:val="1"/>
    <w:next w:val="1"/>
    <w:autoRedefine/>
    <w:qFormat/>
    <w:uiPriority w:val="39"/>
    <w:pPr>
      <w:adjustRightInd/>
      <w:snapToGrid/>
      <w:spacing w:line="240" w:lineRule="auto"/>
      <w:ind w:left="630" w:firstLine="0" w:firstLineChars="0"/>
      <w:jc w:val="left"/>
    </w:pPr>
    <w:rPr>
      <w:kern w:val="0"/>
      <w:sz w:val="18"/>
      <w:szCs w:val="20"/>
    </w:rPr>
  </w:style>
  <w:style w:type="paragraph" w:styleId="35">
    <w:name w:val="List"/>
    <w:basedOn w:val="1"/>
    <w:autoRedefine/>
    <w:qFormat/>
    <w:uiPriority w:val="0"/>
    <w:pPr>
      <w:adjustRightInd/>
      <w:snapToGrid/>
      <w:spacing w:line="240" w:lineRule="auto"/>
      <w:ind w:left="200" w:hanging="200" w:hangingChars="200"/>
    </w:pPr>
    <w:rPr>
      <w:kern w:val="0"/>
      <w:szCs w:val="20"/>
    </w:rPr>
  </w:style>
  <w:style w:type="paragraph" w:styleId="36">
    <w:name w:val="toc 6"/>
    <w:basedOn w:val="1"/>
    <w:next w:val="1"/>
    <w:autoRedefine/>
    <w:qFormat/>
    <w:uiPriority w:val="39"/>
    <w:pPr>
      <w:adjustRightInd/>
      <w:snapToGrid/>
      <w:spacing w:line="240" w:lineRule="auto"/>
      <w:ind w:left="1050" w:firstLine="0" w:firstLineChars="0"/>
      <w:jc w:val="left"/>
    </w:pPr>
    <w:rPr>
      <w:kern w:val="0"/>
      <w:sz w:val="18"/>
      <w:szCs w:val="20"/>
    </w:rPr>
  </w:style>
  <w:style w:type="paragraph" w:styleId="37">
    <w:name w:val="Body Text Indent 3"/>
    <w:basedOn w:val="1"/>
    <w:link w:val="163"/>
    <w:autoRedefine/>
    <w:qFormat/>
    <w:uiPriority w:val="0"/>
    <w:pPr>
      <w:spacing w:line="520" w:lineRule="atLeast"/>
      <w:ind w:firstLine="0" w:firstLineChars="0"/>
    </w:pPr>
    <w:rPr>
      <w:rFonts w:ascii="宋体" w:hAnsi="宋体"/>
    </w:rPr>
  </w:style>
  <w:style w:type="paragraph" w:styleId="38">
    <w:name w:val="toc 2"/>
    <w:basedOn w:val="1"/>
    <w:next w:val="1"/>
    <w:autoRedefine/>
    <w:qFormat/>
    <w:uiPriority w:val="39"/>
    <w:pPr>
      <w:spacing w:line="400" w:lineRule="exact"/>
      <w:ind w:left="210" w:firstLine="0" w:firstLineChars="0"/>
    </w:pPr>
    <w:rPr>
      <w:smallCaps/>
      <w:kern w:val="0"/>
      <w:sz w:val="21"/>
      <w:szCs w:val="20"/>
    </w:rPr>
  </w:style>
  <w:style w:type="paragraph" w:styleId="39">
    <w:name w:val="toc 9"/>
    <w:basedOn w:val="1"/>
    <w:next w:val="1"/>
    <w:autoRedefine/>
    <w:qFormat/>
    <w:uiPriority w:val="39"/>
    <w:pPr>
      <w:adjustRightInd/>
      <w:snapToGrid/>
      <w:spacing w:line="240" w:lineRule="auto"/>
      <w:ind w:left="1680" w:firstLine="0" w:firstLineChars="0"/>
      <w:jc w:val="left"/>
    </w:pPr>
    <w:rPr>
      <w:kern w:val="0"/>
      <w:sz w:val="18"/>
      <w:szCs w:val="20"/>
    </w:rPr>
  </w:style>
  <w:style w:type="paragraph" w:styleId="40">
    <w:name w:val="Body Text 2"/>
    <w:basedOn w:val="1"/>
    <w:link w:val="179"/>
    <w:autoRedefine/>
    <w:qFormat/>
    <w:uiPriority w:val="0"/>
    <w:pPr>
      <w:spacing w:line="520" w:lineRule="atLeast"/>
      <w:ind w:firstLine="0" w:firstLineChars="0"/>
    </w:pPr>
    <w:rPr>
      <w:rFonts w:ascii="宋体" w:hAnsi="宋体"/>
      <w:sz w:val="28"/>
    </w:rPr>
  </w:style>
  <w:style w:type="paragraph" w:styleId="41">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rPr>
  </w:style>
  <w:style w:type="paragraph" w:styleId="42">
    <w:name w:val="HTML Preformatted"/>
    <w:basedOn w:val="1"/>
    <w:link w:val="95"/>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0" w:firstLineChars="0"/>
      <w:jc w:val="left"/>
    </w:pPr>
    <w:rPr>
      <w:rFonts w:ascii="宋体" w:hAnsi="宋体"/>
    </w:rPr>
  </w:style>
  <w:style w:type="paragraph" w:styleId="43">
    <w:name w:val="Normal (Web)"/>
    <w:basedOn w:val="1"/>
    <w:link w:val="472"/>
    <w:autoRedefine/>
    <w:qFormat/>
    <w:uiPriority w:val="99"/>
    <w:pPr>
      <w:widowControl/>
      <w:adjustRightInd/>
      <w:snapToGrid/>
      <w:spacing w:before="100" w:beforeAutospacing="1" w:after="100" w:afterAutospacing="1" w:line="240" w:lineRule="auto"/>
      <w:ind w:firstLine="0" w:firstLineChars="0"/>
      <w:jc w:val="left"/>
    </w:pPr>
    <w:rPr>
      <w:rFonts w:ascii="宋体" w:hAnsi="宋体" w:cs="宋体"/>
      <w:kern w:val="0"/>
      <w:szCs w:val="24"/>
    </w:rPr>
  </w:style>
  <w:style w:type="paragraph" w:styleId="44">
    <w:name w:val="index 1"/>
    <w:basedOn w:val="1"/>
    <w:next w:val="1"/>
    <w:autoRedefine/>
    <w:qFormat/>
    <w:uiPriority w:val="0"/>
    <w:pPr>
      <w:adjustRightInd/>
      <w:snapToGrid/>
      <w:spacing w:line="240" w:lineRule="auto"/>
      <w:ind w:firstLine="0" w:firstLineChars="0"/>
      <w:jc w:val="center"/>
    </w:pPr>
    <w:rPr>
      <w:kern w:val="0"/>
      <w:szCs w:val="20"/>
    </w:rPr>
  </w:style>
  <w:style w:type="paragraph" w:styleId="45">
    <w:name w:val="Title"/>
    <w:basedOn w:val="1"/>
    <w:next w:val="1"/>
    <w:link w:val="71"/>
    <w:autoRedefine/>
    <w:qFormat/>
    <w:uiPriority w:val="0"/>
    <w:pPr>
      <w:spacing w:before="50" w:beforeLines="50" w:after="50" w:afterLines="50"/>
      <w:ind w:firstLine="0" w:firstLineChars="0"/>
      <w:jc w:val="left"/>
      <w:outlineLvl w:val="2"/>
    </w:pPr>
    <w:rPr>
      <w:rFonts w:eastAsia="黑体"/>
      <w:bCs/>
      <w:szCs w:val="32"/>
    </w:rPr>
  </w:style>
  <w:style w:type="paragraph" w:styleId="46">
    <w:name w:val="annotation subject"/>
    <w:basedOn w:val="16"/>
    <w:next w:val="16"/>
    <w:link w:val="215"/>
    <w:autoRedefine/>
    <w:qFormat/>
    <w:uiPriority w:val="0"/>
    <w:pPr>
      <w:widowControl/>
      <w:adjustRightInd/>
      <w:snapToGrid/>
      <w:spacing w:line="240" w:lineRule="auto"/>
      <w:ind w:firstLine="0" w:firstLineChars="0"/>
    </w:pPr>
    <w:rPr>
      <w:rFonts w:ascii="宋体"/>
      <w:b/>
      <w:bCs/>
      <w:kern w:val="0"/>
      <w:sz w:val="20"/>
      <w:szCs w:val="20"/>
    </w:rPr>
  </w:style>
  <w:style w:type="table" w:styleId="48">
    <w:name w:val="Table Grid"/>
    <w:basedOn w:val="47"/>
    <w:autoRedefine/>
    <w:qFormat/>
    <w:uiPriority w:val="39"/>
    <w:pPr>
      <w:adjustRightInd w:val="0"/>
      <w:snapToGrid w:val="0"/>
      <w:jc w:val="center"/>
    </w:p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character" w:styleId="50">
    <w:name w:val="Strong"/>
    <w:autoRedefine/>
    <w:qFormat/>
    <w:uiPriority w:val="22"/>
    <w:rPr>
      <w:rFonts w:ascii="Times New Roman" w:hAnsi="Times New Roman"/>
      <w:b/>
      <w:szCs w:val="20"/>
    </w:rPr>
  </w:style>
  <w:style w:type="character" w:styleId="51">
    <w:name w:val="page number"/>
    <w:autoRedefine/>
    <w:qFormat/>
    <w:uiPriority w:val="0"/>
    <w:rPr>
      <w:rFonts w:ascii="方正美黑简体" w:hAnsi="宋体" w:eastAsia="方正美黑简体"/>
      <w:sz w:val="18"/>
      <w:szCs w:val="20"/>
    </w:rPr>
  </w:style>
  <w:style w:type="character" w:styleId="52">
    <w:name w:val="FollowedHyperlink"/>
    <w:autoRedefine/>
    <w:qFormat/>
    <w:uiPriority w:val="0"/>
    <w:rPr>
      <w:rFonts w:ascii="Times New Roman" w:hAnsi="Times New Roman"/>
      <w:color w:val="000000"/>
      <w:szCs w:val="20"/>
      <w:u w:val="none"/>
    </w:rPr>
  </w:style>
  <w:style w:type="character" w:styleId="53">
    <w:name w:val="Emphasis"/>
    <w:autoRedefine/>
    <w:qFormat/>
    <w:uiPriority w:val="20"/>
    <w:rPr>
      <w:color w:val="CC0033"/>
    </w:rPr>
  </w:style>
  <w:style w:type="character" w:styleId="54">
    <w:name w:val="HTML Definition"/>
    <w:autoRedefine/>
    <w:qFormat/>
    <w:uiPriority w:val="0"/>
    <w:rPr>
      <w:rFonts w:ascii="Times New Roman" w:hAnsi="Times New Roman"/>
      <w:szCs w:val="20"/>
    </w:rPr>
  </w:style>
  <w:style w:type="character" w:styleId="55">
    <w:name w:val="HTML Acronym"/>
    <w:autoRedefine/>
    <w:qFormat/>
    <w:uiPriority w:val="0"/>
    <w:rPr>
      <w:rFonts w:ascii="Times New Roman" w:hAnsi="Times New Roman"/>
      <w:szCs w:val="20"/>
    </w:rPr>
  </w:style>
  <w:style w:type="character" w:styleId="56">
    <w:name w:val="HTML Variable"/>
    <w:autoRedefine/>
    <w:qFormat/>
    <w:uiPriority w:val="0"/>
    <w:rPr>
      <w:rFonts w:ascii="Times New Roman" w:hAnsi="Times New Roman"/>
      <w:szCs w:val="20"/>
    </w:rPr>
  </w:style>
  <w:style w:type="character" w:styleId="57">
    <w:name w:val="Hyperlink"/>
    <w:autoRedefine/>
    <w:qFormat/>
    <w:uiPriority w:val="99"/>
    <w:rPr>
      <w:rFonts w:ascii="Times New Roman" w:hAnsi="Times New Roman"/>
      <w:color w:val="000000"/>
      <w:szCs w:val="20"/>
      <w:u w:val="none"/>
    </w:rPr>
  </w:style>
  <w:style w:type="character" w:styleId="58">
    <w:name w:val="HTML Code"/>
    <w:autoRedefine/>
    <w:qFormat/>
    <w:uiPriority w:val="0"/>
    <w:rPr>
      <w:rFonts w:ascii="Courier New" w:hAnsi="Courier New" w:eastAsia="Courier New" w:cs="Courier New"/>
      <w:sz w:val="20"/>
      <w:szCs w:val="20"/>
    </w:rPr>
  </w:style>
  <w:style w:type="character" w:styleId="59">
    <w:name w:val="annotation reference"/>
    <w:autoRedefine/>
    <w:qFormat/>
    <w:uiPriority w:val="0"/>
    <w:rPr>
      <w:rFonts w:ascii="Times New Roman" w:hAnsi="Times New Roman"/>
      <w:sz w:val="21"/>
      <w:szCs w:val="21"/>
    </w:rPr>
  </w:style>
  <w:style w:type="character" w:styleId="60">
    <w:name w:val="HTML Cite"/>
    <w:autoRedefine/>
    <w:qFormat/>
    <w:uiPriority w:val="0"/>
    <w:rPr>
      <w:rFonts w:ascii="Times New Roman" w:hAnsi="Times New Roman"/>
      <w:szCs w:val="20"/>
    </w:rPr>
  </w:style>
  <w:style w:type="character" w:styleId="61">
    <w:name w:val="HTML Keyboard"/>
    <w:autoRedefine/>
    <w:qFormat/>
    <w:uiPriority w:val="0"/>
    <w:rPr>
      <w:rFonts w:ascii="Courier New" w:hAnsi="Courier New" w:eastAsia="Courier New" w:cs="Courier New"/>
      <w:sz w:val="20"/>
      <w:szCs w:val="20"/>
    </w:rPr>
  </w:style>
  <w:style w:type="character" w:styleId="62">
    <w:name w:val="HTML Sample"/>
    <w:autoRedefine/>
    <w:qFormat/>
    <w:uiPriority w:val="0"/>
    <w:rPr>
      <w:rFonts w:ascii="Courier New" w:hAnsi="Courier New" w:eastAsia="Courier New" w:cs="Courier New"/>
      <w:szCs w:val="20"/>
    </w:rPr>
  </w:style>
  <w:style w:type="paragraph" w:customStyle="1" w:styleId="63">
    <w:name w:val="Default"/>
    <w:basedOn w:val="64"/>
    <w:next w:val="1"/>
    <w:link w:val="450"/>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4">
    <w:name w:val="纯文本1"/>
    <w:basedOn w:val="1"/>
    <w:autoRedefine/>
    <w:qFormat/>
    <w:uiPriority w:val="0"/>
    <w:pPr>
      <w:adjustRightInd/>
      <w:snapToGrid/>
      <w:spacing w:line="240" w:lineRule="auto"/>
      <w:ind w:firstLine="0" w:firstLineChars="0"/>
    </w:pPr>
    <w:rPr>
      <w:rFonts w:ascii="宋体" w:hAnsi="Courier New" w:cs="Courier New"/>
      <w:kern w:val="0"/>
      <w:szCs w:val="21"/>
    </w:rPr>
  </w:style>
  <w:style w:type="paragraph" w:customStyle="1" w:styleId="65">
    <w:name w:val="Normal (Web)1"/>
    <w:basedOn w:val="1"/>
    <w:next w:val="66"/>
    <w:qFormat/>
    <w:uiPriority w:val="0"/>
    <w:pPr>
      <w:widowControl/>
    </w:pPr>
    <w:rPr>
      <w:rFonts w:ascii="宋体" w:eastAsia="宋体" w:cs="Times New Roman"/>
      <w:sz w:val="24"/>
      <w:szCs w:val="21"/>
    </w:rPr>
  </w:style>
  <w:style w:type="paragraph" w:customStyle="1" w:styleId="66">
    <w:name w:val="Date1"/>
    <w:basedOn w:val="1"/>
    <w:next w:val="1"/>
    <w:qFormat/>
    <w:uiPriority w:val="0"/>
    <w:pPr>
      <w:ind w:left="2500" w:leftChars="2500"/>
    </w:pPr>
  </w:style>
  <w:style w:type="paragraph" w:customStyle="1" w:styleId="67">
    <w:name w:val="【正文】"/>
    <w:basedOn w:val="1"/>
    <w:next w:val="41"/>
    <w:link w:val="85"/>
    <w:autoRedefine/>
    <w:qFormat/>
    <w:uiPriority w:val="0"/>
    <w:pPr>
      <w:spacing w:line="500" w:lineRule="exact"/>
      <w:ind w:firstLine="200"/>
    </w:pPr>
    <w:rPr>
      <w:rFonts w:eastAsia="仿宋"/>
      <w:snapToGrid w:val="0"/>
      <w:kern w:val="0"/>
    </w:rPr>
  </w:style>
  <w:style w:type="character" w:customStyle="1" w:styleId="68">
    <w:name w:val="标题 1 字符"/>
    <w:link w:val="3"/>
    <w:autoRedefine/>
    <w:qFormat/>
    <w:uiPriority w:val="0"/>
    <w:rPr>
      <w:rFonts w:ascii="Times New Roman" w:hAnsi="Times New Roman" w:eastAsia="黑体"/>
      <w:snapToGrid w:val="0"/>
      <w:sz w:val="32"/>
      <w:szCs w:val="22"/>
    </w:rPr>
  </w:style>
  <w:style w:type="character" w:customStyle="1" w:styleId="69">
    <w:name w:val="标题 2 字符"/>
    <w:link w:val="4"/>
    <w:autoRedefine/>
    <w:qFormat/>
    <w:uiPriority w:val="0"/>
    <w:rPr>
      <w:rFonts w:ascii="Times New Roman" w:hAnsi="Times New Roman" w:eastAsia="黑体"/>
      <w:bCs/>
      <w:kern w:val="2"/>
      <w:sz w:val="30"/>
      <w:szCs w:val="32"/>
    </w:rPr>
  </w:style>
  <w:style w:type="character" w:customStyle="1" w:styleId="70">
    <w:name w:val="标题 3 字符"/>
    <w:link w:val="5"/>
    <w:autoRedefine/>
    <w:qFormat/>
    <w:uiPriority w:val="0"/>
    <w:rPr>
      <w:rFonts w:ascii="Times New Roman" w:hAnsi="Times New Roman" w:eastAsia="黑体"/>
      <w:bCs/>
      <w:snapToGrid w:val="0"/>
      <w:sz w:val="28"/>
      <w:szCs w:val="32"/>
    </w:rPr>
  </w:style>
  <w:style w:type="character" w:customStyle="1" w:styleId="71">
    <w:name w:val="标题 字符"/>
    <w:link w:val="45"/>
    <w:autoRedefine/>
    <w:qFormat/>
    <w:uiPriority w:val="10"/>
    <w:rPr>
      <w:rFonts w:ascii="Times New Roman" w:hAnsi="Times New Roman" w:eastAsia="黑体" w:cs="Times New Roman"/>
      <w:bCs/>
      <w:sz w:val="24"/>
      <w:szCs w:val="32"/>
    </w:rPr>
  </w:style>
  <w:style w:type="paragraph" w:customStyle="1" w:styleId="72">
    <w:name w:val="表头"/>
    <w:basedOn w:val="1"/>
    <w:link w:val="74"/>
    <w:autoRedefine/>
    <w:qFormat/>
    <w:uiPriority w:val="0"/>
    <w:pPr>
      <w:ind w:firstLine="0" w:firstLineChars="0"/>
      <w:jc w:val="center"/>
    </w:pPr>
    <w:rPr>
      <w:rFonts w:eastAsia="黑体"/>
    </w:rPr>
  </w:style>
  <w:style w:type="paragraph" w:customStyle="1" w:styleId="73">
    <w:name w:val="表中文字"/>
    <w:basedOn w:val="72"/>
    <w:link w:val="75"/>
    <w:autoRedefine/>
    <w:qFormat/>
    <w:uiPriority w:val="0"/>
    <w:pPr>
      <w:spacing w:line="240" w:lineRule="auto"/>
    </w:pPr>
    <w:rPr>
      <w:rFonts w:eastAsia="宋体"/>
      <w:sz w:val="21"/>
    </w:rPr>
  </w:style>
  <w:style w:type="character" w:customStyle="1" w:styleId="74">
    <w:name w:val="表头 字符"/>
    <w:link w:val="72"/>
    <w:autoRedefine/>
    <w:qFormat/>
    <w:uiPriority w:val="0"/>
    <w:rPr>
      <w:rFonts w:ascii="Times New Roman" w:hAnsi="Times New Roman" w:eastAsia="黑体"/>
      <w:sz w:val="24"/>
    </w:rPr>
  </w:style>
  <w:style w:type="character" w:customStyle="1" w:styleId="75">
    <w:name w:val="表中文字 字符"/>
    <w:link w:val="73"/>
    <w:autoRedefine/>
    <w:qFormat/>
    <w:uiPriority w:val="0"/>
    <w:rPr>
      <w:rFonts w:ascii="Times New Roman" w:hAnsi="Times New Roman" w:eastAsia="宋体"/>
      <w:sz w:val="24"/>
    </w:rPr>
  </w:style>
  <w:style w:type="character" w:customStyle="1" w:styleId="76">
    <w:name w:val="页眉 字符"/>
    <w:link w:val="32"/>
    <w:autoRedefine/>
    <w:qFormat/>
    <w:uiPriority w:val="99"/>
    <w:rPr>
      <w:rFonts w:ascii="Times New Roman" w:hAnsi="Times New Roman" w:eastAsia="宋体"/>
      <w:sz w:val="18"/>
      <w:szCs w:val="18"/>
    </w:rPr>
  </w:style>
  <w:style w:type="character" w:customStyle="1" w:styleId="77">
    <w:name w:val="页脚 字符"/>
    <w:link w:val="31"/>
    <w:autoRedefine/>
    <w:qFormat/>
    <w:uiPriority w:val="99"/>
    <w:rPr>
      <w:rFonts w:ascii="Times New Roman" w:hAnsi="Times New Roman" w:eastAsia="宋体"/>
      <w:sz w:val="18"/>
      <w:szCs w:val="18"/>
    </w:rPr>
  </w:style>
  <w:style w:type="character" w:customStyle="1" w:styleId="78">
    <w:name w:val="标题 4 字符"/>
    <w:link w:val="6"/>
    <w:autoRedefine/>
    <w:qFormat/>
    <w:uiPriority w:val="0"/>
    <w:rPr>
      <w:rFonts w:ascii="Times New Roman" w:hAnsi="Times New Roman" w:eastAsia="黑体"/>
      <w:kern w:val="2"/>
      <w:sz w:val="24"/>
      <w:lang w:val="zh-CN" w:eastAsia="zh-CN"/>
    </w:rPr>
  </w:style>
  <w:style w:type="character" w:customStyle="1" w:styleId="79">
    <w:name w:val="标题 5 字符"/>
    <w:link w:val="7"/>
    <w:autoRedefine/>
    <w:qFormat/>
    <w:uiPriority w:val="0"/>
    <w:rPr>
      <w:rFonts w:ascii="Times New Roman" w:hAnsi="Times New Roman" w:eastAsia="宋体" w:cs="Times New Roman"/>
      <w:b/>
      <w:sz w:val="28"/>
      <w:szCs w:val="20"/>
      <w:lang w:val="zh-CN" w:eastAsia="zh-CN"/>
    </w:rPr>
  </w:style>
  <w:style w:type="character" w:customStyle="1" w:styleId="80">
    <w:name w:val="标题 6 字符"/>
    <w:link w:val="9"/>
    <w:autoRedefine/>
    <w:qFormat/>
    <w:uiPriority w:val="0"/>
    <w:rPr>
      <w:rFonts w:ascii="Arial" w:hAnsi="Arial" w:eastAsia="黑体" w:cs="Times New Roman"/>
      <w:b/>
      <w:sz w:val="24"/>
      <w:szCs w:val="20"/>
      <w:lang w:val="zh-CN" w:eastAsia="zh-CN"/>
    </w:rPr>
  </w:style>
  <w:style w:type="character" w:customStyle="1" w:styleId="81">
    <w:name w:val="标题 7 字符"/>
    <w:link w:val="10"/>
    <w:autoRedefine/>
    <w:qFormat/>
    <w:uiPriority w:val="0"/>
    <w:rPr>
      <w:rFonts w:ascii="Times New Roman" w:hAnsi="Times New Roman" w:eastAsia="宋体" w:cs="Times New Roman"/>
      <w:b/>
      <w:sz w:val="24"/>
      <w:szCs w:val="20"/>
      <w:lang w:val="zh-CN" w:eastAsia="zh-CN"/>
    </w:rPr>
  </w:style>
  <w:style w:type="character" w:customStyle="1" w:styleId="82">
    <w:name w:val="标题 8 字符"/>
    <w:link w:val="11"/>
    <w:autoRedefine/>
    <w:qFormat/>
    <w:uiPriority w:val="0"/>
    <w:rPr>
      <w:rFonts w:ascii="Arial" w:hAnsi="Arial" w:eastAsia="黑体" w:cs="Times New Roman"/>
      <w:sz w:val="24"/>
      <w:szCs w:val="20"/>
      <w:lang w:val="zh-CN" w:eastAsia="zh-CN"/>
    </w:rPr>
  </w:style>
  <w:style w:type="character" w:customStyle="1" w:styleId="83">
    <w:name w:val="标题 9 字符"/>
    <w:link w:val="12"/>
    <w:autoRedefine/>
    <w:qFormat/>
    <w:uiPriority w:val="0"/>
    <w:rPr>
      <w:rFonts w:ascii="Arial" w:hAnsi="Arial" w:eastAsia="黑体" w:cs="Times New Roman"/>
      <w:szCs w:val="20"/>
      <w:lang w:val="zh-CN" w:eastAsia="zh-CN"/>
    </w:rPr>
  </w:style>
  <w:style w:type="character" w:customStyle="1" w:styleId="84">
    <w:name w:val="正文文本最新 Char Char Char Char Char Char Char"/>
    <w:autoRedefine/>
    <w:qFormat/>
    <w:uiPriority w:val="0"/>
    <w:rPr>
      <w:rFonts w:eastAsia="宋体"/>
      <w:kern w:val="2"/>
      <w:sz w:val="28"/>
      <w:lang w:val="en-US" w:eastAsia="zh-CN"/>
    </w:rPr>
  </w:style>
  <w:style w:type="character" w:customStyle="1" w:styleId="85">
    <w:name w:val="【正文】 Char"/>
    <w:link w:val="67"/>
    <w:autoRedefine/>
    <w:qFormat/>
    <w:uiPriority w:val="0"/>
    <w:rPr>
      <w:rFonts w:ascii="Times New Roman" w:hAnsi="Times New Roman" w:eastAsia="仿宋"/>
      <w:snapToGrid w:val="0"/>
      <w:sz w:val="24"/>
      <w:szCs w:val="22"/>
    </w:rPr>
  </w:style>
  <w:style w:type="character" w:customStyle="1" w:styleId="86">
    <w:name w:val="表格标题 Char Char"/>
    <w:link w:val="87"/>
    <w:autoRedefine/>
    <w:qFormat/>
    <w:uiPriority w:val="0"/>
    <w:rPr>
      <w:rFonts w:ascii="宋体" w:hAnsi="宋体"/>
      <w:sz w:val="24"/>
    </w:rPr>
  </w:style>
  <w:style w:type="paragraph" w:customStyle="1" w:styleId="87">
    <w:name w:val="表格标题"/>
    <w:basedOn w:val="67"/>
    <w:next w:val="88"/>
    <w:link w:val="86"/>
    <w:autoRedefine/>
    <w:qFormat/>
    <w:uiPriority w:val="0"/>
    <w:pPr>
      <w:adjustRightInd/>
      <w:snapToGrid/>
    </w:pPr>
    <w:rPr>
      <w:rFonts w:ascii="宋体" w:hAnsi="宋体"/>
    </w:rPr>
  </w:style>
  <w:style w:type="paragraph" w:customStyle="1" w:styleId="88">
    <w:name w:val="正文（首行缩进）"/>
    <w:basedOn w:val="1"/>
    <w:next w:val="89"/>
    <w:qFormat/>
    <w:uiPriority w:val="0"/>
    <w:pPr>
      <w:spacing w:line="360" w:lineRule="auto"/>
      <w:ind w:firstLine="480" w:firstLineChars="200"/>
    </w:pPr>
    <w:rPr>
      <w:rFonts w:hAnsi="宋体"/>
      <w:kern w:val="2"/>
    </w:rPr>
  </w:style>
  <w:style w:type="paragraph" w:customStyle="1" w:styleId="89">
    <w:name w:val="正文00"/>
    <w:basedOn w:val="1"/>
    <w:next w:val="90"/>
    <w:link w:val="377"/>
    <w:autoRedefine/>
    <w:qFormat/>
    <w:uiPriority w:val="0"/>
    <w:pPr>
      <w:adjustRightInd/>
      <w:snapToGrid/>
    </w:pPr>
    <w:rPr>
      <w:szCs w:val="24"/>
      <w:lang w:val="zh-CN"/>
    </w:rPr>
  </w:style>
  <w:style w:type="paragraph" w:customStyle="1" w:styleId="90">
    <w:name w:val="样式 Times New Roman 五号 居中1"/>
    <w:basedOn w:val="1"/>
    <w:next w:val="72"/>
    <w:qFormat/>
    <w:uiPriority w:val="0"/>
    <w:pPr>
      <w:jc w:val="center"/>
    </w:pPr>
    <w:rPr>
      <w:rFonts w:cs="宋体"/>
      <w:szCs w:val="20"/>
    </w:rPr>
  </w:style>
  <w:style w:type="character" w:customStyle="1" w:styleId="91">
    <w:name w:val="标题 1 Char Char Char"/>
    <w:autoRedefine/>
    <w:qFormat/>
    <w:uiPriority w:val="0"/>
    <w:rPr>
      <w:rFonts w:ascii="Times New Roman" w:hAnsi="Times New Roman"/>
      <w:b/>
      <w:kern w:val="44"/>
      <w:sz w:val="44"/>
    </w:rPr>
  </w:style>
  <w:style w:type="character" w:customStyle="1" w:styleId="92">
    <w:name w:val="hover73"/>
    <w:autoRedefine/>
    <w:qFormat/>
    <w:uiPriority w:val="0"/>
    <w:rPr>
      <w:rFonts w:ascii="Times New Roman" w:hAnsi="Times New Roman"/>
      <w:color w:val="BA0000"/>
      <w:szCs w:val="20"/>
    </w:rPr>
  </w:style>
  <w:style w:type="character" w:customStyle="1" w:styleId="93">
    <w:name w:val="表文字居中 Char Char"/>
    <w:link w:val="94"/>
    <w:autoRedefine/>
    <w:qFormat/>
    <w:uiPriority w:val="0"/>
    <w:rPr>
      <w:rFonts w:ascii="Arial" w:hAnsi="Arial"/>
    </w:rPr>
  </w:style>
  <w:style w:type="paragraph" w:customStyle="1" w:styleId="94">
    <w:name w:val="表文字居中"/>
    <w:link w:val="93"/>
    <w:autoRedefine/>
    <w:qFormat/>
    <w:uiPriority w:val="0"/>
    <w:pPr>
      <w:adjustRightInd w:val="0"/>
      <w:spacing w:line="360" w:lineRule="auto"/>
      <w:jc w:val="center"/>
    </w:pPr>
    <w:rPr>
      <w:rFonts w:ascii="Arial" w:hAnsi="Arial" w:eastAsia="宋体" w:cs="Times New Roman"/>
      <w:kern w:val="2"/>
      <w:sz w:val="21"/>
      <w:szCs w:val="22"/>
      <w:lang w:val="en-US" w:eastAsia="zh-CN" w:bidi="ar-SA"/>
    </w:rPr>
  </w:style>
  <w:style w:type="character" w:customStyle="1" w:styleId="95">
    <w:name w:val="HTML 预设格式 字符"/>
    <w:link w:val="42"/>
    <w:autoRedefine/>
    <w:qFormat/>
    <w:uiPriority w:val="0"/>
    <w:rPr>
      <w:rFonts w:ascii="宋体" w:hAnsi="宋体"/>
      <w:sz w:val="24"/>
    </w:rPr>
  </w:style>
  <w:style w:type="character" w:customStyle="1" w:styleId="96">
    <w:name w:val="标题 6 Char1"/>
    <w:autoRedefine/>
    <w:qFormat/>
    <w:uiPriority w:val="0"/>
    <w:rPr>
      <w:rFonts w:ascii="Cambria" w:hAnsi="Cambria" w:eastAsia="宋体" w:cs="Times New Roman"/>
      <w:b/>
      <w:bCs/>
      <w:kern w:val="2"/>
      <w:sz w:val="24"/>
      <w:szCs w:val="24"/>
    </w:rPr>
  </w:style>
  <w:style w:type="character" w:customStyle="1" w:styleId="97">
    <w:name w:val="font41"/>
    <w:basedOn w:val="49"/>
    <w:autoRedefine/>
    <w:qFormat/>
    <w:uiPriority w:val="0"/>
    <w:rPr>
      <w:rFonts w:hint="eastAsia" w:ascii="宋体" w:hAnsi="宋体" w:eastAsia="宋体" w:cs="宋体"/>
      <w:b/>
      <w:color w:val="000000"/>
      <w:sz w:val="20"/>
      <w:szCs w:val="20"/>
      <w:u w:val="none"/>
    </w:rPr>
  </w:style>
  <w:style w:type="character" w:customStyle="1" w:styleId="98">
    <w:name w:val="正文文本缩进 2 Char1"/>
    <w:autoRedefine/>
    <w:qFormat/>
    <w:uiPriority w:val="0"/>
    <w:rPr>
      <w:kern w:val="2"/>
      <w:sz w:val="21"/>
    </w:rPr>
  </w:style>
  <w:style w:type="character" w:customStyle="1" w:styleId="99">
    <w:name w:val="标题 2 Char Char"/>
    <w:autoRedefine/>
    <w:qFormat/>
    <w:uiPriority w:val="0"/>
    <w:rPr>
      <w:rFonts w:ascii="Cambria" w:hAnsi="Cambria" w:eastAsia="宋体" w:cs="Times New Roman"/>
      <w:b/>
      <w:bCs/>
      <w:kern w:val="2"/>
      <w:sz w:val="32"/>
      <w:szCs w:val="32"/>
    </w:rPr>
  </w:style>
  <w:style w:type="character" w:customStyle="1" w:styleId="100">
    <w:name w:val="highlight1"/>
    <w:autoRedefine/>
    <w:qFormat/>
    <w:uiPriority w:val="0"/>
    <w:rPr>
      <w:sz w:val="19"/>
    </w:rPr>
  </w:style>
  <w:style w:type="character" w:customStyle="1" w:styleId="101">
    <w:name w:val="正文文本缩进 3 Char1"/>
    <w:autoRedefine/>
    <w:qFormat/>
    <w:uiPriority w:val="0"/>
    <w:rPr>
      <w:kern w:val="2"/>
      <w:sz w:val="16"/>
      <w:szCs w:val="16"/>
    </w:rPr>
  </w:style>
  <w:style w:type="character" w:customStyle="1" w:styleId="102">
    <w:name w:val="ourfont2"/>
    <w:autoRedefine/>
    <w:qFormat/>
    <w:uiPriority w:val="0"/>
  </w:style>
  <w:style w:type="character" w:customStyle="1" w:styleId="103">
    <w:name w:val="页脚 Char1"/>
    <w:autoRedefine/>
    <w:qFormat/>
    <w:uiPriority w:val="0"/>
    <w:rPr>
      <w:kern w:val="2"/>
      <w:sz w:val="18"/>
      <w:szCs w:val="18"/>
    </w:rPr>
  </w:style>
  <w:style w:type="character" w:customStyle="1" w:styleId="104">
    <w:name w:val="l181"/>
    <w:autoRedefine/>
    <w:qFormat/>
    <w:uiPriority w:val="0"/>
  </w:style>
  <w:style w:type="character" w:customStyle="1" w:styleId="105">
    <w:name w:val="正文首行缩进 Char Char Char"/>
    <w:link w:val="106"/>
    <w:autoRedefine/>
    <w:qFormat/>
    <w:uiPriority w:val="0"/>
    <w:rPr>
      <w:rFonts w:ascii="Calibri" w:hAnsi="Calibri" w:eastAsia="宋体"/>
    </w:rPr>
  </w:style>
  <w:style w:type="paragraph" w:customStyle="1" w:styleId="106">
    <w:name w:val="正文首行缩进1"/>
    <w:basedOn w:val="19"/>
    <w:link w:val="105"/>
    <w:autoRedefine/>
    <w:qFormat/>
    <w:uiPriority w:val="0"/>
    <w:pPr>
      <w:adjustRightInd/>
      <w:snapToGrid/>
      <w:spacing w:before="78" w:beforeLines="25" w:after="78" w:afterLines="25"/>
      <w:ind w:firstLine="420" w:firstLineChars="100"/>
    </w:pPr>
    <w:rPr>
      <w:rFonts w:ascii="Calibri" w:hAnsi="Calibri"/>
      <w:sz w:val="21"/>
    </w:rPr>
  </w:style>
  <w:style w:type="character" w:customStyle="1" w:styleId="107">
    <w:name w:val="样式 正文缩进首行缩进两字identication表正文正文非缩进 + 段前: 0.25 行 段后: 0.25 行 Char Char Char Char Char"/>
    <w:link w:val="108"/>
    <w:autoRedefine/>
    <w:qFormat/>
    <w:uiPriority w:val="0"/>
    <w:rPr>
      <w:rFonts w:ascii="宋体" w:hAnsi="Courier New" w:cs="宋体"/>
      <w:spacing w:val="-2"/>
      <w:kern w:val="10"/>
      <w:sz w:val="24"/>
    </w:rPr>
  </w:style>
  <w:style w:type="paragraph" w:customStyle="1" w:styleId="108">
    <w:name w:val="样式 正文缩进首行缩进两字identication表正文正文非缩进 + 段前: 0.25 行 段后: 0.25 行"/>
    <w:basedOn w:val="8"/>
    <w:link w:val="107"/>
    <w:autoRedefine/>
    <w:qFormat/>
    <w:uiPriority w:val="0"/>
    <w:pPr>
      <w:overflowPunct w:val="0"/>
      <w:autoSpaceDN w:val="0"/>
      <w:adjustRightInd w:val="0"/>
      <w:snapToGrid w:val="0"/>
      <w:spacing w:before="78" w:beforeLines="25" w:after="78" w:afterLines="25" w:line="360" w:lineRule="auto"/>
      <w:ind w:firstLine="482" w:firstLineChars="0"/>
      <w:jc w:val="left"/>
    </w:pPr>
    <w:rPr>
      <w:rFonts w:ascii="宋体" w:hAnsi="Courier New" w:cs="宋体"/>
      <w:spacing w:val="-2"/>
      <w:kern w:val="10"/>
      <w:sz w:val="24"/>
    </w:rPr>
  </w:style>
  <w:style w:type="character" w:customStyle="1" w:styleId="109">
    <w:name w:val="p141"/>
    <w:autoRedefine/>
    <w:qFormat/>
    <w:uiPriority w:val="0"/>
    <w:rPr>
      <w:color w:val="333333"/>
      <w:sz w:val="20"/>
    </w:rPr>
  </w:style>
  <w:style w:type="character" w:customStyle="1" w:styleId="110">
    <w:name w:val="表体 Char Char"/>
    <w:autoRedefine/>
    <w:qFormat/>
    <w:uiPriority w:val="0"/>
    <w:rPr>
      <w:rFonts w:eastAsia="仿宋_GB2312"/>
      <w:sz w:val="24"/>
      <w:lang w:val="en-US" w:eastAsia="zh-CN"/>
    </w:rPr>
  </w:style>
  <w:style w:type="character" w:customStyle="1" w:styleId="111">
    <w:name w:val="章节标题 Char1"/>
    <w:autoRedefine/>
    <w:qFormat/>
    <w:uiPriority w:val="0"/>
    <w:rPr>
      <w:b/>
      <w:bCs/>
      <w:kern w:val="44"/>
      <w:sz w:val="44"/>
      <w:szCs w:val="44"/>
    </w:rPr>
  </w:style>
  <w:style w:type="character" w:customStyle="1" w:styleId="112">
    <w:name w:val="道路正文 Char"/>
    <w:link w:val="113"/>
    <w:autoRedefine/>
    <w:qFormat/>
    <w:uiPriority w:val="0"/>
    <w:rPr>
      <w:rFonts w:ascii="Times New Roman" w:hAnsi="Times New Roman"/>
      <w:sz w:val="24"/>
      <w:szCs w:val="20"/>
    </w:rPr>
  </w:style>
  <w:style w:type="paragraph" w:customStyle="1" w:styleId="113">
    <w:name w:val="道路正文"/>
    <w:basedOn w:val="1"/>
    <w:link w:val="112"/>
    <w:autoRedefine/>
    <w:qFormat/>
    <w:uiPriority w:val="0"/>
    <w:pPr>
      <w:spacing w:line="500" w:lineRule="exact"/>
    </w:pPr>
    <w:rPr>
      <w:szCs w:val="20"/>
    </w:rPr>
  </w:style>
  <w:style w:type="character" w:customStyle="1" w:styleId="114">
    <w:name w:val="日期 Char1"/>
    <w:autoRedefine/>
    <w:qFormat/>
    <w:uiPriority w:val="0"/>
    <w:rPr>
      <w:kern w:val="2"/>
      <w:sz w:val="21"/>
    </w:rPr>
  </w:style>
  <w:style w:type="character" w:customStyle="1" w:styleId="115">
    <w:name w:val="font11"/>
    <w:autoRedefine/>
    <w:qFormat/>
    <w:uiPriority w:val="0"/>
    <w:rPr>
      <w:rFonts w:hint="eastAsia" w:ascii="宋体" w:hAnsi="宋体" w:eastAsia="宋体" w:cs="宋体"/>
      <w:b/>
      <w:color w:val="000000"/>
      <w:sz w:val="20"/>
      <w:szCs w:val="20"/>
      <w:u w:val="none"/>
    </w:rPr>
  </w:style>
  <w:style w:type="character" w:customStyle="1" w:styleId="116">
    <w:name w:val="正文(首行缩进) Char Char"/>
    <w:link w:val="117"/>
    <w:autoRedefine/>
    <w:qFormat/>
    <w:uiPriority w:val="0"/>
    <w:rPr>
      <w:sz w:val="24"/>
      <w:szCs w:val="24"/>
    </w:rPr>
  </w:style>
  <w:style w:type="paragraph" w:customStyle="1" w:styleId="117">
    <w:name w:val="正文(首行缩进)"/>
    <w:basedOn w:val="1"/>
    <w:link w:val="116"/>
    <w:autoRedefine/>
    <w:qFormat/>
    <w:uiPriority w:val="99"/>
    <w:pPr>
      <w:ind w:firstLine="200"/>
    </w:pPr>
    <w:rPr>
      <w:rFonts w:ascii="Calibri" w:hAnsi="Calibri"/>
      <w:szCs w:val="24"/>
    </w:rPr>
  </w:style>
  <w:style w:type="character" w:customStyle="1" w:styleId="118">
    <w:name w:val="正文文本 Char Char Char"/>
    <w:autoRedefine/>
    <w:qFormat/>
    <w:uiPriority w:val="0"/>
    <w:rPr>
      <w:rFonts w:ascii="Calibri" w:hAnsi="Calibri" w:eastAsia="宋体"/>
      <w:kern w:val="2"/>
      <w:sz w:val="21"/>
      <w:szCs w:val="22"/>
      <w:lang w:val="en-US" w:eastAsia="zh-CN" w:bidi="ar-SA"/>
    </w:rPr>
  </w:style>
  <w:style w:type="character" w:customStyle="1" w:styleId="119">
    <w:name w:val="正文文本缩进 字符"/>
    <w:link w:val="20"/>
    <w:autoRedefine/>
    <w:qFormat/>
    <w:uiPriority w:val="99"/>
    <w:rPr>
      <w:rFonts w:ascii="宋体" w:hAnsi="宋体"/>
      <w:sz w:val="28"/>
    </w:rPr>
  </w:style>
  <w:style w:type="character" w:customStyle="1" w:styleId="120">
    <w:name w:val="纯文本 Char Char"/>
    <w:autoRedefine/>
    <w:qFormat/>
    <w:uiPriority w:val="0"/>
    <w:rPr>
      <w:rFonts w:ascii="宋体" w:hAnsi="Courier New" w:cs="Courier New"/>
      <w:kern w:val="2"/>
      <w:sz w:val="21"/>
      <w:szCs w:val="21"/>
    </w:rPr>
  </w:style>
  <w:style w:type="character" w:customStyle="1" w:styleId="121">
    <w:name w:val="页眉 Char1"/>
    <w:autoRedefine/>
    <w:qFormat/>
    <w:uiPriority w:val="0"/>
    <w:rPr>
      <w:kern w:val="2"/>
      <w:sz w:val="18"/>
      <w:szCs w:val="18"/>
    </w:rPr>
  </w:style>
  <w:style w:type="character" w:customStyle="1" w:styleId="122">
    <w:name w:val="Char Char1"/>
    <w:autoRedefine/>
    <w:qFormat/>
    <w:uiPriority w:val="0"/>
    <w:rPr>
      <w:rFonts w:hint="eastAsia" w:ascii="宋体" w:hAnsi="宋体" w:eastAsia="宋体"/>
      <w:kern w:val="2"/>
      <w:sz w:val="28"/>
      <w:lang w:val="en-US" w:eastAsia="zh-CN"/>
    </w:rPr>
  </w:style>
  <w:style w:type="character" w:customStyle="1" w:styleId="123">
    <w:name w:val="纯文本 Char Char Char"/>
    <w:autoRedefine/>
    <w:qFormat/>
    <w:uiPriority w:val="0"/>
    <w:rPr>
      <w:rFonts w:ascii="宋体" w:hAnsi="Courier New"/>
      <w:kern w:val="2"/>
      <w:sz w:val="21"/>
    </w:rPr>
  </w:style>
  <w:style w:type="character" w:customStyle="1" w:styleId="124">
    <w:name w:val="标题 6 Char Char"/>
    <w:autoRedefine/>
    <w:qFormat/>
    <w:uiPriority w:val="0"/>
    <w:rPr>
      <w:rFonts w:ascii="Arial" w:hAnsi="Arial" w:eastAsia="黑体"/>
      <w:b/>
      <w:kern w:val="2"/>
      <w:sz w:val="24"/>
    </w:rPr>
  </w:style>
  <w:style w:type="character" w:customStyle="1" w:styleId="125">
    <w:name w:val="Section Char"/>
    <w:autoRedefine/>
    <w:qFormat/>
    <w:uiPriority w:val="0"/>
    <w:rPr>
      <w:rFonts w:eastAsia="黑体"/>
      <w:b/>
      <w:kern w:val="2"/>
      <w:sz w:val="28"/>
      <w:lang w:val="en-US" w:eastAsia="zh-CN"/>
    </w:rPr>
  </w:style>
  <w:style w:type="character" w:customStyle="1" w:styleId="126">
    <w:name w:val="报告书正文 Char Char"/>
    <w:autoRedefine/>
    <w:qFormat/>
    <w:uiPriority w:val="0"/>
    <w:rPr>
      <w:rFonts w:eastAsia="宋体"/>
      <w:kern w:val="2"/>
      <w:sz w:val="24"/>
      <w:lang w:val="en-US" w:eastAsia="zh-CN"/>
    </w:rPr>
  </w:style>
  <w:style w:type="character" w:customStyle="1" w:styleId="127">
    <w:name w:val="正文道路 Char"/>
    <w:link w:val="128"/>
    <w:autoRedefine/>
    <w:qFormat/>
    <w:uiPriority w:val="0"/>
    <w:rPr>
      <w:rFonts w:ascii="宋体" w:hAnsi="Times New Roman"/>
      <w:color w:val="000000"/>
      <w:sz w:val="24"/>
      <w:szCs w:val="20"/>
    </w:rPr>
  </w:style>
  <w:style w:type="paragraph" w:customStyle="1" w:styleId="128">
    <w:name w:val="正文道路"/>
    <w:basedOn w:val="1"/>
    <w:link w:val="127"/>
    <w:autoRedefine/>
    <w:qFormat/>
    <w:uiPriority w:val="0"/>
    <w:pPr>
      <w:spacing w:line="500" w:lineRule="exact"/>
      <w:ind w:right="-25" w:firstLine="0" w:firstLineChars="0"/>
    </w:pPr>
    <w:rPr>
      <w:rFonts w:ascii="宋体"/>
      <w:color w:val="000000"/>
      <w:szCs w:val="20"/>
    </w:rPr>
  </w:style>
  <w:style w:type="character" w:customStyle="1" w:styleId="129">
    <w:name w:val="页眉 Char Char Char"/>
    <w:autoRedefine/>
    <w:qFormat/>
    <w:uiPriority w:val="0"/>
    <w:rPr>
      <w:rFonts w:ascii="Calibri" w:hAnsi="Calibri"/>
      <w:sz w:val="18"/>
      <w:szCs w:val="18"/>
    </w:rPr>
  </w:style>
  <w:style w:type="character" w:customStyle="1" w:styleId="130">
    <w:name w:val="标题 9 Char Char"/>
    <w:autoRedefine/>
    <w:qFormat/>
    <w:uiPriority w:val="0"/>
    <w:rPr>
      <w:rFonts w:ascii="Arial" w:hAnsi="Arial" w:eastAsia="黑体"/>
      <w:kern w:val="2"/>
      <w:sz w:val="21"/>
    </w:rPr>
  </w:style>
  <w:style w:type="character" w:customStyle="1" w:styleId="131">
    <w:name w:val="text_edit editable-title"/>
    <w:autoRedefine/>
    <w:qFormat/>
    <w:uiPriority w:val="0"/>
  </w:style>
  <w:style w:type="character" w:customStyle="1" w:styleId="132">
    <w:name w:val="正文文本 2 Char1"/>
    <w:autoRedefine/>
    <w:qFormat/>
    <w:uiPriority w:val="0"/>
    <w:rPr>
      <w:kern w:val="2"/>
      <w:sz w:val="21"/>
    </w:rPr>
  </w:style>
  <w:style w:type="character" w:customStyle="1" w:styleId="133">
    <w:name w:val="样式 正文缩进首行缩进两字identication表正文正文非缩进 + 段前: 0.25 行 段后: 0.25 行 Char Char Char Char"/>
    <w:link w:val="134"/>
    <w:autoRedefine/>
    <w:qFormat/>
    <w:uiPriority w:val="0"/>
    <w:rPr>
      <w:rFonts w:ascii="宋体" w:hAnsi="Courier New" w:cs="宋体"/>
      <w:spacing w:val="-2"/>
      <w:kern w:val="10"/>
      <w:sz w:val="24"/>
    </w:rPr>
  </w:style>
  <w:style w:type="paragraph" w:customStyle="1" w:styleId="134">
    <w:name w:val="样式 正文缩进首行缩进两字identication表正文正文非缩进 + 段前: 0.25 行 段后: 0.25 行 Char Char"/>
    <w:basedOn w:val="8"/>
    <w:link w:val="133"/>
    <w:autoRedefine/>
    <w:qFormat/>
    <w:uiPriority w:val="0"/>
    <w:pPr>
      <w:overflowPunct w:val="0"/>
      <w:autoSpaceDN w:val="0"/>
      <w:adjustRightInd w:val="0"/>
      <w:snapToGrid w:val="0"/>
      <w:spacing w:before="78" w:beforeLines="25" w:after="78" w:afterLines="25" w:line="360" w:lineRule="auto"/>
      <w:ind w:firstLine="482" w:firstLineChars="0"/>
      <w:jc w:val="left"/>
    </w:pPr>
    <w:rPr>
      <w:rFonts w:ascii="宋体" w:hAnsi="Courier New" w:cs="宋体"/>
      <w:spacing w:val="-2"/>
      <w:kern w:val="10"/>
      <w:sz w:val="24"/>
    </w:rPr>
  </w:style>
  <w:style w:type="character" w:customStyle="1" w:styleId="135">
    <w:name w:val="标题 7 Char1"/>
    <w:autoRedefine/>
    <w:qFormat/>
    <w:uiPriority w:val="0"/>
    <w:rPr>
      <w:b/>
      <w:bCs/>
      <w:kern w:val="2"/>
      <w:sz w:val="24"/>
      <w:szCs w:val="24"/>
    </w:rPr>
  </w:style>
  <w:style w:type="character" w:customStyle="1" w:styleId="136">
    <w:name w:val="表格标题采用 Char Char Char"/>
    <w:link w:val="137"/>
    <w:autoRedefine/>
    <w:qFormat/>
    <w:uiPriority w:val="0"/>
    <w:rPr>
      <w:rFonts w:ascii="黑体" w:hAnsi="Times New Roman" w:eastAsia="黑体"/>
      <w:szCs w:val="20"/>
    </w:rPr>
  </w:style>
  <w:style w:type="paragraph" w:customStyle="1" w:styleId="137">
    <w:name w:val="表格标题采用"/>
    <w:basedOn w:val="19"/>
    <w:link w:val="136"/>
    <w:autoRedefine/>
    <w:qFormat/>
    <w:uiPriority w:val="0"/>
    <w:pPr>
      <w:adjustRightInd/>
      <w:snapToGrid/>
      <w:spacing w:before="78" w:beforeLines="25" w:after="0" w:line="460" w:lineRule="exact"/>
      <w:ind w:firstLine="200"/>
      <w:jc w:val="center"/>
    </w:pPr>
    <w:rPr>
      <w:rFonts w:ascii="黑体" w:eastAsia="黑体"/>
      <w:sz w:val="21"/>
      <w:szCs w:val="20"/>
    </w:rPr>
  </w:style>
  <w:style w:type="character" w:customStyle="1" w:styleId="138">
    <w:name w:val="标题 1 Char Char"/>
    <w:autoRedefine/>
    <w:qFormat/>
    <w:uiPriority w:val="0"/>
    <w:rPr>
      <w:b/>
      <w:bCs/>
      <w:kern w:val="44"/>
      <w:sz w:val="44"/>
      <w:szCs w:val="44"/>
    </w:rPr>
  </w:style>
  <w:style w:type="character" w:customStyle="1" w:styleId="139">
    <w:name w:val="正文文本 3 字符"/>
    <w:link w:val="18"/>
    <w:autoRedefine/>
    <w:qFormat/>
    <w:uiPriority w:val="0"/>
    <w:rPr>
      <w:rFonts w:ascii="Times New Roman" w:hAnsi="Times New Roman"/>
      <w:sz w:val="16"/>
    </w:rPr>
  </w:style>
  <w:style w:type="character" w:customStyle="1" w:styleId="140">
    <w:name w:val="text11"/>
    <w:autoRedefine/>
    <w:qFormat/>
    <w:uiPriority w:val="0"/>
    <w:rPr>
      <w:sz w:val="20"/>
    </w:rPr>
  </w:style>
  <w:style w:type="character" w:customStyle="1" w:styleId="141">
    <w:name w:val="标题 7 Char Char"/>
    <w:autoRedefine/>
    <w:qFormat/>
    <w:uiPriority w:val="0"/>
    <w:rPr>
      <w:rFonts w:ascii="Times New Roman" w:hAnsi="Times New Roman"/>
      <w:b/>
      <w:kern w:val="2"/>
      <w:sz w:val="24"/>
    </w:rPr>
  </w:style>
  <w:style w:type="character" w:customStyle="1" w:styleId="142">
    <w:name w:val="四级标题 Char"/>
    <w:link w:val="143"/>
    <w:autoRedefine/>
    <w:qFormat/>
    <w:uiPriority w:val="0"/>
    <w:rPr>
      <w:rFonts w:ascii="Times New Roman" w:hAnsi="Times New Roman"/>
      <w:sz w:val="24"/>
      <w:szCs w:val="20"/>
    </w:rPr>
  </w:style>
  <w:style w:type="paragraph" w:customStyle="1" w:styleId="143">
    <w:name w:val="四级标题"/>
    <w:basedOn w:val="1"/>
    <w:link w:val="142"/>
    <w:autoRedefine/>
    <w:qFormat/>
    <w:uiPriority w:val="0"/>
    <w:pPr>
      <w:adjustRightInd/>
      <w:snapToGrid/>
      <w:spacing w:line="500" w:lineRule="exact"/>
      <w:ind w:firstLine="0" w:firstLineChars="0"/>
    </w:pPr>
    <w:rPr>
      <w:szCs w:val="20"/>
    </w:rPr>
  </w:style>
  <w:style w:type="character" w:customStyle="1" w:styleId="144">
    <w:name w:val="批注框文本 字符"/>
    <w:link w:val="30"/>
    <w:autoRedefine/>
    <w:qFormat/>
    <w:uiPriority w:val="0"/>
    <w:rPr>
      <w:rFonts w:ascii="Times New Roman" w:hAnsi="Times New Roman"/>
      <w:sz w:val="18"/>
    </w:rPr>
  </w:style>
  <w:style w:type="character" w:customStyle="1" w:styleId="145">
    <w:name w:val="【表中文字】 Char"/>
    <w:link w:val="146"/>
    <w:autoRedefine/>
    <w:qFormat/>
    <w:uiPriority w:val="0"/>
    <w:rPr>
      <w:rFonts w:eastAsia="仿宋"/>
      <w:kern w:val="2"/>
      <w:sz w:val="21"/>
      <w:szCs w:val="22"/>
    </w:rPr>
  </w:style>
  <w:style w:type="paragraph" w:customStyle="1" w:styleId="146">
    <w:name w:val="【表中文字】"/>
    <w:basedOn w:val="147"/>
    <w:link w:val="145"/>
    <w:autoRedefine/>
    <w:qFormat/>
    <w:uiPriority w:val="0"/>
    <w:pPr>
      <w:spacing w:line="240" w:lineRule="auto"/>
      <w:ind w:firstLine="0" w:firstLineChars="0"/>
      <w:jc w:val="center"/>
    </w:pPr>
    <w:rPr>
      <w:rFonts w:eastAsia="仿宋"/>
      <w:sz w:val="21"/>
    </w:rPr>
  </w:style>
  <w:style w:type="paragraph" w:customStyle="1" w:styleId="147">
    <w:name w:val="表格字"/>
    <w:basedOn w:val="35"/>
    <w:autoRedefine/>
    <w:qFormat/>
    <w:uiPriority w:val="0"/>
    <w:pPr>
      <w:ind w:left="0" w:firstLine="0" w:firstLineChars="0"/>
      <w:jc w:val="center"/>
    </w:pPr>
  </w:style>
  <w:style w:type="paragraph" w:customStyle="1" w:styleId="148">
    <w:name w:val=".表1-1-1内容"/>
    <w:basedOn w:val="1"/>
    <w:autoRedefine/>
    <w:qFormat/>
    <w:uiPriority w:val="0"/>
    <w:pPr>
      <w:spacing w:line="300" w:lineRule="exact"/>
      <w:jc w:val="center"/>
    </w:pPr>
    <w:rPr>
      <w:kern w:val="0"/>
      <w:szCs w:val="21"/>
    </w:rPr>
  </w:style>
  <w:style w:type="character" w:customStyle="1" w:styleId="149">
    <w:name w:val="页码1"/>
    <w:autoRedefine/>
    <w:qFormat/>
    <w:uiPriority w:val="0"/>
    <w:rPr>
      <w:rFonts w:ascii="Times New Roman" w:hAnsi="Times New Roman"/>
      <w:szCs w:val="20"/>
    </w:rPr>
  </w:style>
  <w:style w:type="character" w:customStyle="1" w:styleId="150">
    <w:name w:val="正文111 Char Char"/>
    <w:link w:val="151"/>
    <w:autoRedefine/>
    <w:qFormat/>
    <w:uiPriority w:val="0"/>
    <w:rPr>
      <w:rFonts w:ascii="Times New Roman" w:hAnsi="Times New Roman" w:eastAsia="黑体"/>
      <w:spacing w:val="6"/>
      <w:sz w:val="24"/>
      <w:szCs w:val="24"/>
    </w:rPr>
  </w:style>
  <w:style w:type="paragraph" w:customStyle="1" w:styleId="151">
    <w:name w:val="正文111"/>
    <w:basedOn w:val="1"/>
    <w:link w:val="150"/>
    <w:autoRedefine/>
    <w:qFormat/>
    <w:uiPriority w:val="0"/>
    <w:pPr>
      <w:adjustRightInd/>
      <w:snapToGrid/>
      <w:spacing w:line="500" w:lineRule="exact"/>
      <w:ind w:firstLine="0" w:firstLineChars="0"/>
      <w:jc w:val="center"/>
    </w:pPr>
    <w:rPr>
      <w:rFonts w:eastAsia="黑体"/>
      <w:spacing w:val="6"/>
      <w:szCs w:val="24"/>
    </w:rPr>
  </w:style>
  <w:style w:type="character" w:customStyle="1" w:styleId="152">
    <w:name w:val="标题 5 Char1"/>
    <w:autoRedefine/>
    <w:qFormat/>
    <w:uiPriority w:val="0"/>
    <w:rPr>
      <w:b/>
      <w:bCs/>
      <w:kern w:val="2"/>
      <w:sz w:val="28"/>
      <w:szCs w:val="28"/>
    </w:rPr>
  </w:style>
  <w:style w:type="character" w:customStyle="1" w:styleId="153">
    <w:name w:val="标题 8 Char1"/>
    <w:autoRedefine/>
    <w:qFormat/>
    <w:uiPriority w:val="0"/>
    <w:rPr>
      <w:rFonts w:ascii="Cambria" w:hAnsi="Cambria" w:eastAsia="宋体" w:cs="Times New Roman"/>
      <w:kern w:val="2"/>
      <w:sz w:val="24"/>
      <w:szCs w:val="24"/>
    </w:rPr>
  </w:style>
  <w:style w:type="character" w:customStyle="1" w:styleId="154">
    <w:name w:val="表 Char Char"/>
    <w:autoRedefine/>
    <w:qFormat/>
    <w:uiPriority w:val="0"/>
    <w:rPr>
      <w:rFonts w:eastAsia="宋体"/>
      <w:kern w:val="2"/>
      <w:sz w:val="21"/>
      <w:lang w:val="en-US" w:eastAsia="zh-CN"/>
    </w:rPr>
  </w:style>
  <w:style w:type="character" w:customStyle="1" w:styleId="155">
    <w:name w:val="标题 4 Char Char"/>
    <w:autoRedefine/>
    <w:qFormat/>
    <w:uiPriority w:val="0"/>
    <w:rPr>
      <w:rFonts w:ascii="Cambria" w:hAnsi="Cambria" w:eastAsia="宋体" w:cs="Times New Roman"/>
      <w:b/>
      <w:bCs/>
      <w:kern w:val="2"/>
      <w:sz w:val="28"/>
      <w:szCs w:val="28"/>
    </w:rPr>
  </w:style>
  <w:style w:type="character" w:customStyle="1" w:styleId="156">
    <w:name w:val="正文文本 字符"/>
    <w:autoRedefine/>
    <w:qFormat/>
    <w:uiPriority w:val="0"/>
    <w:rPr>
      <w:kern w:val="2"/>
      <w:sz w:val="21"/>
      <w:szCs w:val="22"/>
    </w:rPr>
  </w:style>
  <w:style w:type="character" w:customStyle="1" w:styleId="157">
    <w:name w:val="页脚 字符1"/>
    <w:autoRedefine/>
    <w:qFormat/>
    <w:uiPriority w:val="99"/>
    <w:rPr>
      <w:sz w:val="18"/>
      <w:szCs w:val="18"/>
    </w:rPr>
  </w:style>
  <w:style w:type="character" w:customStyle="1" w:styleId="158">
    <w:name w:val="正文缩进 Char Char"/>
    <w:autoRedefine/>
    <w:qFormat/>
    <w:uiPriority w:val="0"/>
    <w:rPr>
      <w:rFonts w:ascii="Times New Roman" w:hAnsi="Times New Roman"/>
      <w:kern w:val="2"/>
      <w:sz w:val="21"/>
    </w:rPr>
  </w:style>
  <w:style w:type="character" w:customStyle="1" w:styleId="159">
    <w:name w:val="不明显强调1"/>
    <w:autoRedefine/>
    <w:qFormat/>
    <w:uiPriority w:val="19"/>
    <w:rPr>
      <w:rFonts w:ascii="Times New Roman" w:hAnsi="Times New Roman"/>
      <w:i/>
      <w:iCs/>
      <w:color w:val="808080"/>
      <w:szCs w:val="20"/>
    </w:rPr>
  </w:style>
  <w:style w:type="character" w:customStyle="1" w:styleId="160">
    <w:name w:val="标题 5 Char Char"/>
    <w:autoRedefine/>
    <w:qFormat/>
    <w:uiPriority w:val="0"/>
    <w:rPr>
      <w:rFonts w:ascii="Times New Roman" w:hAnsi="Times New Roman"/>
      <w:b/>
      <w:kern w:val="2"/>
      <w:sz w:val="28"/>
    </w:rPr>
  </w:style>
  <w:style w:type="character" w:customStyle="1" w:styleId="161">
    <w:name w:val="常用标题 4 Char1"/>
    <w:autoRedefine/>
    <w:qFormat/>
    <w:uiPriority w:val="0"/>
    <w:rPr>
      <w:rFonts w:ascii="Cambria" w:hAnsi="Cambria" w:eastAsia="宋体" w:cs="Times New Roman"/>
      <w:b/>
      <w:bCs/>
      <w:kern w:val="2"/>
      <w:sz w:val="28"/>
      <w:szCs w:val="28"/>
    </w:rPr>
  </w:style>
  <w:style w:type="character" w:customStyle="1" w:styleId="162">
    <w:name w:val="正文缩进 字符"/>
    <w:link w:val="8"/>
    <w:autoRedefine/>
    <w:qFormat/>
    <w:uiPriority w:val="0"/>
    <w:rPr>
      <w:rFonts w:ascii="Times New Roman" w:hAnsi="Times New Roman"/>
    </w:rPr>
  </w:style>
  <w:style w:type="character" w:customStyle="1" w:styleId="163">
    <w:name w:val="正文文本缩进 3 字符"/>
    <w:link w:val="37"/>
    <w:autoRedefine/>
    <w:qFormat/>
    <w:uiPriority w:val="0"/>
    <w:rPr>
      <w:rFonts w:ascii="宋体" w:hAnsi="宋体"/>
      <w:sz w:val="24"/>
    </w:rPr>
  </w:style>
  <w:style w:type="character" w:customStyle="1" w:styleId="164">
    <w:name w:val="正文文本 Char1"/>
    <w:autoRedefine/>
    <w:qFormat/>
    <w:uiPriority w:val="0"/>
    <w:rPr>
      <w:kern w:val="2"/>
      <w:sz w:val="21"/>
    </w:rPr>
  </w:style>
  <w:style w:type="character" w:customStyle="1" w:styleId="165">
    <w:name w:val="Char Char3"/>
    <w:autoRedefine/>
    <w:qFormat/>
    <w:uiPriority w:val="0"/>
    <w:rPr>
      <w:rFonts w:hint="default" w:ascii="Arial" w:hAnsi="Arial" w:eastAsia="黑体" w:cs="Arial"/>
      <w:b/>
      <w:kern w:val="2"/>
      <w:sz w:val="32"/>
      <w:lang w:val="en-US" w:eastAsia="zh-CN"/>
    </w:rPr>
  </w:style>
  <w:style w:type="character" w:customStyle="1" w:styleId="166">
    <w:name w:val="Char Char2"/>
    <w:autoRedefine/>
    <w:qFormat/>
    <w:uiPriority w:val="0"/>
    <w:rPr>
      <w:rFonts w:hint="eastAsia" w:ascii="宋体" w:hAnsi="宋体" w:eastAsia="宋体"/>
      <w:b/>
      <w:kern w:val="2"/>
      <w:sz w:val="32"/>
      <w:lang w:val="en-US" w:eastAsia="zh-CN"/>
    </w:rPr>
  </w:style>
  <w:style w:type="character" w:customStyle="1" w:styleId="167">
    <w:name w:val="三级标题道路 Char"/>
    <w:link w:val="168"/>
    <w:autoRedefine/>
    <w:qFormat/>
    <w:uiPriority w:val="0"/>
    <w:rPr>
      <w:rFonts w:ascii="黑体" w:hAnsi="黑体" w:eastAsia="黑体" w:cs="黑体"/>
      <w:color w:val="000000"/>
      <w:sz w:val="24"/>
    </w:rPr>
  </w:style>
  <w:style w:type="paragraph" w:customStyle="1" w:styleId="168">
    <w:name w:val="三级标题道路"/>
    <w:basedOn w:val="5"/>
    <w:link w:val="167"/>
    <w:autoRedefine/>
    <w:qFormat/>
    <w:uiPriority w:val="0"/>
    <w:pPr>
      <w:keepNext w:val="0"/>
      <w:keepLines w:val="0"/>
      <w:tabs>
        <w:tab w:val="left" w:pos="547"/>
      </w:tabs>
      <w:jc w:val="both"/>
    </w:pPr>
    <w:rPr>
      <w:rFonts w:ascii="黑体" w:hAnsi="黑体" w:cs="黑体"/>
      <w:b/>
      <w:bCs w:val="0"/>
      <w:color w:val="000000"/>
      <w:szCs w:val="22"/>
    </w:rPr>
  </w:style>
  <w:style w:type="character" w:customStyle="1" w:styleId="169">
    <w:name w:val="表格内容 Char Char"/>
    <w:autoRedefine/>
    <w:qFormat/>
    <w:uiPriority w:val="0"/>
    <w:rPr>
      <w:rFonts w:ascii="黑体" w:hAnsi="宋体" w:eastAsia="黑体"/>
      <w:w w:val="90"/>
      <w:sz w:val="24"/>
      <w:lang w:val="en-US" w:eastAsia="zh-CN"/>
    </w:rPr>
  </w:style>
  <w:style w:type="character" w:customStyle="1" w:styleId="170">
    <w:name w:val="三级标题 Char"/>
    <w:link w:val="171"/>
    <w:autoRedefine/>
    <w:qFormat/>
    <w:uiPriority w:val="0"/>
    <w:rPr>
      <w:rFonts w:eastAsia="黑体" w:cs="黑体"/>
      <w:iCs/>
      <w:color w:val="000000"/>
      <w:sz w:val="24"/>
    </w:rPr>
  </w:style>
  <w:style w:type="paragraph" w:customStyle="1" w:styleId="171">
    <w:name w:val="三级标题"/>
    <w:basedOn w:val="5"/>
    <w:link w:val="170"/>
    <w:autoRedefine/>
    <w:qFormat/>
    <w:uiPriority w:val="0"/>
    <w:pPr>
      <w:keepNext w:val="0"/>
      <w:keepLines w:val="0"/>
      <w:tabs>
        <w:tab w:val="left" w:pos="547"/>
      </w:tabs>
      <w:jc w:val="both"/>
    </w:pPr>
    <w:rPr>
      <w:rFonts w:ascii="Calibri" w:hAnsi="Calibri" w:cs="黑体"/>
      <w:b/>
      <w:bCs w:val="0"/>
      <w:iCs/>
      <w:color w:val="000000"/>
      <w:szCs w:val="22"/>
    </w:rPr>
  </w:style>
  <w:style w:type="character" w:customStyle="1" w:styleId="172">
    <w:name w:val="节标题 1.1 Char1"/>
    <w:autoRedefine/>
    <w:qFormat/>
    <w:uiPriority w:val="0"/>
    <w:rPr>
      <w:rFonts w:ascii="Cambria" w:hAnsi="Cambria" w:eastAsia="宋体" w:cs="Times New Roman"/>
      <w:b/>
      <w:bCs/>
      <w:kern w:val="2"/>
      <w:sz w:val="32"/>
      <w:szCs w:val="32"/>
    </w:rPr>
  </w:style>
  <w:style w:type="character" w:customStyle="1" w:styleId="173">
    <w:name w:val="正文文本 3 Char1"/>
    <w:autoRedefine/>
    <w:qFormat/>
    <w:uiPriority w:val="0"/>
    <w:rPr>
      <w:kern w:val="2"/>
      <w:sz w:val="16"/>
      <w:szCs w:val="16"/>
    </w:rPr>
  </w:style>
  <w:style w:type="character" w:customStyle="1" w:styleId="174">
    <w:name w:val="题注 字符"/>
    <w:link w:val="14"/>
    <w:autoRedefine/>
    <w:qFormat/>
    <w:uiPriority w:val="0"/>
    <w:rPr>
      <w:rFonts w:ascii="Cambria" w:hAnsi="Cambria" w:eastAsia="黑体" w:cs="Times New Roman"/>
      <w:sz w:val="20"/>
      <w:szCs w:val="20"/>
    </w:rPr>
  </w:style>
  <w:style w:type="character" w:customStyle="1" w:styleId="175">
    <w:name w:val="表头1 Char Char"/>
    <w:link w:val="176"/>
    <w:autoRedefine/>
    <w:qFormat/>
    <w:uiPriority w:val="0"/>
    <w:rPr>
      <w:rFonts w:ascii="Times New Roman" w:hAnsi="Times New Roman" w:eastAsia="黑体"/>
      <w:szCs w:val="28"/>
    </w:rPr>
  </w:style>
  <w:style w:type="paragraph" w:customStyle="1" w:styleId="176">
    <w:name w:val="表头1"/>
    <w:basedOn w:val="1"/>
    <w:link w:val="175"/>
    <w:autoRedefine/>
    <w:qFormat/>
    <w:uiPriority w:val="0"/>
    <w:pPr>
      <w:tabs>
        <w:tab w:val="left" w:pos="605"/>
      </w:tabs>
      <w:spacing w:line="240" w:lineRule="auto"/>
      <w:ind w:firstLine="0" w:firstLineChars="0"/>
      <w:jc w:val="center"/>
    </w:pPr>
    <w:rPr>
      <w:rFonts w:eastAsia="黑体"/>
      <w:sz w:val="21"/>
      <w:szCs w:val="28"/>
    </w:rPr>
  </w:style>
  <w:style w:type="character" w:customStyle="1" w:styleId="177">
    <w:name w:val="纯文本 Char Char Char1"/>
    <w:autoRedefine/>
    <w:qFormat/>
    <w:uiPriority w:val="0"/>
    <w:rPr>
      <w:rFonts w:ascii="宋体" w:hAnsi="Courier New" w:eastAsia="宋体"/>
      <w:kern w:val="2"/>
      <w:sz w:val="21"/>
      <w:lang w:val="en-US" w:eastAsia="zh-CN"/>
    </w:rPr>
  </w:style>
  <w:style w:type="character" w:customStyle="1" w:styleId="178">
    <w:name w:val="标题 3 Char Char Char1"/>
    <w:autoRedefine/>
    <w:qFormat/>
    <w:uiPriority w:val="0"/>
    <w:rPr>
      <w:rFonts w:eastAsia="宋体"/>
      <w:b/>
      <w:sz w:val="28"/>
      <w:lang w:val="en-US" w:eastAsia="zh-CN"/>
    </w:rPr>
  </w:style>
  <w:style w:type="character" w:customStyle="1" w:styleId="179">
    <w:name w:val="正文文本 2 字符"/>
    <w:link w:val="40"/>
    <w:autoRedefine/>
    <w:qFormat/>
    <w:uiPriority w:val="0"/>
    <w:rPr>
      <w:rFonts w:ascii="宋体" w:hAnsi="宋体"/>
      <w:sz w:val="28"/>
    </w:rPr>
  </w:style>
  <w:style w:type="character" w:customStyle="1" w:styleId="180">
    <w:name w:val="表文字 Char Char"/>
    <w:link w:val="181"/>
    <w:autoRedefine/>
    <w:qFormat/>
    <w:uiPriority w:val="0"/>
    <w:rPr>
      <w:rFonts w:ascii="Times New Roman" w:hAnsi="Times New Roman"/>
      <w:sz w:val="24"/>
    </w:rPr>
  </w:style>
  <w:style w:type="paragraph" w:customStyle="1" w:styleId="181">
    <w:name w:val="表文字"/>
    <w:basedOn w:val="1"/>
    <w:link w:val="180"/>
    <w:autoRedefine/>
    <w:qFormat/>
    <w:uiPriority w:val="0"/>
    <w:pPr>
      <w:overflowPunct w:val="0"/>
      <w:autoSpaceDE w:val="0"/>
      <w:autoSpaceDN w:val="0"/>
      <w:snapToGrid/>
      <w:spacing w:line="240" w:lineRule="atLeast"/>
      <w:ind w:firstLine="0" w:firstLineChars="0"/>
      <w:jc w:val="center"/>
      <w:textAlignment w:val="baseline"/>
    </w:pPr>
  </w:style>
  <w:style w:type="character" w:customStyle="1" w:styleId="182">
    <w:name w:val="标题 3 Char Char"/>
    <w:autoRedefine/>
    <w:qFormat/>
    <w:uiPriority w:val="0"/>
    <w:rPr>
      <w:b/>
      <w:bCs/>
      <w:kern w:val="2"/>
      <w:sz w:val="32"/>
      <w:szCs w:val="32"/>
    </w:rPr>
  </w:style>
  <w:style w:type="character" w:customStyle="1" w:styleId="183">
    <w:name w:val="表头 道路 Char"/>
    <w:link w:val="184"/>
    <w:autoRedefine/>
    <w:qFormat/>
    <w:uiPriority w:val="0"/>
    <w:rPr>
      <w:rFonts w:ascii="黑体" w:hAnsi="黑体" w:eastAsia="黑体" w:cs="黑体"/>
      <w:color w:val="000000"/>
      <w:sz w:val="24"/>
      <w:szCs w:val="20"/>
    </w:rPr>
  </w:style>
  <w:style w:type="paragraph" w:customStyle="1" w:styleId="184">
    <w:name w:val="表头 道路"/>
    <w:basedOn w:val="1"/>
    <w:link w:val="183"/>
    <w:autoRedefine/>
    <w:qFormat/>
    <w:uiPriority w:val="0"/>
    <w:pPr>
      <w:adjustRightInd/>
      <w:snapToGrid/>
      <w:spacing w:line="500" w:lineRule="exact"/>
      <w:jc w:val="center"/>
    </w:pPr>
    <w:rPr>
      <w:rFonts w:ascii="黑体" w:hAnsi="黑体" w:eastAsia="黑体" w:cs="黑体"/>
      <w:color w:val="000000"/>
      <w:szCs w:val="20"/>
    </w:rPr>
  </w:style>
  <w:style w:type="character" w:customStyle="1" w:styleId="185">
    <w:name w:val="正文首行缩进 Char1"/>
    <w:autoRedefine/>
    <w:qFormat/>
    <w:uiPriority w:val="0"/>
  </w:style>
  <w:style w:type="character" w:customStyle="1" w:styleId="186">
    <w:name w:val="二级标题 Char"/>
    <w:link w:val="187"/>
    <w:autoRedefine/>
    <w:qFormat/>
    <w:uiPriority w:val="0"/>
    <w:rPr>
      <w:rFonts w:ascii="Arial" w:hAnsi="Arial" w:eastAsia="黑体" w:cs="黑体"/>
      <w:color w:val="000000"/>
      <w:sz w:val="28"/>
    </w:rPr>
  </w:style>
  <w:style w:type="paragraph" w:customStyle="1" w:styleId="187">
    <w:name w:val="二级标题"/>
    <w:basedOn w:val="4"/>
    <w:link w:val="186"/>
    <w:autoRedefine/>
    <w:qFormat/>
    <w:uiPriority w:val="0"/>
    <w:pPr>
      <w:adjustRightInd/>
      <w:snapToGrid/>
      <w:spacing w:before="120" w:beforeLines="50" w:after="120" w:afterLines="50"/>
      <w:jc w:val="both"/>
    </w:pPr>
    <w:rPr>
      <w:rFonts w:ascii="Arial" w:hAnsi="Arial" w:cs="黑体"/>
      <w:bCs w:val="0"/>
      <w:color w:val="000000"/>
      <w:szCs w:val="22"/>
    </w:rPr>
  </w:style>
  <w:style w:type="character" w:customStyle="1" w:styleId="188">
    <w:name w:val="普通文字 Char Char Char Char"/>
    <w:autoRedefine/>
    <w:qFormat/>
    <w:uiPriority w:val="0"/>
    <w:rPr>
      <w:rFonts w:ascii="宋体" w:hAnsi="Courier New" w:eastAsia="宋体"/>
      <w:kern w:val="2"/>
      <w:sz w:val="21"/>
      <w:lang w:val="en-US" w:eastAsia="zh-CN"/>
    </w:rPr>
  </w:style>
  <w:style w:type="character" w:customStyle="1" w:styleId="189">
    <w:name w:val="批注框文本 Char1"/>
    <w:autoRedefine/>
    <w:qFormat/>
    <w:uiPriority w:val="0"/>
    <w:rPr>
      <w:kern w:val="2"/>
      <w:sz w:val="18"/>
      <w:szCs w:val="18"/>
    </w:rPr>
  </w:style>
  <w:style w:type="character" w:customStyle="1" w:styleId="190">
    <w:name w:val="纯文本 字符"/>
    <w:link w:val="27"/>
    <w:autoRedefine/>
    <w:qFormat/>
    <w:uiPriority w:val="99"/>
    <w:rPr>
      <w:rFonts w:ascii="宋体" w:hAnsi="Courier New"/>
    </w:rPr>
  </w:style>
  <w:style w:type="character" w:customStyle="1" w:styleId="191">
    <w:name w:val="正文文本首行缩进 字符1"/>
    <w:link w:val="22"/>
    <w:autoRedefine/>
    <w:qFormat/>
    <w:uiPriority w:val="0"/>
    <w:rPr>
      <w:rFonts w:ascii="Times New Roman" w:hAnsi="Times New Roman"/>
    </w:rPr>
  </w:style>
  <w:style w:type="character" w:customStyle="1" w:styleId="192">
    <w:name w:val="标题 9 Char1"/>
    <w:autoRedefine/>
    <w:qFormat/>
    <w:uiPriority w:val="0"/>
    <w:rPr>
      <w:rFonts w:ascii="Cambria" w:hAnsi="Cambria" w:eastAsia="宋体" w:cs="Times New Roman"/>
      <w:kern w:val="2"/>
      <w:sz w:val="21"/>
      <w:szCs w:val="21"/>
    </w:rPr>
  </w:style>
  <w:style w:type="character" w:customStyle="1" w:styleId="193">
    <w:name w:val="日期 字符"/>
    <w:link w:val="29"/>
    <w:autoRedefine/>
    <w:qFormat/>
    <w:uiPriority w:val="0"/>
    <w:rPr>
      <w:rFonts w:ascii="Times New Roman" w:hAnsi="Times New Roman"/>
      <w:sz w:val="28"/>
    </w:rPr>
  </w:style>
  <w:style w:type="character" w:customStyle="1" w:styleId="194">
    <w:name w:val="表格标题采用 Char Char"/>
    <w:autoRedefine/>
    <w:qFormat/>
    <w:uiPriority w:val="0"/>
    <w:rPr>
      <w:rFonts w:ascii="黑体" w:hAnsi="宋体" w:eastAsia="黑体"/>
      <w:kern w:val="2"/>
      <w:sz w:val="24"/>
      <w:lang w:val="en-US" w:eastAsia="zh-CN"/>
    </w:rPr>
  </w:style>
  <w:style w:type="character" w:customStyle="1" w:styleId="195">
    <w:name w:val="文档结构图 字符"/>
    <w:link w:val="15"/>
    <w:autoRedefine/>
    <w:qFormat/>
    <w:uiPriority w:val="0"/>
    <w:rPr>
      <w:rFonts w:ascii="Times New Roman" w:hAnsi="Times New Roman"/>
      <w:shd w:val="clear" w:color="auto" w:fill="000080"/>
    </w:rPr>
  </w:style>
  <w:style w:type="character" w:customStyle="1" w:styleId="196">
    <w:name w:val="表头 Char Char Char"/>
    <w:link w:val="197"/>
    <w:autoRedefine/>
    <w:qFormat/>
    <w:uiPriority w:val="0"/>
    <w:rPr>
      <w:rFonts w:eastAsia="宋体"/>
      <w:sz w:val="28"/>
    </w:rPr>
  </w:style>
  <w:style w:type="paragraph" w:customStyle="1" w:styleId="197">
    <w:name w:val="表头2"/>
    <w:basedOn w:val="1"/>
    <w:link w:val="196"/>
    <w:autoRedefine/>
    <w:qFormat/>
    <w:uiPriority w:val="0"/>
    <w:pPr>
      <w:adjustRightInd/>
      <w:snapToGrid/>
      <w:spacing w:before="120" w:line="300" w:lineRule="auto"/>
      <w:ind w:firstLine="540" w:firstLineChars="0"/>
      <w:jc w:val="center"/>
    </w:pPr>
    <w:rPr>
      <w:rFonts w:ascii="Calibri" w:hAnsi="Calibri"/>
      <w:sz w:val="28"/>
    </w:rPr>
  </w:style>
  <w:style w:type="character" w:customStyle="1" w:styleId="198">
    <w:name w:val="正文文本缩进 2 字符"/>
    <w:link w:val="21"/>
    <w:autoRedefine/>
    <w:qFormat/>
    <w:uiPriority w:val="0"/>
    <w:rPr>
      <w:rFonts w:ascii="Times New Roman" w:hAnsi="Times New Roman"/>
      <w:sz w:val="24"/>
    </w:rPr>
  </w:style>
  <w:style w:type="character" w:customStyle="1" w:styleId="199">
    <w:name w:val="正文文本缩进 2 Char Char"/>
    <w:autoRedefine/>
    <w:qFormat/>
    <w:uiPriority w:val="0"/>
    <w:rPr>
      <w:rFonts w:ascii="Times New Roman" w:hAnsi="Times New Roman"/>
      <w:kern w:val="2"/>
      <w:sz w:val="24"/>
    </w:rPr>
  </w:style>
  <w:style w:type="character" w:customStyle="1" w:styleId="200">
    <w:name w:val="标题 8 Char Char"/>
    <w:autoRedefine/>
    <w:qFormat/>
    <w:uiPriority w:val="0"/>
    <w:rPr>
      <w:rFonts w:ascii="Arial" w:hAnsi="Arial" w:eastAsia="黑体"/>
      <w:kern w:val="2"/>
      <w:sz w:val="24"/>
    </w:rPr>
  </w:style>
  <w:style w:type="character" w:customStyle="1" w:styleId="201">
    <w:name w:val="正文（首行缩进两字） Char2"/>
    <w:autoRedefine/>
    <w:qFormat/>
    <w:uiPriority w:val="0"/>
    <w:rPr>
      <w:rFonts w:eastAsia="宋体"/>
      <w:kern w:val="2"/>
      <w:sz w:val="28"/>
    </w:rPr>
  </w:style>
  <w:style w:type="character" w:customStyle="1" w:styleId="202">
    <w:name w:val="图名 Char Char"/>
    <w:autoRedefine/>
    <w:qFormat/>
    <w:uiPriority w:val="0"/>
    <w:rPr>
      <w:rFonts w:eastAsia="黑体"/>
      <w:b/>
      <w:snapToGrid w:val="0"/>
      <w:spacing w:val="12"/>
      <w:sz w:val="24"/>
      <w:lang w:val="en-US" w:eastAsia="zh-CN"/>
    </w:rPr>
  </w:style>
  <w:style w:type="character" w:customStyle="1" w:styleId="203">
    <w:name w:val="font01"/>
    <w:autoRedefine/>
    <w:qFormat/>
    <w:uiPriority w:val="0"/>
    <w:rPr>
      <w:rFonts w:hint="eastAsia" w:ascii="宋体" w:hAnsi="宋体" w:eastAsia="宋体" w:cs="宋体"/>
      <w:b/>
      <w:color w:val="000000"/>
      <w:sz w:val="20"/>
      <w:szCs w:val="20"/>
      <w:u w:val="none"/>
      <w:vertAlign w:val="superscript"/>
    </w:rPr>
  </w:style>
  <w:style w:type="character" w:customStyle="1" w:styleId="204">
    <w:name w:val="正文道路1 Char"/>
    <w:link w:val="205"/>
    <w:autoRedefine/>
    <w:qFormat/>
    <w:uiPriority w:val="0"/>
    <w:rPr>
      <w:rFonts w:ascii="宋体" w:hAnsi="Times New Roman"/>
      <w:color w:val="000000"/>
      <w:sz w:val="24"/>
      <w:szCs w:val="20"/>
    </w:rPr>
  </w:style>
  <w:style w:type="paragraph" w:customStyle="1" w:styleId="205">
    <w:name w:val="正文道路1"/>
    <w:basedOn w:val="1"/>
    <w:link w:val="204"/>
    <w:autoRedefine/>
    <w:qFormat/>
    <w:uiPriority w:val="0"/>
    <w:pPr>
      <w:spacing w:line="500" w:lineRule="exact"/>
    </w:pPr>
    <w:rPr>
      <w:rFonts w:ascii="宋体"/>
      <w:color w:val="000000"/>
      <w:szCs w:val="20"/>
    </w:rPr>
  </w:style>
  <w:style w:type="character" w:customStyle="1" w:styleId="206">
    <w:name w:val="headline-content2"/>
    <w:autoRedefine/>
    <w:qFormat/>
    <w:uiPriority w:val="0"/>
  </w:style>
  <w:style w:type="character" w:customStyle="1" w:styleId="207">
    <w:name w:val="文档结构图 Char1"/>
    <w:autoRedefine/>
    <w:qFormat/>
    <w:uiPriority w:val="0"/>
    <w:rPr>
      <w:rFonts w:ascii="宋体"/>
      <w:kern w:val="2"/>
      <w:sz w:val="18"/>
      <w:szCs w:val="18"/>
    </w:rPr>
  </w:style>
  <w:style w:type="character" w:customStyle="1" w:styleId="208">
    <w:name w:val="正文文本缩进 Char1"/>
    <w:autoRedefine/>
    <w:qFormat/>
    <w:uiPriority w:val="0"/>
    <w:rPr>
      <w:kern w:val="2"/>
      <w:sz w:val="21"/>
    </w:rPr>
  </w:style>
  <w:style w:type="character" w:customStyle="1" w:styleId="209">
    <w:name w:val="【表头】 Char"/>
    <w:link w:val="210"/>
    <w:autoRedefine/>
    <w:qFormat/>
    <w:uiPriority w:val="0"/>
    <w:rPr>
      <w:rFonts w:ascii="Times New Roman" w:hAnsi="Times New Roman" w:eastAsia="黑体"/>
      <w:kern w:val="2"/>
      <w:sz w:val="24"/>
      <w:szCs w:val="22"/>
      <w:lang w:val="zh-CN" w:eastAsia="zh-CN"/>
    </w:rPr>
  </w:style>
  <w:style w:type="paragraph" w:customStyle="1" w:styleId="210">
    <w:name w:val="【表头】"/>
    <w:basedOn w:val="1"/>
    <w:link w:val="209"/>
    <w:autoRedefine/>
    <w:qFormat/>
    <w:uiPriority w:val="0"/>
    <w:pPr>
      <w:spacing w:line="500" w:lineRule="exact"/>
      <w:ind w:firstLine="0" w:firstLineChars="0"/>
      <w:jc w:val="center"/>
    </w:pPr>
    <w:rPr>
      <w:rFonts w:eastAsia="黑体"/>
      <w:lang w:val="zh-CN"/>
    </w:rPr>
  </w:style>
  <w:style w:type="character" w:customStyle="1" w:styleId="211">
    <w:name w:val="正文zoe Char Char"/>
    <w:autoRedefine/>
    <w:qFormat/>
    <w:uiPriority w:val="0"/>
    <w:rPr>
      <w:rFonts w:ascii="宋体" w:hAnsi="宋体" w:eastAsia="宋体"/>
      <w:sz w:val="24"/>
      <w:lang w:val="en-US" w:eastAsia="zh-CN"/>
    </w:rPr>
  </w:style>
  <w:style w:type="character" w:customStyle="1" w:styleId="212">
    <w:name w:val="font21"/>
    <w:autoRedefine/>
    <w:qFormat/>
    <w:uiPriority w:val="0"/>
    <w:rPr>
      <w:rFonts w:hint="eastAsia" w:ascii="宋体" w:hAnsi="宋体" w:eastAsia="宋体" w:cs="宋体"/>
      <w:b/>
      <w:color w:val="000000"/>
      <w:sz w:val="20"/>
      <w:szCs w:val="20"/>
      <w:u w:val="none"/>
    </w:rPr>
  </w:style>
  <w:style w:type="character" w:customStyle="1" w:styleId="213">
    <w:name w:val="正文文本缩进 2 字符1"/>
    <w:autoRedefine/>
    <w:semiHidden/>
    <w:qFormat/>
    <w:uiPriority w:val="99"/>
    <w:rPr>
      <w:rFonts w:ascii="Times New Roman" w:hAnsi="Times New Roman" w:eastAsia="宋体"/>
      <w:sz w:val="24"/>
    </w:rPr>
  </w:style>
  <w:style w:type="character" w:customStyle="1" w:styleId="214">
    <w:name w:val="批注文字 字符"/>
    <w:link w:val="16"/>
    <w:autoRedefine/>
    <w:qFormat/>
    <w:uiPriority w:val="99"/>
    <w:rPr>
      <w:rFonts w:ascii="Times New Roman" w:hAnsi="Times New Roman" w:eastAsia="宋体"/>
      <w:sz w:val="24"/>
    </w:rPr>
  </w:style>
  <w:style w:type="character" w:customStyle="1" w:styleId="215">
    <w:name w:val="批注主题 字符"/>
    <w:link w:val="46"/>
    <w:autoRedefine/>
    <w:qFormat/>
    <w:uiPriority w:val="0"/>
    <w:rPr>
      <w:rFonts w:ascii="宋体" w:hAnsi="Times New Roman" w:eastAsia="宋体" w:cs="Times New Roman"/>
      <w:b/>
      <w:bCs/>
      <w:kern w:val="0"/>
      <w:sz w:val="20"/>
      <w:szCs w:val="20"/>
    </w:rPr>
  </w:style>
  <w:style w:type="character" w:customStyle="1" w:styleId="216">
    <w:name w:val="纯文本 字符1"/>
    <w:autoRedefine/>
    <w:semiHidden/>
    <w:qFormat/>
    <w:uiPriority w:val="0"/>
    <w:rPr>
      <w:rFonts w:ascii="宋体" w:hAnsi="Courier New" w:cs="Courier New"/>
      <w:sz w:val="24"/>
    </w:rPr>
  </w:style>
  <w:style w:type="character" w:customStyle="1" w:styleId="217">
    <w:name w:val="文档结构图 字符1"/>
    <w:autoRedefine/>
    <w:semiHidden/>
    <w:qFormat/>
    <w:uiPriority w:val="99"/>
    <w:rPr>
      <w:rFonts w:ascii="Microsoft YaHei UI" w:hAnsi="Times New Roman" w:eastAsia="Microsoft YaHei UI"/>
      <w:sz w:val="18"/>
      <w:szCs w:val="18"/>
    </w:rPr>
  </w:style>
  <w:style w:type="character" w:customStyle="1" w:styleId="218">
    <w:name w:val="HTML 预设格式 字符1"/>
    <w:autoRedefine/>
    <w:semiHidden/>
    <w:qFormat/>
    <w:uiPriority w:val="99"/>
    <w:rPr>
      <w:rFonts w:ascii="Courier New" w:hAnsi="Courier New" w:eastAsia="宋体" w:cs="Courier New"/>
      <w:sz w:val="20"/>
      <w:szCs w:val="20"/>
    </w:rPr>
  </w:style>
  <w:style w:type="character" w:customStyle="1" w:styleId="219">
    <w:name w:val="正文文本 2 字符1"/>
    <w:autoRedefine/>
    <w:semiHidden/>
    <w:qFormat/>
    <w:uiPriority w:val="99"/>
    <w:rPr>
      <w:rFonts w:ascii="Times New Roman" w:hAnsi="Times New Roman" w:eastAsia="宋体"/>
      <w:sz w:val="24"/>
    </w:rPr>
  </w:style>
  <w:style w:type="character" w:customStyle="1" w:styleId="220">
    <w:name w:val="正文文本缩进 字符1"/>
    <w:autoRedefine/>
    <w:semiHidden/>
    <w:qFormat/>
    <w:uiPriority w:val="99"/>
    <w:rPr>
      <w:rFonts w:ascii="Times New Roman" w:hAnsi="Times New Roman" w:eastAsia="宋体"/>
      <w:sz w:val="24"/>
    </w:rPr>
  </w:style>
  <w:style w:type="character" w:customStyle="1" w:styleId="221">
    <w:name w:val="正文文本 字符1"/>
    <w:link w:val="19"/>
    <w:autoRedefine/>
    <w:qFormat/>
    <w:uiPriority w:val="99"/>
    <w:rPr>
      <w:rFonts w:ascii="Times New Roman" w:hAnsi="Times New Roman" w:eastAsia="宋体"/>
      <w:sz w:val="24"/>
    </w:rPr>
  </w:style>
  <w:style w:type="character" w:customStyle="1" w:styleId="222">
    <w:name w:val="正文首行缩进 字符1"/>
    <w:autoRedefine/>
    <w:semiHidden/>
    <w:qFormat/>
    <w:uiPriority w:val="99"/>
    <w:rPr>
      <w:rFonts w:ascii="Times New Roman" w:hAnsi="Times New Roman" w:eastAsia="宋体"/>
      <w:sz w:val="24"/>
    </w:rPr>
  </w:style>
  <w:style w:type="character" w:customStyle="1" w:styleId="223">
    <w:name w:val="正文文本缩进 3 字符1"/>
    <w:autoRedefine/>
    <w:semiHidden/>
    <w:qFormat/>
    <w:uiPriority w:val="99"/>
    <w:rPr>
      <w:rFonts w:ascii="Times New Roman" w:hAnsi="Times New Roman" w:eastAsia="宋体"/>
      <w:sz w:val="16"/>
      <w:szCs w:val="16"/>
    </w:rPr>
  </w:style>
  <w:style w:type="character" w:customStyle="1" w:styleId="224">
    <w:name w:val="正文文本 3 字符1"/>
    <w:autoRedefine/>
    <w:semiHidden/>
    <w:qFormat/>
    <w:uiPriority w:val="99"/>
    <w:rPr>
      <w:rFonts w:ascii="Times New Roman" w:hAnsi="Times New Roman" w:eastAsia="宋体"/>
      <w:sz w:val="16"/>
      <w:szCs w:val="16"/>
    </w:rPr>
  </w:style>
  <w:style w:type="character" w:customStyle="1" w:styleId="225">
    <w:name w:val="批注框文本 字符1"/>
    <w:autoRedefine/>
    <w:semiHidden/>
    <w:qFormat/>
    <w:uiPriority w:val="99"/>
    <w:rPr>
      <w:rFonts w:ascii="Times New Roman" w:hAnsi="Times New Roman" w:eastAsia="宋体"/>
      <w:sz w:val="18"/>
      <w:szCs w:val="18"/>
    </w:rPr>
  </w:style>
  <w:style w:type="character" w:customStyle="1" w:styleId="226">
    <w:name w:val="日期 字符1"/>
    <w:autoRedefine/>
    <w:semiHidden/>
    <w:qFormat/>
    <w:uiPriority w:val="99"/>
    <w:rPr>
      <w:rFonts w:ascii="Times New Roman" w:hAnsi="Times New Roman" w:eastAsia="宋体"/>
      <w:sz w:val="24"/>
    </w:rPr>
  </w:style>
  <w:style w:type="paragraph" w:customStyle="1" w:styleId="227">
    <w:name w:val="Char Char Char Char Char Char Char Char Char Char"/>
    <w:basedOn w:val="1"/>
    <w:autoRedefine/>
    <w:qFormat/>
    <w:uiPriority w:val="0"/>
    <w:pPr>
      <w:adjustRightInd/>
      <w:snapToGrid/>
      <w:spacing w:line="240" w:lineRule="auto"/>
      <w:ind w:firstLine="0" w:firstLineChars="0"/>
    </w:pPr>
    <w:rPr>
      <w:kern w:val="0"/>
      <w:szCs w:val="20"/>
    </w:rPr>
  </w:style>
  <w:style w:type="paragraph" w:customStyle="1" w:styleId="228">
    <w:name w:val="表头文字"/>
    <w:basedOn w:val="1"/>
    <w:autoRedefine/>
    <w:qFormat/>
    <w:uiPriority w:val="0"/>
    <w:pPr>
      <w:snapToGrid/>
      <w:ind w:firstLine="0" w:firstLineChars="0"/>
      <w:jc w:val="center"/>
    </w:pPr>
    <w:rPr>
      <w:kern w:val="0"/>
      <w:sz w:val="28"/>
      <w:szCs w:val="20"/>
    </w:rPr>
  </w:style>
  <w:style w:type="paragraph" w:customStyle="1" w:styleId="229">
    <w:name w:val="表格内容左"/>
    <w:basedOn w:val="230"/>
    <w:autoRedefine/>
    <w:qFormat/>
    <w:uiPriority w:val="0"/>
    <w:pPr>
      <w:jc w:val="right"/>
      <w:outlineLvl w:val="9"/>
    </w:pPr>
    <w:rPr>
      <w:w w:val="100"/>
      <w:sz w:val="18"/>
    </w:rPr>
  </w:style>
  <w:style w:type="paragraph" w:customStyle="1" w:styleId="230">
    <w:name w:val="表格内容"/>
    <w:basedOn w:val="1"/>
    <w:next w:val="1"/>
    <w:autoRedefine/>
    <w:qFormat/>
    <w:uiPriority w:val="0"/>
    <w:pPr>
      <w:adjustRightInd/>
      <w:snapToGrid/>
      <w:ind w:firstLine="0" w:firstLineChars="0"/>
      <w:outlineLvl w:val="0"/>
    </w:pPr>
    <w:rPr>
      <w:rFonts w:ascii="黑体" w:hAnsi="宋体" w:eastAsia="黑体"/>
      <w:w w:val="90"/>
      <w:kern w:val="0"/>
      <w:szCs w:val="20"/>
    </w:rPr>
  </w:style>
  <w:style w:type="paragraph" w:customStyle="1" w:styleId="231">
    <w:name w:val="报告节标题"/>
    <w:basedOn w:val="4"/>
    <w:next w:val="1"/>
    <w:autoRedefine/>
    <w:qFormat/>
    <w:uiPriority w:val="0"/>
    <w:pPr>
      <w:numPr>
        <w:ilvl w:val="1"/>
        <w:numId w:val="1"/>
      </w:numPr>
      <w:snapToGrid/>
      <w:spacing w:before="240" w:after="240" w:line="400" w:lineRule="exact"/>
      <w:jc w:val="center"/>
    </w:pPr>
    <w:rPr>
      <w:b/>
      <w:bCs w:val="0"/>
      <w:szCs w:val="20"/>
      <w:lang w:val="zh-CN"/>
    </w:rPr>
  </w:style>
  <w:style w:type="paragraph" w:customStyle="1" w:styleId="232">
    <w:name w:val="刘昕正文"/>
    <w:basedOn w:val="1"/>
    <w:autoRedefine/>
    <w:qFormat/>
    <w:uiPriority w:val="0"/>
    <w:pPr>
      <w:adjustRightInd/>
      <w:snapToGrid/>
      <w:spacing w:line="500" w:lineRule="exact"/>
      <w:ind w:firstLine="200"/>
    </w:pPr>
    <w:rPr>
      <w:kern w:val="0"/>
      <w:szCs w:val="20"/>
    </w:rPr>
  </w:style>
  <w:style w:type="paragraph" w:customStyle="1" w:styleId="233">
    <w:name w:val="表苡"/>
    <w:basedOn w:val="1"/>
    <w:autoRedefine/>
    <w:qFormat/>
    <w:uiPriority w:val="0"/>
    <w:pPr>
      <w:wordWrap w:val="0"/>
      <w:adjustRightInd/>
      <w:snapToGrid/>
      <w:spacing w:line="240" w:lineRule="exact"/>
      <w:ind w:firstLine="0" w:firstLineChars="0"/>
      <w:jc w:val="center"/>
    </w:pPr>
    <w:rPr>
      <w:rFonts w:ascii="宋体" w:hAnsi="宋体"/>
      <w:kern w:val="0"/>
      <w:sz w:val="18"/>
      <w:szCs w:val="21"/>
    </w:rPr>
  </w:style>
  <w:style w:type="paragraph" w:customStyle="1" w:styleId="234">
    <w:name w:val="样式 样式 样式 样式 正文首行缩进 2 Char + 首行缩进:  2 字符 段后: 0.5 行 + 首行缩进:  2 字符 ..."/>
    <w:basedOn w:val="1"/>
    <w:autoRedefine/>
    <w:qFormat/>
    <w:uiPriority w:val="0"/>
    <w:pPr>
      <w:widowControl/>
      <w:adjustRightInd/>
      <w:snapToGrid/>
      <w:spacing w:afterLines="50" w:line="440" w:lineRule="exact"/>
      <w:ind w:firstLine="0" w:firstLineChars="0"/>
    </w:pPr>
    <w:rPr>
      <w:rFonts w:ascii="宋体" w:hAnsi="宋体" w:cs="宋体"/>
      <w:kern w:val="0"/>
      <w:szCs w:val="20"/>
    </w:rPr>
  </w:style>
  <w:style w:type="paragraph" w:customStyle="1" w:styleId="235">
    <w:name w:val="文本条款"/>
    <w:basedOn w:val="1"/>
    <w:next w:val="1"/>
    <w:autoRedefine/>
    <w:qFormat/>
    <w:uiPriority w:val="0"/>
    <w:pPr>
      <w:adjustRightInd/>
      <w:snapToGrid/>
      <w:spacing w:line="480" w:lineRule="exact"/>
      <w:ind w:firstLine="560" w:firstLineChars="0"/>
    </w:pPr>
    <w:rPr>
      <w:rFonts w:ascii="宋体"/>
      <w:kern w:val="0"/>
      <w:sz w:val="28"/>
      <w:szCs w:val="20"/>
    </w:rPr>
  </w:style>
  <w:style w:type="paragraph" w:customStyle="1" w:styleId="236">
    <w:name w:val="图表文字"/>
    <w:autoRedefine/>
    <w:qFormat/>
    <w:uiPriority w:val="0"/>
    <w:pPr>
      <w:jc w:val="center"/>
    </w:pPr>
    <w:rPr>
      <w:rFonts w:ascii="Times New Roman" w:hAnsi="Times New Roman" w:eastAsia="仿宋_GB2312" w:cs="Times New Roman"/>
      <w:kern w:val="2"/>
      <w:sz w:val="21"/>
      <w:lang w:val="en-US" w:eastAsia="zh-CN" w:bidi="ar-SA"/>
    </w:rPr>
  </w:style>
  <w:style w:type="paragraph" w:customStyle="1" w:styleId="237">
    <w:name w:val="Char Char1 Char"/>
    <w:basedOn w:val="1"/>
    <w:next w:val="1"/>
    <w:autoRedefine/>
    <w:qFormat/>
    <w:uiPriority w:val="0"/>
    <w:pPr>
      <w:adjustRightInd/>
      <w:snapToGrid/>
      <w:ind w:firstLine="200"/>
    </w:pPr>
    <w:rPr>
      <w:rFonts w:ascii="宋体" w:hAnsi="宋体"/>
      <w:kern w:val="0"/>
      <w:szCs w:val="20"/>
    </w:rPr>
  </w:style>
  <w:style w:type="paragraph" w:customStyle="1" w:styleId="238">
    <w:name w:val="样式 正文文字 2 + Times New Roman 自动设置 左 行距: 最小值 25 磅"/>
    <w:basedOn w:val="1"/>
    <w:autoRedefine/>
    <w:qFormat/>
    <w:uiPriority w:val="0"/>
    <w:pPr>
      <w:adjustRightInd/>
      <w:snapToGrid/>
      <w:spacing w:line="500" w:lineRule="exact"/>
      <w:ind w:firstLine="200"/>
      <w:jc w:val="left"/>
    </w:pPr>
    <w:rPr>
      <w:kern w:val="0"/>
      <w:sz w:val="28"/>
      <w:szCs w:val="20"/>
    </w:rPr>
  </w:style>
  <w:style w:type="paragraph" w:customStyle="1" w:styleId="239">
    <w:name w:val="报告章标题"/>
    <w:basedOn w:val="3"/>
    <w:next w:val="1"/>
    <w:autoRedefine/>
    <w:qFormat/>
    <w:uiPriority w:val="0"/>
    <w:pPr>
      <w:keepNext/>
      <w:keepLines/>
      <w:numPr>
        <w:ilvl w:val="0"/>
        <w:numId w:val="1"/>
      </w:numPr>
      <w:spacing w:before="360" w:after="360" w:line="400" w:lineRule="exact"/>
      <w:jc w:val="center"/>
    </w:pPr>
    <w:rPr>
      <w:b/>
      <w:kern w:val="44"/>
      <w:szCs w:val="20"/>
      <w:lang w:val="zh-CN"/>
    </w:rPr>
  </w:style>
  <w:style w:type="paragraph" w:customStyle="1" w:styleId="240">
    <w:name w:val="表格1"/>
    <w:basedOn w:val="1"/>
    <w:autoRedefine/>
    <w:qFormat/>
    <w:uiPriority w:val="0"/>
    <w:pPr>
      <w:snapToGrid/>
      <w:spacing w:line="20" w:lineRule="atLeast"/>
      <w:ind w:firstLine="0" w:firstLineChars="0"/>
      <w:jc w:val="center"/>
      <w:textAlignment w:val="center"/>
    </w:pPr>
    <w:rPr>
      <w:rFonts w:ascii="宋体"/>
      <w:kern w:val="0"/>
      <w:szCs w:val="20"/>
    </w:rPr>
  </w:style>
  <w:style w:type="paragraph" w:customStyle="1" w:styleId="241">
    <w:name w:val="样式 首行缩进:  2 字符"/>
    <w:basedOn w:val="1"/>
    <w:autoRedefine/>
    <w:qFormat/>
    <w:uiPriority w:val="0"/>
    <w:pPr>
      <w:widowControl/>
      <w:topLinePunct/>
      <w:autoSpaceDE w:val="0"/>
      <w:autoSpaceDN w:val="0"/>
      <w:snapToGrid/>
      <w:jc w:val="left"/>
    </w:pPr>
    <w:rPr>
      <w:rFonts w:ascii="宋体" w:cs="宋体"/>
      <w:snapToGrid w:val="0"/>
      <w:kern w:val="0"/>
      <w:szCs w:val="20"/>
      <w:lang w:eastAsia="en-US" w:bidi="en-US"/>
    </w:rPr>
  </w:style>
  <w:style w:type="paragraph" w:customStyle="1" w:styleId="242">
    <w:name w:val="Char Char Char Char Char Char Char Char Char Char Char Char"/>
    <w:basedOn w:val="1"/>
    <w:autoRedefine/>
    <w:qFormat/>
    <w:uiPriority w:val="0"/>
    <w:pPr>
      <w:adjustRightInd/>
      <w:snapToGrid/>
      <w:spacing w:line="240" w:lineRule="auto"/>
      <w:ind w:firstLine="0" w:firstLineChars="0"/>
    </w:pPr>
    <w:rPr>
      <w:kern w:val="0"/>
      <w:szCs w:val="20"/>
    </w:rPr>
  </w:style>
  <w:style w:type="paragraph" w:customStyle="1" w:styleId="243">
    <w:name w:val="xl34"/>
    <w:basedOn w:val="1"/>
    <w:autoRedefine/>
    <w:qFormat/>
    <w:uiPriority w:val="0"/>
    <w:pPr>
      <w:widowControl/>
      <w:pBdr>
        <w:top w:val="single" w:color="auto" w:sz="4" w:space="0"/>
        <w:left w:val="single" w:color="auto" w:sz="4" w:space="0"/>
      </w:pBdr>
      <w:adjustRightInd/>
      <w:snapToGrid/>
      <w:spacing w:before="100" w:beforeAutospacing="1" w:after="100" w:afterAutospacing="1" w:line="240" w:lineRule="auto"/>
      <w:ind w:firstLine="0" w:firstLineChars="0"/>
      <w:jc w:val="center"/>
    </w:pPr>
    <w:rPr>
      <w:rFonts w:ascii="宋体" w:hAnsi="宋体"/>
      <w:kern w:val="0"/>
      <w:szCs w:val="20"/>
    </w:rPr>
  </w:style>
  <w:style w:type="paragraph" w:customStyle="1" w:styleId="244">
    <w:name w:val="Char1 Char Char Char Char Char Char"/>
    <w:basedOn w:val="1"/>
    <w:autoRedefine/>
    <w:qFormat/>
    <w:uiPriority w:val="0"/>
    <w:pPr>
      <w:adjustRightInd/>
      <w:ind w:firstLine="200"/>
    </w:pPr>
    <w:rPr>
      <w:rFonts w:eastAsia="仿宋_GB2312"/>
      <w:kern w:val="0"/>
      <w:szCs w:val="20"/>
    </w:rPr>
  </w:style>
  <w:style w:type="paragraph" w:customStyle="1" w:styleId="245">
    <w:name w:val="偶数页脚"/>
    <w:basedOn w:val="31"/>
    <w:autoRedefine/>
    <w:qFormat/>
    <w:uiPriority w:val="0"/>
    <w:pPr>
      <w:adjustRightInd/>
      <w:ind w:firstLine="0" w:firstLineChars="0"/>
      <w:jc w:val="both"/>
    </w:pPr>
    <w:rPr>
      <w:kern w:val="0"/>
      <w:lang w:val="zh-CN"/>
    </w:rPr>
  </w:style>
  <w:style w:type="paragraph" w:customStyle="1" w:styleId="246">
    <w:name w:val="表格内容小"/>
    <w:basedOn w:val="230"/>
    <w:autoRedefine/>
    <w:qFormat/>
    <w:uiPriority w:val="0"/>
    <w:pPr>
      <w:outlineLvl w:val="9"/>
    </w:pPr>
    <w:rPr>
      <w:w w:val="100"/>
      <w:sz w:val="18"/>
    </w:rPr>
  </w:style>
  <w:style w:type="paragraph" w:customStyle="1" w:styleId="247">
    <w:name w:val="页脚1"/>
    <w:basedOn w:val="1"/>
    <w:autoRedefine/>
    <w:qFormat/>
    <w:uiPriority w:val="99"/>
    <w:pPr>
      <w:pBdr>
        <w:top w:val="single" w:color="auto" w:sz="4" w:space="1"/>
      </w:pBdr>
      <w:tabs>
        <w:tab w:val="center" w:pos="4153"/>
        <w:tab w:val="right" w:pos="8306"/>
      </w:tabs>
      <w:adjustRightInd/>
      <w:spacing w:line="240" w:lineRule="atLeast"/>
      <w:ind w:firstLine="0" w:firstLineChars="0"/>
    </w:pPr>
    <w:rPr>
      <w:rFonts w:ascii="Calibri" w:hAnsi="Calibri"/>
      <w:kern w:val="0"/>
      <w:sz w:val="18"/>
      <w:szCs w:val="20"/>
    </w:rPr>
  </w:style>
  <w:style w:type="paragraph" w:customStyle="1" w:styleId="248">
    <w:name w:val="公式"/>
    <w:basedOn w:val="1"/>
    <w:autoRedefine/>
    <w:qFormat/>
    <w:uiPriority w:val="0"/>
    <w:pPr>
      <w:snapToGrid/>
      <w:spacing w:before="60" w:line="394" w:lineRule="atLeast"/>
      <w:ind w:firstLine="0" w:firstLineChars="0"/>
      <w:jc w:val="center"/>
      <w:textAlignment w:val="baseline"/>
    </w:pPr>
    <w:rPr>
      <w:rFonts w:ascii="宋体"/>
      <w:kern w:val="0"/>
      <w:szCs w:val="20"/>
    </w:rPr>
  </w:style>
  <w:style w:type="paragraph" w:customStyle="1" w:styleId="249">
    <w:name w:val="样式3"/>
    <w:basedOn w:val="4"/>
    <w:autoRedefine/>
    <w:qFormat/>
    <w:uiPriority w:val="0"/>
    <w:pPr>
      <w:adjustRightInd/>
      <w:snapToGrid/>
      <w:spacing w:before="156" w:beforeLines="50" w:after="156" w:afterLines="50"/>
      <w:jc w:val="both"/>
      <w:outlineLvl w:val="0"/>
    </w:pPr>
    <w:rPr>
      <w:rFonts w:ascii="黑体" w:hAnsi="宋体"/>
      <w:szCs w:val="28"/>
      <w:lang w:val="zh-CN"/>
    </w:rPr>
  </w:style>
  <w:style w:type="paragraph" w:customStyle="1" w:styleId="250">
    <w:name w:val="表尾"/>
    <w:basedOn w:val="230"/>
    <w:autoRedefine/>
    <w:qFormat/>
    <w:uiPriority w:val="0"/>
    <w:rPr>
      <w:rFonts w:hAnsi="Times New Roman" w:cs="宋体"/>
      <w:color w:val="000000"/>
      <w:szCs w:val="21"/>
    </w:rPr>
  </w:style>
  <w:style w:type="paragraph" w:customStyle="1" w:styleId="251">
    <w:name w:val="_Style 6"/>
    <w:basedOn w:val="1"/>
    <w:autoRedefine/>
    <w:qFormat/>
    <w:uiPriority w:val="0"/>
    <w:pPr>
      <w:adjustRightInd/>
      <w:snapToGrid/>
      <w:spacing w:line="240" w:lineRule="auto"/>
      <w:ind w:firstLine="420"/>
    </w:pPr>
    <w:rPr>
      <w:rFonts w:ascii="宋体"/>
      <w:kern w:val="0"/>
      <w:szCs w:val="20"/>
    </w:rPr>
  </w:style>
  <w:style w:type="paragraph" w:customStyle="1" w:styleId="252">
    <w:name w:val="默认段落字体 Para Char"/>
    <w:basedOn w:val="1"/>
    <w:autoRedefine/>
    <w:qFormat/>
    <w:uiPriority w:val="0"/>
    <w:pPr>
      <w:adjustRightInd/>
      <w:snapToGrid/>
      <w:spacing w:line="240" w:lineRule="auto"/>
      <w:ind w:firstLine="0" w:firstLineChars="0"/>
    </w:pPr>
    <w:rPr>
      <w:kern w:val="0"/>
      <w:szCs w:val="20"/>
    </w:rPr>
  </w:style>
  <w:style w:type="paragraph" w:customStyle="1" w:styleId="253">
    <w:name w:val="报告小节标题"/>
    <w:basedOn w:val="5"/>
    <w:next w:val="1"/>
    <w:autoRedefine/>
    <w:qFormat/>
    <w:uiPriority w:val="0"/>
    <w:pPr>
      <w:numPr>
        <w:ilvl w:val="2"/>
        <w:numId w:val="1"/>
      </w:numPr>
      <w:tabs>
        <w:tab w:val="left" w:pos="645"/>
        <w:tab w:val="clear" w:pos="1680"/>
      </w:tabs>
      <w:spacing w:before="240" w:after="120" w:line="400" w:lineRule="exact"/>
      <w:jc w:val="both"/>
    </w:pPr>
    <w:rPr>
      <w:bCs w:val="0"/>
      <w:szCs w:val="20"/>
      <w:lang w:val="zh-CN"/>
    </w:rPr>
  </w:style>
  <w:style w:type="paragraph" w:customStyle="1" w:styleId="254">
    <w:name w:val="Char Char Char Char Char"/>
    <w:basedOn w:val="1"/>
    <w:autoRedefine/>
    <w:qFormat/>
    <w:uiPriority w:val="0"/>
    <w:pPr>
      <w:tabs>
        <w:tab w:val="left" w:pos="170"/>
      </w:tabs>
      <w:adjustRightInd/>
      <w:snapToGrid/>
      <w:spacing w:line="240" w:lineRule="auto"/>
      <w:ind w:left="170" w:hanging="170" w:firstLineChars="0"/>
    </w:pPr>
    <w:rPr>
      <w:kern w:val="0"/>
      <w:szCs w:val="20"/>
    </w:rPr>
  </w:style>
  <w:style w:type="paragraph" w:customStyle="1" w:styleId="255">
    <w:name w:val="图名A"/>
    <w:basedOn w:val="1"/>
    <w:autoRedefine/>
    <w:qFormat/>
    <w:uiPriority w:val="0"/>
    <w:pPr>
      <w:widowControl/>
      <w:tabs>
        <w:tab w:val="left" w:pos="0"/>
      </w:tabs>
      <w:spacing w:before="62" w:after="249" w:line="240" w:lineRule="auto"/>
      <w:ind w:firstLine="0" w:firstLineChars="0"/>
      <w:jc w:val="center"/>
    </w:pPr>
    <w:rPr>
      <w:b/>
      <w:snapToGrid w:val="0"/>
      <w:kern w:val="0"/>
      <w:szCs w:val="20"/>
    </w:rPr>
  </w:style>
  <w:style w:type="paragraph" w:customStyle="1" w:styleId="256">
    <w:name w:val="表格"/>
    <w:basedOn w:val="1"/>
    <w:next w:val="1"/>
    <w:autoRedefine/>
    <w:qFormat/>
    <w:uiPriority w:val="0"/>
    <w:pPr>
      <w:adjustRightInd/>
      <w:snapToGrid/>
      <w:spacing w:line="480" w:lineRule="exact"/>
      <w:ind w:firstLine="0" w:firstLineChars="0"/>
      <w:jc w:val="center"/>
    </w:pPr>
    <w:rPr>
      <w:rFonts w:ascii="宋体"/>
      <w:snapToGrid w:val="0"/>
      <w:kern w:val="0"/>
      <w:szCs w:val="20"/>
    </w:rPr>
  </w:style>
  <w:style w:type="paragraph" w:customStyle="1" w:styleId="257">
    <w:name w:val="表格 32"/>
    <w:basedOn w:val="1"/>
    <w:autoRedefine/>
    <w:qFormat/>
    <w:uiPriority w:val="0"/>
    <w:pPr>
      <w:autoSpaceDE w:val="0"/>
      <w:autoSpaceDN w:val="0"/>
      <w:spacing w:line="240" w:lineRule="auto"/>
      <w:ind w:firstLine="0" w:firstLineChars="0"/>
      <w:jc w:val="center"/>
      <w:textAlignment w:val="baseline"/>
    </w:pPr>
    <w:rPr>
      <w:kern w:val="0"/>
      <w:szCs w:val="20"/>
    </w:rPr>
  </w:style>
  <w:style w:type="paragraph" w:customStyle="1" w:styleId="258">
    <w:name w:val="表文C"/>
    <w:basedOn w:val="1"/>
    <w:autoRedefine/>
    <w:qFormat/>
    <w:uiPriority w:val="0"/>
    <w:pPr>
      <w:widowControl/>
      <w:tabs>
        <w:tab w:val="left" w:pos="0"/>
      </w:tabs>
      <w:spacing w:line="240" w:lineRule="auto"/>
      <w:ind w:firstLine="0" w:firstLineChars="0"/>
      <w:jc w:val="center"/>
    </w:pPr>
    <w:rPr>
      <w:snapToGrid w:val="0"/>
      <w:kern w:val="0"/>
      <w:szCs w:val="20"/>
    </w:rPr>
  </w:style>
  <w:style w:type="paragraph" w:customStyle="1" w:styleId="259">
    <w:name w:val="p0"/>
    <w:basedOn w:val="1"/>
    <w:autoRedefine/>
    <w:qFormat/>
    <w:uiPriority w:val="0"/>
    <w:pPr>
      <w:widowControl/>
      <w:adjustRightInd/>
      <w:snapToGrid/>
      <w:spacing w:line="240" w:lineRule="auto"/>
      <w:ind w:firstLine="0" w:firstLineChars="0"/>
    </w:pPr>
    <w:rPr>
      <w:kern w:val="0"/>
      <w:sz w:val="21"/>
      <w:szCs w:val="21"/>
    </w:rPr>
  </w:style>
  <w:style w:type="paragraph" w:customStyle="1" w:styleId="260">
    <w:name w:val="xl31"/>
    <w:basedOn w:val="1"/>
    <w:autoRedefine/>
    <w:qFormat/>
    <w:uiPriority w:val="0"/>
    <w:pPr>
      <w:widowControl/>
      <w:adjustRightInd/>
      <w:snapToGrid/>
      <w:spacing w:before="100" w:beforeAutospacing="1" w:after="100" w:afterAutospacing="1" w:line="240" w:lineRule="auto"/>
      <w:ind w:firstLine="0" w:firstLineChars="0"/>
      <w:jc w:val="center"/>
    </w:pPr>
    <w:rPr>
      <w:rFonts w:ascii="Arial Unicode MS" w:hAnsi="Arial Unicode MS" w:eastAsia="Arial Unicode MS"/>
      <w:kern w:val="0"/>
      <w:szCs w:val="20"/>
    </w:rPr>
  </w:style>
  <w:style w:type="paragraph" w:customStyle="1" w:styleId="261">
    <w:name w:val="正文1"/>
    <w:link w:val="380"/>
    <w:autoRedefine/>
    <w:qFormat/>
    <w:uiPriority w:val="99"/>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262">
    <w:name w:val="正文居中"/>
    <w:autoRedefine/>
    <w:qFormat/>
    <w:uiPriority w:val="0"/>
    <w:pPr>
      <w:keepNext/>
      <w:spacing w:before="80" w:after="80" w:line="240" w:lineRule="exact"/>
      <w:jc w:val="center"/>
    </w:pPr>
    <w:rPr>
      <w:rFonts w:ascii="宋体" w:hAnsi="宋体" w:eastAsia="宋体" w:cs="Times New Roman"/>
      <w:sz w:val="21"/>
      <w:szCs w:val="21"/>
      <w:lang w:val="en-US" w:eastAsia="zh-CN" w:bidi="ar-SA"/>
    </w:rPr>
  </w:style>
  <w:style w:type="paragraph" w:customStyle="1" w:styleId="263">
    <w:name w:val="正文zoe"/>
    <w:basedOn w:val="20"/>
    <w:autoRedefine/>
    <w:qFormat/>
    <w:uiPriority w:val="0"/>
    <w:pPr>
      <w:adjustRightInd w:val="0"/>
      <w:spacing w:line="360" w:lineRule="auto"/>
      <w:ind w:firstLine="480" w:firstLineChars="200"/>
      <w:textAlignment w:val="baseline"/>
    </w:pPr>
    <w:rPr>
      <w:kern w:val="0"/>
      <w:sz w:val="24"/>
    </w:rPr>
  </w:style>
  <w:style w:type="paragraph" w:customStyle="1" w:styleId="264">
    <w:name w:val="宋体首行缩进:  2 字符"/>
    <w:basedOn w:val="1"/>
    <w:autoRedefine/>
    <w:qFormat/>
    <w:uiPriority w:val="0"/>
    <w:pPr>
      <w:adjustRightInd/>
      <w:snapToGrid/>
      <w:ind w:firstLine="200"/>
    </w:pPr>
    <w:rPr>
      <w:kern w:val="0"/>
      <w:szCs w:val="20"/>
    </w:rPr>
  </w:style>
  <w:style w:type="paragraph" w:customStyle="1" w:styleId="265">
    <w:name w:val="xl26"/>
    <w:basedOn w:val="1"/>
    <w:autoRedefine/>
    <w:qFormat/>
    <w:uiPriority w:val="0"/>
    <w:pPr>
      <w:widowControl/>
      <w:adjustRightInd/>
      <w:snapToGrid/>
      <w:spacing w:before="100" w:beforeAutospacing="1" w:after="100" w:afterAutospacing="1" w:line="240" w:lineRule="auto"/>
      <w:ind w:firstLine="0" w:firstLineChars="0"/>
      <w:textAlignment w:val="center"/>
    </w:pPr>
    <w:rPr>
      <w:rFonts w:ascii="宋体" w:hAnsi="宋体"/>
      <w:kern w:val="0"/>
      <w:szCs w:val="20"/>
    </w:rPr>
  </w:style>
  <w:style w:type="paragraph" w:customStyle="1" w:styleId="266">
    <w:name w:val="xl24"/>
    <w:basedOn w:val="1"/>
    <w:autoRedefine/>
    <w:qFormat/>
    <w:uiPriority w:val="0"/>
    <w:pPr>
      <w:widowControl/>
      <w:adjustRightInd/>
      <w:snapToGrid/>
      <w:spacing w:before="100" w:beforeAutospacing="1" w:after="100" w:afterAutospacing="1" w:line="240" w:lineRule="auto"/>
      <w:ind w:firstLine="0" w:firstLineChars="0"/>
      <w:jc w:val="center"/>
    </w:pPr>
    <w:rPr>
      <w:rFonts w:ascii="宋体" w:hAnsi="宋体"/>
      <w:kern w:val="0"/>
      <w:szCs w:val="20"/>
    </w:rPr>
  </w:style>
  <w:style w:type="paragraph" w:customStyle="1" w:styleId="267">
    <w:name w:val="样式7"/>
    <w:basedOn w:val="1"/>
    <w:autoRedefine/>
    <w:qFormat/>
    <w:uiPriority w:val="0"/>
    <w:pPr>
      <w:adjustRightInd/>
      <w:snapToGrid/>
      <w:ind w:firstLine="0" w:firstLineChars="0"/>
    </w:pPr>
    <w:rPr>
      <w:kern w:val="0"/>
      <w:szCs w:val="20"/>
    </w:rPr>
  </w:style>
  <w:style w:type="paragraph" w:customStyle="1" w:styleId="268">
    <w:name w:val="样式 标题 1 + 自动设置"/>
    <w:basedOn w:val="3"/>
    <w:autoRedefine/>
    <w:qFormat/>
    <w:uiPriority w:val="0"/>
    <w:pPr>
      <w:keepNext/>
      <w:keepLines/>
      <w:tabs>
        <w:tab w:val="left" w:pos="700"/>
      </w:tabs>
      <w:autoSpaceDE w:val="0"/>
      <w:autoSpaceDN w:val="0"/>
      <w:spacing w:before="120" w:after="60" w:line="240" w:lineRule="auto"/>
    </w:pPr>
    <w:rPr>
      <w:kern w:val="44"/>
      <w:sz w:val="28"/>
      <w:szCs w:val="20"/>
      <w:lang w:val="zh-CN"/>
    </w:rPr>
  </w:style>
  <w:style w:type="paragraph" w:customStyle="1" w:styleId="269">
    <w:name w:val="正文（首行缩进两字） Char"/>
    <w:basedOn w:val="1"/>
    <w:autoRedefine/>
    <w:qFormat/>
    <w:uiPriority w:val="0"/>
    <w:pPr>
      <w:widowControl/>
      <w:adjustRightInd/>
      <w:snapToGrid/>
      <w:spacing w:line="500" w:lineRule="exact"/>
      <w:ind w:firstLine="420" w:firstLineChars="0"/>
      <w:jc w:val="left"/>
    </w:pPr>
    <w:rPr>
      <w:kern w:val="0"/>
      <w:sz w:val="28"/>
      <w:szCs w:val="20"/>
    </w:rPr>
  </w:style>
  <w:style w:type="paragraph" w:customStyle="1" w:styleId="270">
    <w:name w:val="z-窗体顶端1"/>
    <w:basedOn w:val="1"/>
    <w:next w:val="1"/>
    <w:link w:val="271"/>
    <w:autoRedefine/>
    <w:qFormat/>
    <w:uiPriority w:val="0"/>
    <w:pPr>
      <w:pBdr>
        <w:bottom w:val="single" w:color="auto" w:sz="6" w:space="1"/>
      </w:pBdr>
      <w:adjustRightInd/>
      <w:snapToGrid/>
      <w:spacing w:line="240" w:lineRule="auto"/>
      <w:ind w:firstLine="0" w:firstLineChars="0"/>
      <w:jc w:val="center"/>
    </w:pPr>
    <w:rPr>
      <w:rFonts w:ascii="Arial"/>
      <w:vanish/>
      <w:kern w:val="0"/>
      <w:sz w:val="16"/>
      <w:szCs w:val="20"/>
    </w:rPr>
  </w:style>
  <w:style w:type="character" w:customStyle="1" w:styleId="271">
    <w:name w:val="z-窗体顶端 字符"/>
    <w:link w:val="270"/>
    <w:autoRedefine/>
    <w:qFormat/>
    <w:uiPriority w:val="0"/>
    <w:rPr>
      <w:rFonts w:ascii="Arial" w:hAnsi="Times New Roman" w:eastAsia="宋体" w:cs="Times New Roman"/>
      <w:vanish/>
      <w:kern w:val="0"/>
      <w:sz w:val="16"/>
      <w:szCs w:val="20"/>
    </w:rPr>
  </w:style>
  <w:style w:type="paragraph" w:customStyle="1" w:styleId="272">
    <w:name w:val="样式 标题 1 + 紧缩量  1 磅"/>
    <w:basedOn w:val="3"/>
    <w:autoRedefine/>
    <w:qFormat/>
    <w:uiPriority w:val="0"/>
    <w:pPr>
      <w:keepNext/>
      <w:keepLines/>
      <w:spacing w:line="578" w:lineRule="auto"/>
    </w:pPr>
    <w:rPr>
      <w:rFonts w:hint="eastAsia" w:ascii="Calibri" w:hAnsi="Calibri"/>
      <w:bCs/>
      <w:iCs/>
      <w:kern w:val="44"/>
      <w:sz w:val="36"/>
      <w:szCs w:val="36"/>
      <w:lang w:val="zh-CN"/>
    </w:rPr>
  </w:style>
  <w:style w:type="paragraph" w:customStyle="1" w:styleId="273">
    <w:name w:val="xl46"/>
    <w:basedOn w:val="1"/>
    <w:autoRedefine/>
    <w:qFormat/>
    <w:uiPriority w:val="0"/>
    <w:pPr>
      <w:widowControl/>
      <w:pBdr>
        <w:right w:val="single" w:color="auto" w:sz="8" w:space="0"/>
      </w:pBdr>
      <w:adjustRightInd/>
      <w:snapToGrid/>
      <w:spacing w:before="100" w:beforeAutospacing="1" w:after="100" w:afterAutospacing="1" w:line="240" w:lineRule="auto"/>
      <w:ind w:firstLine="0" w:firstLineChars="0"/>
      <w:jc w:val="center"/>
    </w:pPr>
    <w:rPr>
      <w:kern w:val="0"/>
      <w:szCs w:val="20"/>
    </w:rPr>
  </w:style>
  <w:style w:type="paragraph" w:customStyle="1" w:styleId="274">
    <w:name w:val="简单回函地址"/>
    <w:basedOn w:val="1"/>
    <w:autoRedefine/>
    <w:qFormat/>
    <w:uiPriority w:val="0"/>
    <w:pPr>
      <w:adjustRightInd/>
      <w:snapToGrid/>
      <w:spacing w:line="240" w:lineRule="auto"/>
      <w:ind w:firstLine="0" w:firstLineChars="0"/>
    </w:pPr>
    <w:rPr>
      <w:rFonts w:ascii="宋体" w:hAnsi="宋体"/>
      <w:kern w:val="0"/>
      <w:szCs w:val="20"/>
    </w:rPr>
  </w:style>
  <w:style w:type="paragraph" w:customStyle="1" w:styleId="275">
    <w:name w:val="图名"/>
    <w:basedOn w:val="1"/>
    <w:autoRedefine/>
    <w:qFormat/>
    <w:uiPriority w:val="0"/>
    <w:pPr>
      <w:ind w:left="-22" w:leftChars="-9" w:firstLine="0" w:firstLineChars="0"/>
      <w:jc w:val="center"/>
      <w:textAlignment w:val="baseline"/>
    </w:pPr>
    <w:rPr>
      <w:rFonts w:eastAsia="黑体"/>
      <w:b/>
      <w:snapToGrid w:val="0"/>
      <w:spacing w:val="12"/>
      <w:kern w:val="0"/>
      <w:szCs w:val="20"/>
    </w:rPr>
  </w:style>
  <w:style w:type="paragraph" w:customStyle="1" w:styleId="276">
    <w:name w:val="Char Char Char Char Char Char Char Char Char Char1 Char Char Char Char Char Char Char Char Char Char Char Char Char"/>
    <w:basedOn w:val="1"/>
    <w:autoRedefine/>
    <w:qFormat/>
    <w:uiPriority w:val="0"/>
    <w:pPr>
      <w:adjustRightInd/>
      <w:snapToGrid/>
      <w:spacing w:line="240" w:lineRule="auto"/>
      <w:ind w:firstLine="0" w:firstLineChars="0"/>
    </w:pPr>
    <w:rPr>
      <w:kern w:val="0"/>
      <w:szCs w:val="20"/>
    </w:rPr>
  </w:style>
  <w:style w:type="paragraph" w:customStyle="1" w:styleId="277">
    <w:name w:val="密级编号"/>
    <w:basedOn w:val="1"/>
    <w:autoRedefine/>
    <w:qFormat/>
    <w:uiPriority w:val="0"/>
    <w:pPr>
      <w:snapToGrid/>
      <w:spacing w:line="240" w:lineRule="auto"/>
      <w:ind w:firstLine="0" w:firstLineChars="0"/>
      <w:jc w:val="center"/>
      <w:textAlignment w:val="baseline"/>
    </w:pPr>
    <w:rPr>
      <w:rFonts w:ascii="仿宋_GB2312" w:eastAsia="仿宋_GB2312"/>
      <w:kern w:val="0"/>
      <w:szCs w:val="20"/>
    </w:rPr>
  </w:style>
  <w:style w:type="paragraph" w:customStyle="1" w:styleId="278">
    <w:name w:val="【黑体表头】"/>
    <w:basedOn w:val="1"/>
    <w:autoRedefine/>
    <w:qFormat/>
    <w:uiPriority w:val="0"/>
    <w:pPr>
      <w:tabs>
        <w:tab w:val="left" w:leader="middleDot" w:pos="7371"/>
      </w:tabs>
      <w:ind w:firstLine="200"/>
      <w:jc w:val="center"/>
    </w:pPr>
    <w:rPr>
      <w:rFonts w:ascii="黑体" w:hAnsi="黑体" w:eastAsia="黑体"/>
      <w:kern w:val="0"/>
      <w:szCs w:val="20"/>
    </w:rPr>
  </w:style>
  <w:style w:type="paragraph" w:customStyle="1" w:styleId="279">
    <w:name w:val="表体"/>
    <w:basedOn w:val="1"/>
    <w:autoRedefine/>
    <w:qFormat/>
    <w:uiPriority w:val="0"/>
    <w:pPr>
      <w:widowControl/>
      <w:spacing w:line="240" w:lineRule="atLeast"/>
      <w:ind w:firstLine="0" w:firstLineChars="0"/>
      <w:jc w:val="center"/>
    </w:pPr>
    <w:rPr>
      <w:rFonts w:eastAsia="仿宋_GB2312"/>
      <w:kern w:val="0"/>
      <w:szCs w:val="20"/>
    </w:rPr>
  </w:style>
  <w:style w:type="paragraph" w:customStyle="1" w:styleId="280">
    <w:name w:val="Char1"/>
    <w:basedOn w:val="1"/>
    <w:autoRedefine/>
    <w:qFormat/>
    <w:uiPriority w:val="0"/>
    <w:pPr>
      <w:adjustRightInd/>
      <w:snapToGrid/>
      <w:ind w:firstLine="200"/>
    </w:pPr>
    <w:rPr>
      <w:rFonts w:ascii="宋体" w:hAnsi="宋体"/>
      <w:kern w:val="0"/>
      <w:szCs w:val="20"/>
    </w:rPr>
  </w:style>
  <w:style w:type="paragraph" w:customStyle="1" w:styleId="281">
    <w:name w:val="正文非缩进 Char"/>
    <w:basedOn w:val="1"/>
    <w:autoRedefine/>
    <w:qFormat/>
    <w:uiPriority w:val="0"/>
    <w:pPr>
      <w:widowControl/>
      <w:adjustRightInd/>
      <w:snapToGrid/>
      <w:spacing w:line="500" w:lineRule="exact"/>
      <w:ind w:firstLine="420" w:firstLineChars="0"/>
      <w:jc w:val="left"/>
    </w:pPr>
    <w:rPr>
      <w:kern w:val="0"/>
      <w:sz w:val="28"/>
      <w:szCs w:val="20"/>
    </w:rPr>
  </w:style>
  <w:style w:type="paragraph" w:customStyle="1" w:styleId="282">
    <w:name w:val="图说表名"/>
    <w:next w:val="1"/>
    <w:autoRedefine/>
    <w:qFormat/>
    <w:uiPriority w:val="0"/>
    <w:pPr>
      <w:adjustRightInd w:val="0"/>
      <w:spacing w:before="25" w:after="25"/>
      <w:jc w:val="center"/>
    </w:pPr>
    <w:rPr>
      <w:rFonts w:ascii="Arial" w:hAnsi="Arial" w:eastAsia="黑体" w:cs="Times New Roman"/>
      <w:kern w:val="2"/>
      <w:sz w:val="24"/>
      <w:lang w:val="en-US" w:eastAsia="zh-CN" w:bidi="ar-SA"/>
    </w:rPr>
  </w:style>
  <w:style w:type="paragraph" w:customStyle="1" w:styleId="283">
    <w:name w:val="正文01"/>
    <w:basedOn w:val="1"/>
    <w:autoRedefine/>
    <w:qFormat/>
    <w:uiPriority w:val="0"/>
    <w:pPr>
      <w:adjustRightInd/>
      <w:snapToGrid/>
      <w:spacing w:before="60" w:line="460" w:lineRule="exact"/>
      <w:ind w:firstLine="200"/>
    </w:pPr>
    <w:rPr>
      <w:kern w:val="0"/>
      <w:szCs w:val="20"/>
    </w:rPr>
  </w:style>
  <w:style w:type="paragraph" w:customStyle="1" w:styleId="284">
    <w:name w:val="【标题2】"/>
    <w:basedOn w:val="4"/>
    <w:autoRedefine/>
    <w:qFormat/>
    <w:uiPriority w:val="0"/>
    <w:pPr>
      <w:keepNext w:val="0"/>
      <w:adjustRightInd/>
      <w:snapToGrid/>
      <w:spacing w:line="700" w:lineRule="exact"/>
    </w:pPr>
    <w:rPr>
      <w:rFonts w:ascii="Calibri" w:hAnsi="Calibri"/>
      <w:bCs w:val="0"/>
      <w:szCs w:val="22"/>
      <w:lang w:val="zh-CN" w:eastAsia="en-US"/>
    </w:rPr>
  </w:style>
  <w:style w:type="paragraph" w:customStyle="1" w:styleId="285">
    <w:name w:val="主标题"/>
    <w:basedOn w:val="1"/>
    <w:autoRedefine/>
    <w:qFormat/>
    <w:uiPriority w:val="0"/>
    <w:pPr>
      <w:adjustRightInd/>
      <w:spacing w:before="60" w:after="60"/>
      <w:ind w:firstLine="0" w:firstLineChars="0"/>
      <w:jc w:val="center"/>
      <w:outlineLvl w:val="0"/>
    </w:pPr>
    <w:rPr>
      <w:rFonts w:ascii="黑体" w:eastAsia="黑体"/>
      <w:b/>
      <w:color w:val="000000"/>
      <w:kern w:val="0"/>
      <w:sz w:val="32"/>
      <w:szCs w:val="20"/>
    </w:rPr>
  </w:style>
  <w:style w:type="paragraph" w:customStyle="1" w:styleId="286">
    <w:name w:val="表正文 Char1 Char Char C"/>
    <w:basedOn w:val="1"/>
    <w:autoRedefine/>
    <w:qFormat/>
    <w:uiPriority w:val="0"/>
    <w:pPr>
      <w:widowControl/>
      <w:snapToGrid/>
      <w:spacing w:line="500" w:lineRule="exact"/>
      <w:ind w:firstLine="420" w:firstLineChars="0"/>
      <w:jc w:val="left"/>
      <w:textAlignment w:val="baseline"/>
    </w:pPr>
    <w:rPr>
      <w:kern w:val="0"/>
      <w:sz w:val="28"/>
      <w:szCs w:val="20"/>
    </w:rPr>
  </w:style>
  <w:style w:type="paragraph" w:customStyle="1" w:styleId="287">
    <w:name w:val="正文7"/>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288">
    <w:name w:val="表号"/>
    <w:basedOn w:val="1"/>
    <w:autoRedefine/>
    <w:qFormat/>
    <w:uiPriority w:val="0"/>
    <w:pPr>
      <w:adjustRightInd/>
      <w:snapToGrid/>
      <w:spacing w:line="240" w:lineRule="auto"/>
      <w:ind w:firstLine="0" w:firstLineChars="0"/>
      <w:jc w:val="right"/>
    </w:pPr>
    <w:rPr>
      <w:rFonts w:ascii="宋体" w:hAnsi="宋体"/>
      <w:kern w:val="0"/>
      <w:szCs w:val="20"/>
    </w:rPr>
  </w:style>
  <w:style w:type="paragraph" w:customStyle="1" w:styleId="289">
    <w:name w:val="样式 标题 3标题 33 + 段前: 0.5 行"/>
    <w:basedOn w:val="5"/>
    <w:autoRedefine/>
    <w:qFormat/>
    <w:uiPriority w:val="0"/>
    <w:pPr>
      <w:ind w:firstLine="480" w:firstLineChars="200"/>
      <w:jc w:val="both"/>
    </w:pPr>
    <w:rPr>
      <w:rFonts w:ascii="黑体" w:hAnsi="宋体"/>
      <w:bCs w:val="0"/>
      <w:color w:val="000000"/>
      <w:szCs w:val="20"/>
      <w:lang w:val="zh-CN"/>
    </w:rPr>
  </w:style>
  <w:style w:type="paragraph" w:customStyle="1" w:styleId="290">
    <w:name w:val="Char Char Char"/>
    <w:basedOn w:val="1"/>
    <w:autoRedefine/>
    <w:qFormat/>
    <w:uiPriority w:val="0"/>
    <w:pPr>
      <w:tabs>
        <w:tab w:val="left" w:pos="170"/>
      </w:tabs>
      <w:adjustRightInd/>
      <w:snapToGrid/>
      <w:spacing w:line="240" w:lineRule="auto"/>
      <w:ind w:left="170" w:hanging="170" w:firstLineChars="0"/>
    </w:pPr>
    <w:rPr>
      <w:kern w:val="0"/>
      <w:szCs w:val="20"/>
    </w:rPr>
  </w:style>
  <w:style w:type="paragraph" w:customStyle="1" w:styleId="291">
    <w:name w:val="正文文本缩进 21"/>
    <w:basedOn w:val="1"/>
    <w:autoRedefine/>
    <w:qFormat/>
    <w:uiPriority w:val="0"/>
    <w:pPr>
      <w:snapToGrid/>
      <w:ind w:firstLine="510" w:firstLineChars="0"/>
      <w:textAlignment w:val="baseline"/>
    </w:pPr>
    <w:rPr>
      <w:rFonts w:ascii="宋体" w:hAnsi="宋体"/>
      <w:kern w:val="0"/>
      <w:sz w:val="28"/>
      <w:szCs w:val="20"/>
    </w:rPr>
  </w:style>
  <w:style w:type="paragraph" w:customStyle="1" w:styleId="292">
    <w:name w:val="正文格式"/>
    <w:basedOn w:val="1"/>
    <w:autoRedefine/>
    <w:qFormat/>
    <w:uiPriority w:val="0"/>
    <w:pPr>
      <w:adjustRightInd/>
      <w:snapToGrid/>
      <w:ind w:firstLine="544"/>
    </w:pPr>
    <w:rPr>
      <w:kern w:val="0"/>
      <w:szCs w:val="20"/>
    </w:rPr>
  </w:style>
  <w:style w:type="paragraph" w:customStyle="1" w:styleId="293">
    <w:name w:val="自由格式"/>
    <w:next w:val="1"/>
    <w:autoRedefine/>
    <w:qFormat/>
    <w:uiPriority w:val="0"/>
    <w:pPr>
      <w:adjustRightInd w:val="0"/>
      <w:spacing w:before="25" w:after="25" w:line="500" w:lineRule="atLeast"/>
    </w:pPr>
    <w:rPr>
      <w:rFonts w:ascii="Times New Roman" w:hAnsi="Times New Roman" w:eastAsia="宋体" w:cs="Times New Roman"/>
      <w:kern w:val="2"/>
      <w:sz w:val="24"/>
      <w:lang w:val="en-US" w:eastAsia="zh-CN" w:bidi="ar-SA"/>
    </w:rPr>
  </w:style>
  <w:style w:type="paragraph" w:customStyle="1" w:styleId="294">
    <w:name w:val="表格正文"/>
    <w:basedOn w:val="1"/>
    <w:autoRedefine/>
    <w:qFormat/>
    <w:uiPriority w:val="0"/>
    <w:pPr>
      <w:adjustRightInd/>
      <w:snapToGrid/>
      <w:spacing w:line="360" w:lineRule="exact"/>
      <w:ind w:firstLine="0" w:firstLineChars="0"/>
      <w:jc w:val="center"/>
    </w:pPr>
    <w:rPr>
      <w:kern w:val="0"/>
      <w:szCs w:val="20"/>
    </w:rPr>
  </w:style>
  <w:style w:type="paragraph" w:customStyle="1" w:styleId="295">
    <w:name w:val="标题B"/>
    <w:autoRedefine/>
    <w:qFormat/>
    <w:uiPriority w:val="0"/>
    <w:pPr>
      <w:adjustRightInd w:val="0"/>
      <w:snapToGrid w:val="0"/>
      <w:spacing w:before="400"/>
      <w:outlineLvl w:val="1"/>
    </w:pPr>
    <w:rPr>
      <w:rFonts w:ascii="Times New Roman" w:hAnsi="Times New Roman" w:eastAsia="宋体" w:cs="Times New Roman"/>
      <w:b/>
      <w:sz w:val="30"/>
      <w:lang w:val="en-US" w:eastAsia="zh-CN" w:bidi="ar-SA"/>
    </w:rPr>
  </w:style>
  <w:style w:type="paragraph" w:customStyle="1" w:styleId="296">
    <w:name w:val="Char Char Char Char Char Char Char"/>
    <w:basedOn w:val="1"/>
    <w:autoRedefine/>
    <w:qFormat/>
    <w:uiPriority w:val="0"/>
    <w:pPr>
      <w:adjustRightInd/>
      <w:snapToGrid/>
      <w:spacing w:line="240" w:lineRule="auto"/>
      <w:ind w:firstLine="0" w:firstLineChars="0"/>
    </w:pPr>
    <w:rPr>
      <w:kern w:val="0"/>
      <w:szCs w:val="24"/>
    </w:rPr>
  </w:style>
  <w:style w:type="paragraph" w:customStyle="1" w:styleId="297">
    <w:name w:val="Char"/>
    <w:basedOn w:val="5"/>
    <w:autoRedefine/>
    <w:qFormat/>
    <w:uiPriority w:val="0"/>
    <w:pPr>
      <w:tabs>
        <w:tab w:val="left" w:pos="360"/>
        <w:tab w:val="left" w:pos="900"/>
      </w:tabs>
      <w:spacing w:before="120" w:after="120"/>
      <w:ind w:left="542" w:leftChars="-12" w:firstLine="200" w:firstLineChars="200"/>
    </w:pPr>
    <w:rPr>
      <w:bCs w:val="0"/>
      <w:szCs w:val="20"/>
      <w:lang w:val="zh-CN"/>
    </w:rPr>
  </w:style>
  <w:style w:type="paragraph" w:customStyle="1" w:styleId="298">
    <w:name w:val="正缩1 Char"/>
    <w:basedOn w:val="1"/>
    <w:autoRedefine/>
    <w:qFormat/>
    <w:uiPriority w:val="0"/>
    <w:pPr>
      <w:spacing w:line="500" w:lineRule="exact"/>
      <w:ind w:firstLine="567" w:firstLineChars="0"/>
    </w:pPr>
    <w:rPr>
      <w:rFonts w:eastAsia="仿宋_GB2312"/>
      <w:snapToGrid w:val="0"/>
      <w:color w:val="000000"/>
      <w:kern w:val="0"/>
      <w:sz w:val="28"/>
      <w:szCs w:val="20"/>
    </w:rPr>
  </w:style>
  <w:style w:type="paragraph" w:customStyle="1" w:styleId="299">
    <w:name w:val="9"/>
    <w:basedOn w:val="1"/>
    <w:autoRedefine/>
    <w:qFormat/>
    <w:uiPriority w:val="0"/>
    <w:pPr>
      <w:adjustRightInd/>
      <w:snapToGrid/>
      <w:ind w:firstLine="200"/>
    </w:pPr>
    <w:rPr>
      <w:rFonts w:ascii="宋体" w:hAnsi="宋体" w:eastAsia="Times New Roman"/>
      <w:kern w:val="0"/>
      <w:szCs w:val="20"/>
    </w:rPr>
  </w:style>
  <w:style w:type="paragraph" w:customStyle="1" w:styleId="300">
    <w:name w:val="XCHG论文正文"/>
    <w:basedOn w:val="1"/>
    <w:autoRedefine/>
    <w:qFormat/>
    <w:uiPriority w:val="0"/>
    <w:pPr>
      <w:adjustRightInd/>
      <w:snapToGrid/>
      <w:spacing w:line="300" w:lineRule="auto"/>
    </w:pPr>
    <w:rPr>
      <w:color w:val="000000"/>
      <w:kern w:val="0"/>
      <w:szCs w:val="20"/>
    </w:rPr>
  </w:style>
  <w:style w:type="paragraph" w:customStyle="1" w:styleId="301">
    <w:name w:val="流程图"/>
    <w:basedOn w:val="1"/>
    <w:autoRedefine/>
    <w:qFormat/>
    <w:uiPriority w:val="0"/>
    <w:pPr>
      <w:tabs>
        <w:tab w:val="left" w:pos="0"/>
      </w:tabs>
      <w:autoSpaceDE w:val="0"/>
      <w:autoSpaceDN w:val="0"/>
      <w:snapToGrid/>
      <w:spacing w:line="240" w:lineRule="atLeast"/>
      <w:ind w:firstLine="0" w:firstLineChars="0"/>
      <w:jc w:val="center"/>
      <w:textAlignment w:val="bottom"/>
    </w:pPr>
    <w:rPr>
      <w:rFonts w:ascii="宋体"/>
      <w:kern w:val="0"/>
      <w:szCs w:val="20"/>
    </w:rPr>
  </w:style>
  <w:style w:type="paragraph" w:customStyle="1" w:styleId="302">
    <w:name w:val="样式2"/>
    <w:basedOn w:val="4"/>
    <w:autoRedefine/>
    <w:qFormat/>
    <w:uiPriority w:val="0"/>
    <w:pPr>
      <w:adjustRightInd/>
      <w:snapToGrid/>
      <w:spacing w:line="800" w:lineRule="exact"/>
      <w:outlineLvl w:val="0"/>
    </w:pPr>
    <w:rPr>
      <w:rFonts w:ascii="黑体" w:hAnsi="宋体"/>
      <w:b/>
      <w:lang w:val="zh-CN"/>
    </w:rPr>
  </w:style>
  <w:style w:type="paragraph" w:customStyle="1" w:styleId="303">
    <w:name w:val="标题C"/>
    <w:autoRedefine/>
    <w:qFormat/>
    <w:uiPriority w:val="0"/>
    <w:pPr>
      <w:tabs>
        <w:tab w:val="left" w:pos="0"/>
      </w:tabs>
      <w:adjustRightInd w:val="0"/>
      <w:snapToGrid w:val="0"/>
      <w:spacing w:before="300"/>
      <w:outlineLvl w:val="2"/>
    </w:pPr>
    <w:rPr>
      <w:rFonts w:ascii="Times New Roman" w:hAnsi="Times New Roman" w:eastAsia="宋体" w:cs="Times New Roman"/>
      <w:b/>
      <w:snapToGrid w:val="0"/>
      <w:sz w:val="28"/>
      <w:lang w:val="en-US" w:eastAsia="zh-CN" w:bidi="ar-SA"/>
    </w:rPr>
  </w:style>
  <w:style w:type="paragraph" w:customStyle="1" w:styleId="304">
    <w:name w:val="样式 (中文) 黑体 加粗 行距: 固定值 25 磅"/>
    <w:basedOn w:val="1"/>
    <w:autoRedefine/>
    <w:qFormat/>
    <w:uiPriority w:val="0"/>
    <w:pPr>
      <w:snapToGrid/>
      <w:spacing w:line="500" w:lineRule="exact"/>
      <w:ind w:firstLine="424" w:firstLineChars="201"/>
      <w:textAlignment w:val="baseline"/>
    </w:pPr>
    <w:rPr>
      <w:b/>
      <w:kern w:val="0"/>
      <w:sz w:val="28"/>
      <w:szCs w:val="20"/>
    </w:rPr>
  </w:style>
  <w:style w:type="paragraph" w:customStyle="1" w:styleId="305">
    <w:name w:val="中文"/>
    <w:basedOn w:val="27"/>
    <w:autoRedefine/>
    <w:qFormat/>
    <w:uiPriority w:val="0"/>
    <w:pPr>
      <w:ind w:firstLine="567"/>
    </w:pPr>
    <w:rPr>
      <w:rFonts w:eastAsia="方正美黑简体"/>
      <w:sz w:val="28"/>
      <w:szCs w:val="28"/>
    </w:rPr>
  </w:style>
  <w:style w:type="paragraph" w:customStyle="1" w:styleId="306">
    <w:name w:val="表格内容小左"/>
    <w:basedOn w:val="229"/>
    <w:autoRedefine/>
    <w:qFormat/>
    <w:uiPriority w:val="0"/>
    <w:pPr>
      <w:spacing w:line="240" w:lineRule="auto"/>
      <w:jc w:val="left"/>
    </w:pPr>
    <w:rPr>
      <w:snapToGrid w:val="0"/>
    </w:rPr>
  </w:style>
  <w:style w:type="paragraph" w:customStyle="1" w:styleId="307">
    <w:name w:val="正文文本最新 Char Char Char Char Char"/>
    <w:basedOn w:val="1"/>
    <w:autoRedefine/>
    <w:qFormat/>
    <w:uiPriority w:val="0"/>
    <w:pPr>
      <w:adjustRightInd/>
      <w:snapToGrid/>
      <w:ind w:firstLine="200"/>
    </w:pPr>
    <w:rPr>
      <w:kern w:val="0"/>
      <w:sz w:val="28"/>
      <w:szCs w:val="20"/>
    </w:rPr>
  </w:style>
  <w:style w:type="paragraph" w:customStyle="1" w:styleId="308">
    <w:name w:val="_Style 1"/>
    <w:basedOn w:val="1"/>
    <w:autoRedefine/>
    <w:qFormat/>
    <w:uiPriority w:val="34"/>
    <w:pPr>
      <w:adjustRightInd/>
      <w:snapToGrid/>
      <w:spacing w:line="240" w:lineRule="auto"/>
      <w:ind w:firstLine="420" w:firstLineChars="0"/>
    </w:pPr>
    <w:rPr>
      <w:rFonts w:ascii="Calibri" w:hAnsi="Calibri"/>
      <w:kern w:val="0"/>
      <w:sz w:val="21"/>
    </w:rPr>
  </w:style>
  <w:style w:type="paragraph" w:customStyle="1" w:styleId="309">
    <w:name w:val="Char Char Char1 Char"/>
    <w:basedOn w:val="1"/>
    <w:autoRedefine/>
    <w:qFormat/>
    <w:uiPriority w:val="0"/>
    <w:pPr>
      <w:adjustRightInd/>
      <w:snapToGrid/>
      <w:spacing w:line="240" w:lineRule="auto"/>
      <w:ind w:firstLine="0" w:firstLineChars="0"/>
    </w:pPr>
    <w:rPr>
      <w:kern w:val="0"/>
      <w:szCs w:val="20"/>
    </w:rPr>
  </w:style>
  <w:style w:type="paragraph" w:customStyle="1" w:styleId="310">
    <w:name w:val="3级标题"/>
    <w:basedOn w:val="1"/>
    <w:autoRedefine/>
    <w:qFormat/>
    <w:uiPriority w:val="0"/>
    <w:pPr>
      <w:adjustRightInd/>
      <w:snapToGrid/>
      <w:spacing w:before="300" w:line="460" w:lineRule="exact"/>
      <w:ind w:firstLine="0" w:firstLineChars="0"/>
      <w:outlineLvl w:val="2"/>
    </w:pPr>
    <w:rPr>
      <w:b/>
      <w:kern w:val="0"/>
      <w:szCs w:val="20"/>
    </w:rPr>
  </w:style>
  <w:style w:type="paragraph" w:customStyle="1" w:styleId="311">
    <w:name w:val="报告书正文"/>
    <w:basedOn w:val="1"/>
    <w:autoRedefine/>
    <w:qFormat/>
    <w:uiPriority w:val="0"/>
    <w:pPr>
      <w:spacing w:line="400" w:lineRule="atLeast"/>
      <w:ind w:firstLine="200"/>
    </w:pPr>
    <w:rPr>
      <w:kern w:val="0"/>
      <w:szCs w:val="20"/>
    </w:rPr>
  </w:style>
  <w:style w:type="paragraph" w:customStyle="1" w:styleId="312">
    <w:name w:val="z-窗体底端1"/>
    <w:basedOn w:val="1"/>
    <w:next w:val="1"/>
    <w:link w:val="313"/>
    <w:autoRedefine/>
    <w:qFormat/>
    <w:uiPriority w:val="0"/>
    <w:pPr>
      <w:pBdr>
        <w:top w:val="single" w:color="auto" w:sz="6" w:space="1"/>
      </w:pBdr>
      <w:adjustRightInd/>
      <w:snapToGrid/>
      <w:spacing w:line="240" w:lineRule="auto"/>
      <w:ind w:firstLine="0" w:firstLineChars="0"/>
      <w:jc w:val="center"/>
    </w:pPr>
    <w:rPr>
      <w:rFonts w:ascii="Arial"/>
      <w:vanish/>
      <w:kern w:val="0"/>
      <w:sz w:val="16"/>
      <w:szCs w:val="20"/>
    </w:rPr>
  </w:style>
  <w:style w:type="character" w:customStyle="1" w:styleId="313">
    <w:name w:val="z-窗体底端 字符"/>
    <w:link w:val="312"/>
    <w:autoRedefine/>
    <w:qFormat/>
    <w:uiPriority w:val="0"/>
    <w:rPr>
      <w:rFonts w:ascii="Arial" w:hAnsi="Times New Roman" w:eastAsia="宋体" w:cs="Times New Roman"/>
      <w:vanish/>
      <w:kern w:val="0"/>
      <w:sz w:val="16"/>
      <w:szCs w:val="20"/>
    </w:rPr>
  </w:style>
  <w:style w:type="paragraph" w:customStyle="1" w:styleId="314">
    <w:name w:val="表标题"/>
    <w:basedOn w:val="1"/>
    <w:autoRedefine/>
    <w:qFormat/>
    <w:uiPriority w:val="0"/>
    <w:pPr>
      <w:autoSpaceDE w:val="0"/>
      <w:autoSpaceDN w:val="0"/>
      <w:spacing w:before="156" w:line="500" w:lineRule="exact"/>
      <w:ind w:firstLine="370" w:firstLineChars="147"/>
      <w:outlineLvl w:val="0"/>
    </w:pPr>
    <w:rPr>
      <w:rFonts w:ascii="宋体" w:hAnsi="宋体"/>
      <w:spacing w:val="6"/>
      <w:kern w:val="0"/>
      <w:szCs w:val="20"/>
    </w:rPr>
  </w:style>
  <w:style w:type="paragraph" w:customStyle="1" w:styleId="315">
    <w:name w:val="样式 标题 51 + 左"/>
    <w:basedOn w:val="7"/>
    <w:autoRedefine/>
    <w:qFormat/>
    <w:uiPriority w:val="0"/>
    <w:pPr>
      <w:keepNext w:val="0"/>
      <w:keepLines w:val="0"/>
      <w:adjustRightInd w:val="0"/>
      <w:spacing w:before="0" w:after="0" w:line="360" w:lineRule="auto"/>
      <w:ind w:left="-420" w:firstLine="284"/>
      <w:jc w:val="left"/>
      <w:textAlignment w:val="baseline"/>
    </w:pPr>
    <w:rPr>
      <w:rFonts w:ascii="楷体_GB2312" w:hAnsi="Arial" w:cs="宋体"/>
      <w:b w:val="0"/>
      <w:kern w:val="0"/>
    </w:rPr>
  </w:style>
  <w:style w:type="paragraph" w:customStyle="1" w:styleId="316">
    <w:name w:val="正文文字 2"/>
    <w:basedOn w:val="1"/>
    <w:autoRedefine/>
    <w:qFormat/>
    <w:uiPriority w:val="0"/>
    <w:pPr>
      <w:adjustRightInd/>
      <w:snapToGrid/>
      <w:spacing w:line="240" w:lineRule="auto"/>
      <w:ind w:firstLine="0" w:firstLineChars="0"/>
    </w:pPr>
    <w:rPr>
      <w:rFonts w:ascii="宋体"/>
      <w:color w:val="000000"/>
      <w:kern w:val="0"/>
      <w:sz w:val="28"/>
      <w:szCs w:val="20"/>
    </w:rPr>
  </w:style>
  <w:style w:type="paragraph" w:customStyle="1" w:styleId="317">
    <w:name w:val="一"/>
    <w:basedOn w:val="22"/>
    <w:autoRedefine/>
    <w:qFormat/>
    <w:uiPriority w:val="0"/>
    <w:pPr>
      <w:spacing w:after="0" w:afterLines="0" w:line="360" w:lineRule="auto"/>
      <w:ind w:firstLine="200" w:firstLineChars="200"/>
    </w:pPr>
    <w:rPr>
      <w:rFonts w:eastAsia="仿宋_GB2312"/>
      <w:sz w:val="28"/>
    </w:rPr>
  </w:style>
  <w:style w:type="paragraph" w:customStyle="1" w:styleId="318">
    <w:name w:val="表格内容紧"/>
    <w:basedOn w:val="1"/>
    <w:autoRedefine/>
    <w:qFormat/>
    <w:uiPriority w:val="0"/>
    <w:pPr>
      <w:adjustRightInd/>
      <w:snapToGrid/>
      <w:spacing w:line="240" w:lineRule="auto"/>
      <w:ind w:left="-105" w:leftChars="-50" w:right="-105" w:rightChars="-50" w:firstLine="0" w:firstLineChars="0"/>
      <w:jc w:val="center"/>
    </w:pPr>
    <w:rPr>
      <w:rFonts w:ascii="宋体" w:hAnsi="宋体" w:cs="Arial"/>
      <w:kern w:val="0"/>
      <w:sz w:val="18"/>
      <w:szCs w:val="18"/>
    </w:rPr>
  </w:style>
  <w:style w:type="paragraph" w:customStyle="1" w:styleId="319">
    <w:name w:val="样式 标题3"/>
    <w:basedOn w:val="5"/>
    <w:autoRedefine/>
    <w:qFormat/>
    <w:uiPriority w:val="0"/>
    <w:pPr>
      <w:spacing w:before="156" w:after="156"/>
      <w:ind w:firstLine="200"/>
    </w:pPr>
    <w:rPr>
      <w:rFonts w:ascii="宋体" w:hAnsi="宋体"/>
      <w:b/>
      <w:bCs w:val="0"/>
      <w:szCs w:val="20"/>
      <w:lang w:val="zh-CN"/>
    </w:rPr>
  </w:style>
  <w:style w:type="paragraph" w:customStyle="1" w:styleId="320">
    <w:name w:val="1"/>
    <w:basedOn w:val="1"/>
    <w:next w:val="37"/>
    <w:autoRedefine/>
    <w:qFormat/>
    <w:uiPriority w:val="0"/>
    <w:pPr>
      <w:adjustRightInd/>
      <w:snapToGrid/>
      <w:spacing w:after="120" w:line="240" w:lineRule="auto"/>
      <w:ind w:left="420" w:leftChars="200" w:firstLine="0" w:firstLineChars="0"/>
    </w:pPr>
    <w:rPr>
      <w:kern w:val="0"/>
      <w:sz w:val="16"/>
      <w:szCs w:val="20"/>
    </w:rPr>
  </w:style>
  <w:style w:type="paragraph" w:customStyle="1" w:styleId="321">
    <w:name w:val="表格内容右"/>
    <w:basedOn w:val="230"/>
    <w:autoRedefine/>
    <w:qFormat/>
    <w:uiPriority w:val="0"/>
    <w:pPr>
      <w:outlineLvl w:val="9"/>
    </w:pPr>
    <w:rPr>
      <w:w w:val="100"/>
      <w:sz w:val="21"/>
    </w:rPr>
  </w:style>
  <w:style w:type="paragraph" w:customStyle="1" w:styleId="322">
    <w:name w:val="Char Char Char Char Char Char Char Char"/>
    <w:basedOn w:val="1"/>
    <w:autoRedefine/>
    <w:qFormat/>
    <w:uiPriority w:val="0"/>
    <w:pPr>
      <w:adjustRightInd/>
      <w:snapToGrid/>
      <w:spacing w:line="240" w:lineRule="auto"/>
      <w:ind w:firstLine="0" w:firstLineChars="0"/>
    </w:pPr>
    <w:rPr>
      <w:kern w:val="0"/>
      <w:szCs w:val="20"/>
    </w:rPr>
  </w:style>
  <w:style w:type="paragraph" w:customStyle="1" w:styleId="323">
    <w:name w:val="2级标题"/>
    <w:basedOn w:val="1"/>
    <w:autoRedefine/>
    <w:qFormat/>
    <w:uiPriority w:val="0"/>
    <w:pPr>
      <w:adjustRightInd/>
      <w:snapToGrid/>
      <w:spacing w:before="60" w:line="460" w:lineRule="exact"/>
      <w:ind w:firstLine="0" w:firstLineChars="0"/>
      <w:outlineLvl w:val="1"/>
    </w:pPr>
    <w:rPr>
      <w:b/>
      <w:kern w:val="0"/>
      <w:sz w:val="28"/>
      <w:szCs w:val="20"/>
    </w:rPr>
  </w:style>
  <w:style w:type="paragraph" w:customStyle="1" w:styleId="324">
    <w:name w:val="样式 样式 标题 3标题 33 + 段前: 0.5 行 + 段前: 0.5 行"/>
    <w:basedOn w:val="289"/>
    <w:autoRedefine/>
    <w:qFormat/>
    <w:uiPriority w:val="0"/>
  </w:style>
  <w:style w:type="paragraph" w:customStyle="1" w:styleId="325">
    <w:name w:val="表内文字"/>
    <w:basedOn w:val="1"/>
    <w:next w:val="40"/>
    <w:autoRedefine/>
    <w:qFormat/>
    <w:uiPriority w:val="0"/>
    <w:pPr>
      <w:adjustRightInd/>
      <w:snapToGrid/>
      <w:spacing w:after="120" w:line="480" w:lineRule="auto"/>
      <w:ind w:firstLine="0" w:firstLineChars="0"/>
    </w:pPr>
    <w:rPr>
      <w:kern w:val="0"/>
      <w:szCs w:val="20"/>
    </w:rPr>
  </w:style>
  <w:style w:type="paragraph" w:customStyle="1" w:styleId="326">
    <w:name w:val="正文文本缩进1"/>
    <w:basedOn w:val="1"/>
    <w:autoRedefine/>
    <w:qFormat/>
    <w:uiPriority w:val="0"/>
    <w:pPr>
      <w:adjustRightInd/>
      <w:snapToGrid/>
      <w:spacing w:after="120" w:line="240" w:lineRule="auto"/>
      <w:ind w:left="420" w:leftChars="200" w:firstLine="0" w:firstLineChars="0"/>
    </w:pPr>
    <w:rPr>
      <w:rFonts w:hint="eastAsia"/>
      <w:kern w:val="0"/>
      <w:szCs w:val="20"/>
    </w:rPr>
  </w:style>
  <w:style w:type="paragraph" w:customStyle="1" w:styleId="327">
    <w:name w:val="表芯"/>
    <w:basedOn w:val="1"/>
    <w:next w:val="1"/>
    <w:autoRedefine/>
    <w:qFormat/>
    <w:uiPriority w:val="0"/>
    <w:pPr>
      <w:keepNext/>
      <w:snapToGrid/>
      <w:spacing w:before="20" w:line="0" w:lineRule="atLeast"/>
      <w:ind w:firstLine="0" w:firstLineChars="0"/>
      <w:jc w:val="center"/>
      <w:textAlignment w:val="baseline"/>
    </w:pPr>
    <w:rPr>
      <w:kern w:val="21"/>
      <w:szCs w:val="20"/>
    </w:rPr>
  </w:style>
  <w:style w:type="paragraph" w:customStyle="1" w:styleId="328">
    <w:name w:val="样式 标题2　自动设置"/>
    <w:basedOn w:val="4"/>
    <w:autoRedefine/>
    <w:qFormat/>
    <w:uiPriority w:val="0"/>
    <w:pPr>
      <w:adjustRightInd/>
      <w:snapToGrid/>
      <w:spacing w:before="120" w:after="60"/>
      <w:jc w:val="both"/>
    </w:pPr>
    <w:rPr>
      <w:rFonts w:ascii="宋体" w:hAnsi="宋体"/>
      <w:bCs w:val="0"/>
      <w:kern w:val="0"/>
      <w:szCs w:val="20"/>
      <w:lang w:val="zh-CN"/>
    </w:rPr>
  </w:style>
  <w:style w:type="paragraph" w:customStyle="1" w:styleId="329">
    <w:name w:val="序列样式1"/>
    <w:basedOn w:val="1"/>
    <w:autoRedefine/>
    <w:qFormat/>
    <w:uiPriority w:val="0"/>
    <w:pPr>
      <w:tabs>
        <w:tab w:val="left" w:pos="840"/>
      </w:tabs>
      <w:adjustRightInd/>
      <w:snapToGrid/>
      <w:spacing w:after="62" w:line="400" w:lineRule="exact"/>
      <w:ind w:firstLine="397" w:firstLineChars="0"/>
    </w:pPr>
    <w:rPr>
      <w:kern w:val="0"/>
      <w:szCs w:val="20"/>
    </w:rPr>
  </w:style>
  <w:style w:type="paragraph" w:customStyle="1" w:styleId="330">
    <w:name w:val="正文文字一"/>
    <w:basedOn w:val="1"/>
    <w:autoRedefine/>
    <w:qFormat/>
    <w:uiPriority w:val="0"/>
    <w:pPr>
      <w:adjustRightInd/>
      <w:snapToGrid/>
      <w:spacing w:line="520" w:lineRule="exact"/>
      <w:ind w:firstLine="567" w:firstLineChars="0"/>
    </w:pPr>
    <w:rPr>
      <w:kern w:val="0"/>
      <w:sz w:val="28"/>
      <w:szCs w:val="20"/>
    </w:rPr>
  </w:style>
  <w:style w:type="paragraph" w:customStyle="1" w:styleId="331">
    <w:name w:val="表文A"/>
    <w:autoRedefine/>
    <w:qFormat/>
    <w:uiPriority w:val="0"/>
    <w:pPr>
      <w:tabs>
        <w:tab w:val="left" w:pos="0"/>
      </w:tabs>
      <w:adjustRightInd w:val="0"/>
      <w:snapToGrid w:val="0"/>
      <w:spacing w:line="264" w:lineRule="auto"/>
      <w:jc w:val="center"/>
    </w:pPr>
    <w:rPr>
      <w:rFonts w:ascii="Times New Roman" w:hAnsi="Times New Roman" w:eastAsia="宋体" w:cs="Times New Roman"/>
      <w:snapToGrid w:val="0"/>
      <w:sz w:val="18"/>
      <w:lang w:val="en-US" w:eastAsia="zh-CN" w:bidi="ar-SA"/>
    </w:rPr>
  </w:style>
  <w:style w:type="paragraph" w:styleId="332">
    <w:name w:val="List Paragraph"/>
    <w:basedOn w:val="1"/>
    <w:autoRedefine/>
    <w:qFormat/>
    <w:uiPriority w:val="34"/>
    <w:pPr>
      <w:adjustRightInd/>
      <w:snapToGrid/>
      <w:spacing w:line="240" w:lineRule="auto"/>
      <w:ind w:firstLine="420"/>
    </w:pPr>
    <w:rPr>
      <w:rFonts w:ascii="宋体"/>
      <w:kern w:val="0"/>
      <w:szCs w:val="20"/>
    </w:rPr>
  </w:style>
  <w:style w:type="paragraph" w:customStyle="1" w:styleId="333">
    <w:name w:val="xyb自建表格名称"/>
    <w:basedOn w:val="1"/>
    <w:autoRedefine/>
    <w:qFormat/>
    <w:uiPriority w:val="0"/>
    <w:pPr>
      <w:adjustRightInd/>
      <w:snapToGrid/>
      <w:ind w:firstLine="0" w:firstLineChars="0"/>
      <w:jc w:val="center"/>
    </w:pPr>
    <w:rPr>
      <w:rFonts w:ascii="宋体" w:hAnsi="宋体"/>
      <w:kern w:val="0"/>
      <w:szCs w:val="20"/>
    </w:rPr>
  </w:style>
  <w:style w:type="paragraph" w:customStyle="1" w:styleId="334">
    <w:name w:val="普通文字 Char"/>
    <w:basedOn w:val="1"/>
    <w:next w:val="27"/>
    <w:autoRedefine/>
    <w:qFormat/>
    <w:uiPriority w:val="0"/>
    <w:pPr>
      <w:tabs>
        <w:tab w:val="left" w:pos="3800"/>
        <w:tab w:val="left" w:pos="5200"/>
      </w:tabs>
      <w:autoSpaceDE w:val="0"/>
      <w:autoSpaceDN w:val="0"/>
      <w:snapToGrid/>
      <w:spacing w:line="560" w:lineRule="exact"/>
      <w:ind w:firstLine="0" w:firstLineChars="0"/>
      <w:jc w:val="left"/>
    </w:pPr>
    <w:rPr>
      <w:rFonts w:hAnsi="Courier New"/>
      <w:color w:val="000000"/>
      <w:kern w:val="0"/>
      <w:szCs w:val="20"/>
    </w:rPr>
  </w:style>
  <w:style w:type="paragraph" w:customStyle="1" w:styleId="335">
    <w:name w:val="表格内容小紧"/>
    <w:basedOn w:val="246"/>
    <w:autoRedefine/>
    <w:qFormat/>
    <w:uiPriority w:val="0"/>
    <w:pPr>
      <w:ind w:left="-105" w:leftChars="-50" w:right="-50" w:rightChars="-50"/>
    </w:pPr>
  </w:style>
  <w:style w:type="paragraph" w:customStyle="1" w:styleId="336">
    <w:name w:val="样式 样式 样式 首行缩进:  2 字符 段后: 7.8 磅 Char + 首行缩进:  2 字符 + 左侧:  2 字符 首..."/>
    <w:basedOn w:val="1"/>
    <w:autoRedefine/>
    <w:qFormat/>
    <w:uiPriority w:val="0"/>
    <w:pPr>
      <w:widowControl/>
      <w:adjustRightInd/>
      <w:snapToGrid/>
      <w:ind w:left="200" w:leftChars="200" w:firstLine="200"/>
      <w:jc w:val="left"/>
    </w:pPr>
    <w:rPr>
      <w:rFonts w:ascii="宋体" w:hAnsi="宋体" w:cs="宋体"/>
      <w:color w:val="000000"/>
      <w:kern w:val="0"/>
      <w:szCs w:val="20"/>
    </w:rPr>
  </w:style>
  <w:style w:type="paragraph" w:customStyle="1" w:styleId="337">
    <w:name w:val="纯文本 Char Char Char Char"/>
    <w:basedOn w:val="1"/>
    <w:next w:val="27"/>
    <w:autoRedefine/>
    <w:qFormat/>
    <w:uiPriority w:val="0"/>
    <w:pPr>
      <w:adjustRightInd/>
      <w:snapToGrid/>
      <w:spacing w:line="240" w:lineRule="auto"/>
      <w:ind w:firstLine="0" w:firstLineChars="0"/>
    </w:pPr>
    <w:rPr>
      <w:rFonts w:ascii="宋体" w:hAnsi="Courier New"/>
      <w:kern w:val="0"/>
      <w:szCs w:val="20"/>
    </w:rPr>
  </w:style>
  <w:style w:type="paragraph" w:customStyle="1" w:styleId="338">
    <w:name w:val="纯文本 Char Char Char Char2"/>
    <w:basedOn w:val="1"/>
    <w:next w:val="27"/>
    <w:autoRedefine/>
    <w:qFormat/>
    <w:uiPriority w:val="0"/>
    <w:pPr>
      <w:adjustRightInd/>
      <w:snapToGrid/>
      <w:spacing w:line="240" w:lineRule="auto"/>
      <w:ind w:firstLine="0" w:firstLineChars="0"/>
    </w:pPr>
    <w:rPr>
      <w:rFonts w:ascii="宋体" w:hAnsi="Courier New"/>
      <w:kern w:val="0"/>
      <w:szCs w:val="20"/>
    </w:rPr>
  </w:style>
  <w:style w:type="paragraph" w:customStyle="1" w:styleId="339">
    <w:name w:val="xl58"/>
    <w:basedOn w:val="1"/>
    <w:autoRedefine/>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Arial Unicode MS" w:hAnsi="Arial Unicode MS"/>
      <w:color w:val="000000"/>
      <w:kern w:val="0"/>
      <w:szCs w:val="20"/>
    </w:rPr>
  </w:style>
  <w:style w:type="paragraph" w:customStyle="1" w:styleId="340">
    <w:name w:val="中文报告书样式"/>
    <w:basedOn w:val="1"/>
    <w:autoRedefine/>
    <w:qFormat/>
    <w:uiPriority w:val="0"/>
    <w:pPr>
      <w:spacing w:line="500" w:lineRule="atLeast"/>
      <w:ind w:firstLine="0" w:firstLineChars="0"/>
      <w:textAlignment w:val="baseline"/>
    </w:pPr>
    <w:rPr>
      <w:rFonts w:eastAsia="汉仪仿宋简"/>
      <w:kern w:val="28"/>
      <w:szCs w:val="20"/>
    </w:rPr>
  </w:style>
  <w:style w:type="paragraph" w:customStyle="1" w:styleId="341">
    <w:name w:val="普通(网站)1"/>
    <w:basedOn w:val="1"/>
    <w:autoRedefine/>
    <w:qFormat/>
    <w:uiPriority w:val="0"/>
    <w:pPr>
      <w:widowControl/>
      <w:adjustRightInd/>
      <w:snapToGrid/>
      <w:spacing w:line="240" w:lineRule="auto"/>
      <w:ind w:firstLine="0" w:firstLineChars="0"/>
      <w:jc w:val="left"/>
    </w:pPr>
    <w:rPr>
      <w:rFonts w:ascii="宋体" w:hAnsi="宋体" w:cs="宋体"/>
      <w:kern w:val="0"/>
      <w:szCs w:val="24"/>
    </w:rPr>
  </w:style>
  <w:style w:type="paragraph" w:customStyle="1" w:styleId="342">
    <w:name w:val="样式 正文首行缩进 + 宋体"/>
    <w:basedOn w:val="106"/>
    <w:autoRedefine/>
    <w:qFormat/>
    <w:uiPriority w:val="0"/>
    <w:pPr>
      <w:spacing w:after="0" w:afterLines="0"/>
      <w:ind w:firstLine="498" w:firstLineChars="200"/>
    </w:pPr>
    <w:rPr>
      <w:szCs w:val="20"/>
    </w:rPr>
  </w:style>
  <w:style w:type="paragraph" w:customStyle="1" w:styleId="343">
    <w:name w:val="正文4"/>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44">
    <w:name w:val="标题四"/>
    <w:basedOn w:val="1"/>
    <w:autoRedefine/>
    <w:qFormat/>
    <w:uiPriority w:val="0"/>
    <w:pPr>
      <w:adjustRightInd/>
      <w:snapToGrid/>
      <w:spacing w:before="156" w:after="156"/>
    </w:pPr>
    <w:rPr>
      <w:rFonts w:ascii="宋体" w:hAnsi="宋体"/>
      <w:b/>
      <w:kern w:val="0"/>
      <w:szCs w:val="20"/>
    </w:rPr>
  </w:style>
  <w:style w:type="paragraph" w:customStyle="1" w:styleId="345">
    <w:name w:val="TOC 标题1"/>
    <w:basedOn w:val="3"/>
    <w:next w:val="1"/>
    <w:autoRedefine/>
    <w:qFormat/>
    <w:uiPriority w:val="39"/>
    <w:pPr>
      <w:keepNext/>
      <w:keepLines/>
      <w:widowControl/>
      <w:spacing w:before="480" w:line="276" w:lineRule="auto"/>
      <w:outlineLvl w:val="9"/>
    </w:pPr>
    <w:rPr>
      <w:rFonts w:ascii="Cambria" w:hAnsi="Cambria"/>
      <w:b/>
      <w:bCs/>
      <w:color w:val="365F91"/>
      <w:sz w:val="28"/>
      <w:szCs w:val="28"/>
      <w:lang w:val="zh-CN"/>
    </w:rPr>
  </w:style>
  <w:style w:type="paragraph" w:customStyle="1" w:styleId="346">
    <w:name w:val="_Style 5"/>
    <w:basedOn w:val="1"/>
    <w:next w:val="1"/>
    <w:autoRedefine/>
    <w:qFormat/>
    <w:uiPriority w:val="0"/>
    <w:pPr>
      <w:pBdr>
        <w:top w:val="single" w:color="auto" w:sz="6" w:space="1"/>
      </w:pBdr>
      <w:adjustRightInd/>
      <w:snapToGrid/>
      <w:spacing w:line="240" w:lineRule="auto"/>
      <w:ind w:firstLine="0" w:firstLineChars="0"/>
      <w:jc w:val="center"/>
    </w:pPr>
    <w:rPr>
      <w:rFonts w:ascii="Arial"/>
      <w:vanish/>
      <w:kern w:val="0"/>
      <w:sz w:val="16"/>
      <w:szCs w:val="20"/>
    </w:rPr>
  </w:style>
  <w:style w:type="paragraph" w:customStyle="1" w:styleId="347">
    <w:name w:val="标题D"/>
    <w:autoRedefine/>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348">
    <w:name w:val="表格内容 Char Char Char"/>
    <w:basedOn w:val="1"/>
    <w:autoRedefine/>
    <w:qFormat/>
    <w:uiPriority w:val="0"/>
    <w:pPr>
      <w:tabs>
        <w:tab w:val="left" w:pos="1535"/>
        <w:tab w:val="left" w:pos="3105"/>
        <w:tab w:val="left" w:pos="4676"/>
        <w:tab w:val="left" w:pos="6247"/>
        <w:tab w:val="left" w:pos="7740"/>
        <w:tab w:val="left" w:pos="9288"/>
      </w:tabs>
      <w:adjustRightInd/>
      <w:spacing w:line="240" w:lineRule="auto"/>
      <w:ind w:firstLine="67" w:firstLineChars="0"/>
      <w:jc w:val="center"/>
      <w:textAlignment w:val="baseline"/>
    </w:pPr>
    <w:rPr>
      <w:kern w:val="0"/>
      <w:szCs w:val="20"/>
    </w:rPr>
  </w:style>
  <w:style w:type="paragraph" w:customStyle="1" w:styleId="349">
    <w:name w:val="正文001"/>
    <w:basedOn w:val="1"/>
    <w:autoRedefine/>
    <w:qFormat/>
    <w:uiPriority w:val="0"/>
    <w:pPr>
      <w:adjustRightInd/>
      <w:snapToGrid/>
      <w:spacing w:before="60" w:line="460" w:lineRule="exact"/>
      <w:ind w:firstLine="200"/>
    </w:pPr>
    <w:rPr>
      <w:kern w:val="0"/>
      <w:szCs w:val="20"/>
    </w:rPr>
  </w:style>
  <w:style w:type="paragraph" w:customStyle="1" w:styleId="350">
    <w:name w:val="xl25"/>
    <w:basedOn w:val="1"/>
    <w:autoRedefine/>
    <w:qFormat/>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kern w:val="0"/>
      <w:szCs w:val="20"/>
    </w:rPr>
  </w:style>
  <w:style w:type="paragraph" w:customStyle="1" w:styleId="351">
    <w:name w:val="表名A"/>
    <w:basedOn w:val="1"/>
    <w:autoRedefine/>
    <w:qFormat/>
    <w:uiPriority w:val="0"/>
    <w:pPr>
      <w:widowControl/>
      <w:tabs>
        <w:tab w:val="left" w:pos="0"/>
      </w:tabs>
      <w:spacing w:before="249" w:after="62" w:line="240" w:lineRule="auto"/>
      <w:ind w:firstLine="0" w:firstLineChars="0"/>
      <w:jc w:val="center"/>
    </w:pPr>
    <w:rPr>
      <w:b/>
      <w:snapToGrid w:val="0"/>
      <w:kern w:val="0"/>
      <w:szCs w:val="20"/>
    </w:rPr>
  </w:style>
  <w:style w:type="paragraph" w:customStyle="1" w:styleId="352">
    <w:name w:val="样式 样式 样式 标题 3标题 33 + 段前: 0.5 行 + 段前: 0.5 行 + 段前: 6 磅 段后: 0.5 行"/>
    <w:basedOn w:val="324"/>
    <w:autoRedefine/>
    <w:qFormat/>
    <w:uiPriority w:val="0"/>
  </w:style>
  <w:style w:type="paragraph" w:customStyle="1" w:styleId="353">
    <w:name w:val="样式4"/>
    <w:basedOn w:val="6"/>
    <w:next w:val="8"/>
    <w:autoRedefine/>
    <w:qFormat/>
    <w:uiPriority w:val="0"/>
    <w:pPr>
      <w:tabs>
        <w:tab w:val="left" w:pos="720"/>
      </w:tabs>
      <w:spacing w:before="120" w:after="156" w:line="240" w:lineRule="auto"/>
      <w:jc w:val="center"/>
    </w:pPr>
    <w:rPr>
      <w:rFonts w:ascii="黑体" w:hAnsi="宋体"/>
      <w:b/>
    </w:rPr>
  </w:style>
  <w:style w:type="paragraph" w:customStyle="1" w:styleId="354">
    <w:name w:val="表格名称"/>
    <w:basedOn w:val="27"/>
    <w:autoRedefine/>
    <w:qFormat/>
    <w:uiPriority w:val="0"/>
    <w:pPr>
      <w:tabs>
        <w:tab w:val="left" w:pos="3800"/>
        <w:tab w:val="left" w:pos="5200"/>
      </w:tabs>
      <w:autoSpaceDE w:val="0"/>
      <w:autoSpaceDN w:val="0"/>
      <w:adjustRightInd w:val="0"/>
      <w:spacing w:line="500" w:lineRule="exact"/>
      <w:jc w:val="center"/>
    </w:pPr>
    <w:rPr>
      <w:rFonts w:ascii="黑体" w:hAnsi="宋体" w:eastAsia="黑体"/>
      <w:snapToGrid w:val="0"/>
      <w:color w:val="000000"/>
      <w:kern w:val="28"/>
      <w:sz w:val="24"/>
    </w:rPr>
  </w:style>
  <w:style w:type="paragraph" w:customStyle="1" w:styleId="355">
    <w:name w:val="样式5"/>
    <w:basedOn w:val="11"/>
    <w:autoRedefine/>
    <w:qFormat/>
    <w:uiPriority w:val="0"/>
  </w:style>
  <w:style w:type="paragraph" w:customStyle="1" w:styleId="356">
    <w:name w:val="表文"/>
    <w:basedOn w:val="1"/>
    <w:next w:val="1"/>
    <w:link w:val="400"/>
    <w:autoRedefine/>
    <w:qFormat/>
    <w:uiPriority w:val="0"/>
    <w:pPr>
      <w:adjustRightInd/>
      <w:snapToGrid/>
      <w:spacing w:line="240" w:lineRule="auto"/>
      <w:ind w:firstLine="0" w:firstLineChars="0"/>
      <w:jc w:val="center"/>
      <w:textAlignment w:val="center"/>
    </w:pPr>
    <w:rPr>
      <w:rFonts w:ascii="宋体" w:hAnsi="宋体" w:cs="宋体"/>
      <w:bCs/>
      <w:iCs/>
      <w:kern w:val="0"/>
      <w:szCs w:val="21"/>
    </w:rPr>
  </w:style>
  <w:style w:type="paragraph" w:customStyle="1" w:styleId="357">
    <w:name w:val="表"/>
    <w:basedOn w:val="1"/>
    <w:autoRedefine/>
    <w:qFormat/>
    <w:uiPriority w:val="0"/>
    <w:pPr>
      <w:adjustRightInd/>
      <w:snapToGrid/>
      <w:spacing w:line="240" w:lineRule="auto"/>
      <w:ind w:firstLine="0" w:firstLineChars="0"/>
      <w:jc w:val="center"/>
    </w:pPr>
    <w:rPr>
      <w:kern w:val="0"/>
      <w:szCs w:val="20"/>
    </w:rPr>
  </w:style>
  <w:style w:type="paragraph" w:customStyle="1" w:styleId="358">
    <w:name w:val="默认段落字体 Para Char Char Char Char"/>
    <w:basedOn w:val="1"/>
    <w:autoRedefine/>
    <w:qFormat/>
    <w:uiPriority w:val="0"/>
    <w:pPr>
      <w:adjustRightInd/>
      <w:snapToGrid/>
      <w:spacing w:line="240" w:lineRule="auto"/>
      <w:ind w:firstLine="0" w:firstLineChars="0"/>
    </w:pPr>
    <w:rPr>
      <w:kern w:val="0"/>
      <w:szCs w:val="24"/>
    </w:rPr>
  </w:style>
  <w:style w:type="paragraph" w:customStyle="1" w:styleId="359">
    <w:name w:val="正文21"/>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360">
    <w:name w:val="表格文字"/>
    <w:basedOn w:val="256"/>
    <w:link w:val="399"/>
    <w:autoRedefine/>
    <w:qFormat/>
    <w:uiPriority w:val="0"/>
    <w:pPr>
      <w:tabs>
        <w:tab w:val="left" w:pos="146"/>
      </w:tabs>
      <w:adjustRightInd/>
      <w:snapToGrid/>
      <w:spacing w:line="240" w:lineRule="exact"/>
      <w:ind w:right="-55" w:rightChars="-55" w:firstLine="0" w:firstLineChars="0"/>
      <w:jc w:val="center"/>
    </w:pPr>
    <w:rPr>
      <w:rFonts w:ascii="宋体" w:hAnsi="宋体"/>
      <w:snapToGrid w:val="0"/>
      <w:spacing w:val="6"/>
      <w:kern w:val="0"/>
      <w:szCs w:val="20"/>
    </w:rPr>
  </w:style>
  <w:style w:type="paragraph" w:customStyle="1" w:styleId="361">
    <w:name w:val="表格内容1"/>
    <w:basedOn w:val="1"/>
    <w:autoRedefine/>
    <w:qFormat/>
    <w:uiPriority w:val="0"/>
    <w:pPr>
      <w:tabs>
        <w:tab w:val="left" w:pos="1535"/>
        <w:tab w:val="left" w:pos="3105"/>
        <w:tab w:val="left" w:pos="4676"/>
        <w:tab w:val="left" w:pos="6247"/>
        <w:tab w:val="left" w:pos="7740"/>
        <w:tab w:val="left" w:pos="9288"/>
      </w:tabs>
      <w:spacing w:line="300" w:lineRule="atLeast"/>
      <w:ind w:firstLine="0" w:firstLineChars="0"/>
      <w:jc w:val="center"/>
      <w:textAlignment w:val="baseline"/>
    </w:pPr>
    <w:rPr>
      <w:rFonts w:ascii="宋体" w:hAnsi="宋体"/>
      <w:kern w:val="0"/>
      <w:szCs w:val="20"/>
    </w:rPr>
  </w:style>
  <w:style w:type="paragraph" w:customStyle="1" w:styleId="362">
    <w:name w:val="样式 样式 (中文) 黑体 加粗 + 首行缩进:  1.98 字符"/>
    <w:basedOn w:val="1"/>
    <w:autoRedefine/>
    <w:qFormat/>
    <w:uiPriority w:val="0"/>
    <w:pPr>
      <w:snapToGrid/>
      <w:spacing w:line="500" w:lineRule="exact"/>
      <w:ind w:firstLine="557" w:firstLineChars="198"/>
      <w:textAlignment w:val="baseline"/>
    </w:pPr>
    <w:rPr>
      <w:rFonts w:eastAsia="新宋体"/>
      <w:b/>
      <w:kern w:val="0"/>
      <w:sz w:val="28"/>
      <w:szCs w:val="20"/>
    </w:rPr>
  </w:style>
  <w:style w:type="paragraph" w:customStyle="1" w:styleId="363">
    <w:name w:val="表格内容 Char"/>
    <w:basedOn w:val="1"/>
    <w:autoRedefine/>
    <w:qFormat/>
    <w:uiPriority w:val="0"/>
    <w:pPr>
      <w:adjustRightInd/>
      <w:snapToGrid/>
      <w:spacing w:line="240" w:lineRule="auto"/>
      <w:ind w:firstLine="0" w:firstLineChars="0"/>
      <w:jc w:val="center"/>
    </w:pPr>
    <w:rPr>
      <w:rFonts w:ascii="宋体" w:hAnsi="Arial"/>
      <w:bCs/>
      <w:kern w:val="0"/>
      <w:szCs w:val="21"/>
    </w:rPr>
  </w:style>
  <w:style w:type="paragraph" w:customStyle="1" w:styleId="364">
    <w:name w:val="正文A"/>
    <w:autoRedefine/>
    <w:qFormat/>
    <w:uiPriority w:val="0"/>
    <w:pPr>
      <w:tabs>
        <w:tab w:val="left" w:pos="0"/>
      </w:tabs>
      <w:adjustRightInd w:val="0"/>
      <w:spacing w:before="120" w:line="360" w:lineRule="auto"/>
      <w:ind w:firstLine="480"/>
      <w:jc w:val="both"/>
    </w:pPr>
    <w:rPr>
      <w:rFonts w:ascii="Times New Roman" w:hAnsi="Times New Roman" w:eastAsia="宋体" w:cs="Times New Roman"/>
      <w:snapToGrid w:val="0"/>
      <w:sz w:val="24"/>
      <w:lang w:val="en-US" w:eastAsia="zh-CN" w:bidi="ar-SA"/>
    </w:rPr>
  </w:style>
  <w:style w:type="paragraph" w:customStyle="1" w:styleId="365">
    <w:name w:val="标题1"/>
    <w:basedOn w:val="1"/>
    <w:autoRedefine/>
    <w:qFormat/>
    <w:uiPriority w:val="0"/>
    <w:pPr>
      <w:numPr>
        <w:ilvl w:val="0"/>
        <w:numId w:val="2"/>
      </w:numPr>
      <w:adjustRightInd/>
      <w:snapToGrid/>
      <w:spacing w:line="240" w:lineRule="auto"/>
      <w:ind w:firstLine="0" w:firstLineChars="0"/>
    </w:pPr>
    <w:rPr>
      <w:kern w:val="0"/>
      <w:szCs w:val="20"/>
    </w:rPr>
  </w:style>
  <w:style w:type="paragraph" w:customStyle="1" w:styleId="366">
    <w:name w:val="3"/>
    <w:basedOn w:val="1"/>
    <w:next w:val="43"/>
    <w:autoRedefine/>
    <w:qFormat/>
    <w:uiPriority w:val="0"/>
    <w:pPr>
      <w:widowControl/>
      <w:adjustRightInd/>
      <w:snapToGrid/>
      <w:spacing w:before="100" w:beforeAutospacing="1" w:after="100" w:afterAutospacing="1" w:line="240" w:lineRule="auto"/>
      <w:ind w:firstLine="0" w:firstLineChars="0"/>
      <w:jc w:val="left"/>
    </w:pPr>
    <w:rPr>
      <w:rFonts w:ascii="宋体" w:hAnsi="宋体"/>
      <w:kern w:val="0"/>
      <w:szCs w:val="20"/>
    </w:rPr>
  </w:style>
  <w:style w:type="paragraph" w:customStyle="1" w:styleId="367">
    <w:name w:val="注"/>
    <w:basedOn w:val="1"/>
    <w:autoRedefine/>
    <w:qFormat/>
    <w:uiPriority w:val="0"/>
    <w:pPr>
      <w:adjustRightInd/>
      <w:snapToGrid/>
      <w:spacing w:line="240" w:lineRule="auto"/>
      <w:ind w:firstLine="0" w:firstLineChars="0"/>
    </w:pPr>
    <w:rPr>
      <w:rFonts w:ascii="宋体" w:hAnsi="宋体"/>
      <w:kern w:val="0"/>
      <w:szCs w:val="20"/>
    </w:rPr>
  </w:style>
  <w:style w:type="paragraph" w:customStyle="1" w:styleId="368">
    <w:name w:val="样式1"/>
    <w:basedOn w:val="1"/>
    <w:autoRedefine/>
    <w:qFormat/>
    <w:uiPriority w:val="0"/>
    <w:pPr>
      <w:adjustRightInd/>
      <w:snapToGrid/>
      <w:spacing w:before="156" w:after="156"/>
      <w:ind w:firstLine="0" w:firstLineChars="0"/>
      <w:jc w:val="center"/>
    </w:pPr>
    <w:rPr>
      <w:rFonts w:ascii="宋体" w:hAnsi="宋体"/>
      <w:kern w:val="0"/>
      <w:szCs w:val="20"/>
    </w:rPr>
  </w:style>
  <w:style w:type="paragraph" w:customStyle="1" w:styleId="369">
    <w:name w:val="表格内容右小"/>
    <w:basedOn w:val="321"/>
    <w:autoRedefine/>
    <w:qFormat/>
    <w:uiPriority w:val="0"/>
    <w:rPr>
      <w:sz w:val="18"/>
    </w:rPr>
  </w:style>
  <w:style w:type="paragraph" w:customStyle="1" w:styleId="370">
    <w:name w:val="样式 标题 3样式　标题 3　自动设置标题 3 Char章 + Times New 表题3"/>
    <w:basedOn w:val="5"/>
    <w:autoRedefine/>
    <w:qFormat/>
    <w:uiPriority w:val="0"/>
    <w:pPr>
      <w:tabs>
        <w:tab w:val="left" w:pos="3800"/>
        <w:tab w:val="left" w:pos="5200"/>
      </w:tabs>
      <w:autoSpaceDE w:val="0"/>
      <w:autoSpaceDN w:val="0"/>
      <w:spacing w:before="120" w:after="120" w:line="240" w:lineRule="auto"/>
      <w:jc w:val="both"/>
    </w:pPr>
    <w:rPr>
      <w:b/>
      <w:bCs w:val="0"/>
      <w:szCs w:val="20"/>
      <w:lang w:val="zh-CN"/>
    </w:rPr>
  </w:style>
  <w:style w:type="paragraph" w:customStyle="1" w:styleId="371">
    <w:name w:val="post_content_p"/>
    <w:basedOn w:val="1"/>
    <w:autoRedefine/>
    <w:qFormat/>
    <w:uiPriority w:val="0"/>
    <w:pPr>
      <w:widowControl/>
      <w:wordWrap w:val="0"/>
      <w:adjustRightInd/>
      <w:snapToGrid/>
      <w:spacing w:before="100" w:beforeAutospacing="1" w:after="100" w:afterAutospacing="1" w:line="240" w:lineRule="auto"/>
      <w:ind w:firstLine="0" w:firstLineChars="0"/>
      <w:jc w:val="left"/>
    </w:pPr>
    <w:rPr>
      <w:rFonts w:ascii="宋体" w:hAnsi="宋体" w:cs="宋体"/>
      <w:b/>
      <w:kern w:val="0"/>
      <w:szCs w:val="24"/>
    </w:rPr>
  </w:style>
  <w:style w:type="paragraph" w:customStyle="1" w:styleId="372">
    <w:name w:val="样式 样式 标题 2节广2mystyle2style2H2(C+F2)(F3)Title22nd levelh2... + 段前..."/>
    <w:basedOn w:val="1"/>
    <w:autoRedefine/>
    <w:qFormat/>
    <w:uiPriority w:val="0"/>
    <w:pPr>
      <w:numPr>
        <w:ilvl w:val="1"/>
        <w:numId w:val="3"/>
      </w:numPr>
      <w:snapToGrid/>
      <w:spacing w:before="140"/>
      <w:ind w:firstLine="0" w:firstLineChars="0"/>
      <w:jc w:val="center"/>
      <w:outlineLvl w:val="1"/>
    </w:pPr>
    <w:rPr>
      <w:rFonts w:ascii="宋体" w:hAnsi="宋体" w:eastAsia="黑体" w:cs="宋体"/>
      <w:b/>
      <w:bCs/>
      <w:color w:val="000000"/>
      <w:kern w:val="0"/>
      <w:sz w:val="28"/>
      <w:szCs w:val="20"/>
    </w:rPr>
  </w:style>
  <w:style w:type="table" w:customStyle="1" w:styleId="373">
    <w:name w:val="网格型3"/>
    <w:basedOn w:val="4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74">
    <w:name w:val="表头 Char"/>
    <w:autoRedefine/>
    <w:qFormat/>
    <w:locked/>
    <w:uiPriority w:val="0"/>
    <w:rPr>
      <w:rFonts w:ascii="Times New Roman" w:hAnsi="Times New Roman" w:eastAsia="宋体" w:cs="宋体"/>
      <w:b/>
      <w:bCs/>
      <w:color w:val="000000"/>
      <w:sz w:val="24"/>
      <w:szCs w:val="24"/>
    </w:rPr>
  </w:style>
  <w:style w:type="paragraph" w:customStyle="1" w:styleId="375">
    <w:name w:val="样式 表格标题 + 首行缩进:  0.61 字符"/>
    <w:basedOn w:val="1"/>
    <w:autoRedefine/>
    <w:qFormat/>
    <w:uiPriority w:val="0"/>
    <w:pPr>
      <w:wordWrap w:val="0"/>
      <w:spacing w:line="400" w:lineRule="exact"/>
      <w:ind w:left="-143" w:leftChars="-68" w:firstLine="128" w:firstLineChars="61"/>
      <w:jc w:val="center"/>
    </w:pPr>
    <w:rPr>
      <w:rFonts w:eastAsia="Times New Roman" w:cs="宋体"/>
      <w:sz w:val="21"/>
      <w:szCs w:val="20"/>
    </w:rPr>
  </w:style>
  <w:style w:type="character" w:customStyle="1" w:styleId="376">
    <w:name w:val="页眉 Char"/>
    <w:autoRedefine/>
    <w:qFormat/>
    <w:uiPriority w:val="0"/>
    <w:rPr>
      <w:sz w:val="18"/>
      <w:szCs w:val="18"/>
    </w:rPr>
  </w:style>
  <w:style w:type="character" w:customStyle="1" w:styleId="377">
    <w:name w:val="正文00 Char"/>
    <w:link w:val="89"/>
    <w:autoRedefine/>
    <w:qFormat/>
    <w:uiPriority w:val="0"/>
    <w:rPr>
      <w:rFonts w:ascii="Times New Roman" w:hAnsi="Times New Roman" w:eastAsia="宋体" w:cs="Times New Roman"/>
      <w:sz w:val="24"/>
      <w:szCs w:val="24"/>
      <w:lang w:val="zh-CN" w:eastAsia="zh-CN"/>
    </w:rPr>
  </w:style>
  <w:style w:type="character" w:customStyle="1" w:styleId="378">
    <w:name w:val="正文(首行缩进) Char"/>
    <w:autoRedefine/>
    <w:qFormat/>
    <w:locked/>
    <w:uiPriority w:val="99"/>
    <w:rPr>
      <w:rFonts w:ascii="Times New Roman" w:hAnsi="Times New Roman"/>
      <w:color w:val="000000"/>
      <w:sz w:val="24"/>
    </w:rPr>
  </w:style>
  <w:style w:type="character" w:customStyle="1" w:styleId="379">
    <w:name w:val="表头 Char1"/>
    <w:autoRedefine/>
    <w:qFormat/>
    <w:uiPriority w:val="0"/>
    <w:rPr>
      <w:rFonts w:ascii="Times New Roman" w:hAnsi="宋体" w:eastAsia="仿宋_GB2312" w:cs="Times New Roman"/>
      <w:b/>
      <w:kern w:val="0"/>
      <w:sz w:val="28"/>
      <w:szCs w:val="28"/>
    </w:rPr>
  </w:style>
  <w:style w:type="character" w:customStyle="1" w:styleId="380">
    <w:name w:val="Normal Char"/>
    <w:link w:val="261"/>
    <w:autoRedefine/>
    <w:qFormat/>
    <w:locked/>
    <w:uiPriority w:val="99"/>
    <w:rPr>
      <w:rFonts w:ascii="宋体" w:hAnsi="Times New Roman" w:eastAsia="宋体" w:cs="Times New Roman"/>
      <w:kern w:val="0"/>
      <w:sz w:val="24"/>
      <w:szCs w:val="20"/>
    </w:rPr>
  </w:style>
  <w:style w:type="character" w:customStyle="1" w:styleId="381">
    <w:name w:val="正文缩进 Char"/>
    <w:autoRedefine/>
    <w:qFormat/>
    <w:uiPriority w:val="0"/>
    <w:rPr>
      <w:rFonts w:ascii="Times New Roman" w:hAnsi="Times New Roman" w:eastAsia="宋体" w:cs="Times New Roman"/>
      <w:szCs w:val="20"/>
    </w:rPr>
  </w:style>
  <w:style w:type="paragraph" w:customStyle="1" w:styleId="382">
    <w:name w:val="正文2"/>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383">
    <w:name w:val="批注文字 Char"/>
    <w:autoRedefine/>
    <w:qFormat/>
    <w:uiPriority w:val="99"/>
    <w:rPr>
      <w:rFonts w:ascii="Times New Roman" w:hAnsi="Times New Roman" w:eastAsia="宋体" w:cs="Times New Roman"/>
      <w:szCs w:val="24"/>
    </w:rPr>
  </w:style>
  <w:style w:type="character" w:customStyle="1" w:styleId="384">
    <w:name w:val="纯文本 Char"/>
    <w:autoRedefine/>
    <w:qFormat/>
    <w:uiPriority w:val="0"/>
    <w:rPr>
      <w:rFonts w:ascii="宋体" w:hAnsi="Courier New" w:eastAsia="宋体" w:cs="Times New Roman"/>
      <w:szCs w:val="21"/>
    </w:rPr>
  </w:style>
  <w:style w:type="paragraph" w:customStyle="1" w:styleId="385">
    <w:name w:val="样式 正文文字-1 + 首行缩进:  2.1 字符1"/>
    <w:basedOn w:val="1"/>
    <w:autoRedefine/>
    <w:qFormat/>
    <w:uiPriority w:val="0"/>
    <w:pPr>
      <w:adjustRightInd/>
      <w:snapToGrid/>
      <w:spacing w:before="120" w:after="120" w:line="440" w:lineRule="exact"/>
      <w:ind w:firstLine="210" w:firstLineChars="210"/>
    </w:pPr>
    <w:rPr>
      <w:rFonts w:cs="宋体"/>
      <w:szCs w:val="20"/>
    </w:rPr>
  </w:style>
  <w:style w:type="paragraph" w:customStyle="1" w:styleId="386">
    <w:name w:val="纯文本4"/>
    <w:basedOn w:val="1"/>
    <w:autoRedefine/>
    <w:qFormat/>
    <w:uiPriority w:val="0"/>
    <w:pPr>
      <w:widowControl/>
      <w:adjustRightInd/>
      <w:snapToGrid/>
      <w:ind w:firstLine="0" w:firstLineChars="0"/>
      <w:jc w:val="left"/>
    </w:pPr>
    <w:rPr>
      <w:rFonts w:ascii="宋体" w:hAnsi="Courier New" w:eastAsia="Times New Roman"/>
      <w:kern w:val="0"/>
      <w:sz w:val="20"/>
      <w:szCs w:val="21"/>
    </w:rPr>
  </w:style>
  <w:style w:type="paragraph" w:customStyle="1" w:styleId="387">
    <w:name w:val="样式 样式 正文文字-1 + 首行缩进:  2.1 字符1 + 首行缩进:  2.1 字符"/>
    <w:basedOn w:val="1"/>
    <w:autoRedefine/>
    <w:qFormat/>
    <w:uiPriority w:val="0"/>
    <w:pPr>
      <w:adjustRightInd/>
      <w:snapToGrid/>
      <w:spacing w:before="120" w:after="120" w:line="400" w:lineRule="exact"/>
      <w:ind w:firstLine="210" w:firstLineChars="210"/>
    </w:pPr>
    <w:rPr>
      <w:rFonts w:cs="宋体"/>
      <w:szCs w:val="20"/>
    </w:rPr>
  </w:style>
  <w:style w:type="table" w:customStyle="1" w:styleId="388">
    <w:name w:val="[表格样式]"/>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389">
    <w:name w:val="reader-word-layer reader-word-s1-7"/>
    <w:basedOn w:val="1"/>
    <w:autoRedefine/>
    <w:qFormat/>
    <w:uiPriority w:val="0"/>
    <w:pPr>
      <w:widowControl/>
      <w:adjustRightInd/>
      <w:snapToGrid/>
      <w:spacing w:before="100" w:beforeAutospacing="1" w:after="100" w:afterAutospacing="1"/>
      <w:ind w:firstLine="0" w:firstLineChars="0"/>
      <w:jc w:val="left"/>
    </w:pPr>
    <w:rPr>
      <w:rFonts w:ascii="宋体" w:hAnsi="宋体" w:eastAsia="Times New Roman" w:cs="宋体"/>
      <w:kern w:val="0"/>
      <w:szCs w:val="24"/>
    </w:rPr>
  </w:style>
  <w:style w:type="character" w:customStyle="1" w:styleId="390">
    <w:name w:val="正 Char1"/>
    <w:link w:val="391"/>
    <w:autoRedefine/>
    <w:qFormat/>
    <w:uiPriority w:val="0"/>
    <w:rPr>
      <w:rFonts w:eastAsia="宋体" w:cs="宋体"/>
      <w:sz w:val="24"/>
    </w:rPr>
  </w:style>
  <w:style w:type="paragraph" w:customStyle="1" w:styleId="391">
    <w:name w:val="正"/>
    <w:basedOn w:val="1"/>
    <w:link w:val="390"/>
    <w:autoRedefine/>
    <w:qFormat/>
    <w:uiPriority w:val="0"/>
    <w:pPr>
      <w:adjustRightInd/>
      <w:snapToGrid/>
      <w:spacing w:beforeLines="25" w:afterLines="25" w:line="440" w:lineRule="exact"/>
      <w:ind w:firstLine="200"/>
    </w:pPr>
    <w:rPr>
      <w:rFonts w:ascii="Calibri" w:hAnsi="Calibri" w:cs="宋体"/>
    </w:rPr>
  </w:style>
  <w:style w:type="paragraph" w:customStyle="1" w:styleId="392">
    <w:name w:val="Char Char Char Char Char Char Char1"/>
    <w:basedOn w:val="1"/>
    <w:autoRedefine/>
    <w:qFormat/>
    <w:uiPriority w:val="0"/>
    <w:pPr>
      <w:snapToGrid/>
      <w:ind w:firstLine="200"/>
      <w:textAlignment w:val="baseline"/>
    </w:pPr>
    <w:rPr>
      <w:rFonts w:ascii="宋体" w:hAnsi="宋体" w:eastAsia="Times New Roman" w:cs="宋体"/>
      <w:szCs w:val="21"/>
    </w:rPr>
  </w:style>
  <w:style w:type="paragraph" w:customStyle="1" w:styleId="393">
    <w:name w:val="Char Char Char Char Char Char Char4"/>
    <w:basedOn w:val="1"/>
    <w:autoRedefine/>
    <w:qFormat/>
    <w:uiPriority w:val="0"/>
    <w:pPr>
      <w:adjustRightInd/>
      <w:snapToGrid/>
      <w:ind w:firstLine="200"/>
    </w:pPr>
    <w:rPr>
      <w:rFonts w:ascii="宋体" w:hAnsi="宋体" w:eastAsia="Times New Roman" w:cs="宋体"/>
      <w:szCs w:val="21"/>
    </w:rPr>
  </w:style>
  <w:style w:type="paragraph" w:customStyle="1" w:styleId="394">
    <w:name w:val="Char Char Char Char Char Char Char3"/>
    <w:basedOn w:val="1"/>
    <w:autoRedefine/>
    <w:qFormat/>
    <w:uiPriority w:val="0"/>
    <w:pPr>
      <w:snapToGrid/>
      <w:ind w:firstLine="200"/>
      <w:textAlignment w:val="baseline"/>
    </w:pPr>
    <w:rPr>
      <w:rFonts w:ascii="宋体" w:hAnsi="宋体" w:eastAsia="Times New Roman" w:cs="宋体"/>
      <w:szCs w:val="21"/>
    </w:rPr>
  </w:style>
  <w:style w:type="character" w:customStyle="1" w:styleId="395">
    <w:name w:val="正文---------------- Char"/>
    <w:link w:val="396"/>
    <w:autoRedefine/>
    <w:qFormat/>
    <w:uiPriority w:val="0"/>
    <w:rPr>
      <w:rFonts w:ascii="Times New Roman" w:hAnsi="Times New Roman" w:eastAsia="宋体" w:cs="Times New Roman"/>
      <w:spacing w:val="16"/>
      <w:sz w:val="24"/>
      <w:szCs w:val="20"/>
    </w:rPr>
  </w:style>
  <w:style w:type="paragraph" w:customStyle="1" w:styleId="396">
    <w:name w:val="正文----------------"/>
    <w:basedOn w:val="1"/>
    <w:link w:val="395"/>
    <w:autoRedefine/>
    <w:qFormat/>
    <w:uiPriority w:val="0"/>
    <w:pPr>
      <w:adjustRightInd/>
      <w:snapToGrid/>
      <w:spacing w:line="440" w:lineRule="exact"/>
      <w:ind w:firstLine="544"/>
    </w:pPr>
    <w:rPr>
      <w:spacing w:val="16"/>
      <w:szCs w:val="20"/>
    </w:rPr>
  </w:style>
  <w:style w:type="paragraph" w:customStyle="1" w:styleId="397">
    <w:name w:val="Char Char Char Char Char Char Char2"/>
    <w:basedOn w:val="1"/>
    <w:autoRedefine/>
    <w:qFormat/>
    <w:uiPriority w:val="0"/>
    <w:pPr>
      <w:snapToGrid/>
      <w:ind w:firstLine="200"/>
      <w:textAlignment w:val="baseline"/>
    </w:pPr>
    <w:rPr>
      <w:rFonts w:ascii="宋体" w:hAnsi="宋体" w:eastAsia="Times New Roman" w:cs="宋体"/>
      <w:szCs w:val="21"/>
    </w:rPr>
  </w:style>
  <w:style w:type="character" w:customStyle="1" w:styleId="398">
    <w:name w:val="正文文本首行缩进 字符"/>
    <w:autoRedefine/>
    <w:qFormat/>
    <w:uiPriority w:val="0"/>
    <w:rPr>
      <w:rFonts w:ascii="Times New Roman" w:hAnsi="Times New Roman"/>
    </w:rPr>
  </w:style>
  <w:style w:type="character" w:customStyle="1" w:styleId="399">
    <w:name w:val="表格文字 Char"/>
    <w:link w:val="360"/>
    <w:autoRedefine/>
    <w:qFormat/>
    <w:uiPriority w:val="0"/>
    <w:rPr>
      <w:rFonts w:ascii="宋体" w:hAnsi="宋体"/>
      <w:snapToGrid w:val="0"/>
      <w:spacing w:val="6"/>
      <w:sz w:val="24"/>
    </w:rPr>
  </w:style>
  <w:style w:type="character" w:customStyle="1" w:styleId="400">
    <w:name w:val="表文 Char"/>
    <w:link w:val="356"/>
    <w:autoRedefine/>
    <w:qFormat/>
    <w:uiPriority w:val="0"/>
    <w:rPr>
      <w:rFonts w:ascii="宋体" w:hAnsi="宋体" w:cs="宋体"/>
      <w:bCs/>
      <w:iCs/>
      <w:sz w:val="24"/>
      <w:szCs w:val="21"/>
    </w:rPr>
  </w:style>
  <w:style w:type="paragraph" w:customStyle="1" w:styleId="401">
    <w:name w:val="正文3"/>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402">
    <w:name w:val="正文5"/>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403">
    <w:name w:val="正文文本首行缩进 2 字符"/>
    <w:link w:val="23"/>
    <w:autoRedefine/>
    <w:semiHidden/>
    <w:qFormat/>
    <w:uiPriority w:val="99"/>
    <w:rPr>
      <w:rFonts w:ascii="Times New Roman" w:hAnsi="Times New Roman"/>
      <w:kern w:val="2"/>
      <w:sz w:val="24"/>
      <w:szCs w:val="22"/>
    </w:rPr>
  </w:style>
  <w:style w:type="paragraph" w:customStyle="1" w:styleId="404">
    <w:name w:val="正文文字-1"/>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5">
    <w:name w:val="表格内正文 Char"/>
    <w:link w:val="406"/>
    <w:autoRedefine/>
    <w:qFormat/>
    <w:uiPriority w:val="0"/>
    <w:rPr>
      <w:szCs w:val="24"/>
    </w:rPr>
  </w:style>
  <w:style w:type="paragraph" w:customStyle="1" w:styleId="406">
    <w:name w:val="表格内正文"/>
    <w:basedOn w:val="1"/>
    <w:link w:val="405"/>
    <w:autoRedefine/>
    <w:qFormat/>
    <w:uiPriority w:val="0"/>
    <w:pPr>
      <w:adjustRightInd/>
      <w:snapToGrid/>
      <w:ind w:firstLine="0" w:firstLineChars="0"/>
      <w:jc w:val="center"/>
    </w:pPr>
    <w:rPr>
      <w:rFonts w:ascii="Calibri" w:hAnsi="Calibri"/>
      <w:kern w:val="0"/>
      <w:sz w:val="20"/>
      <w:szCs w:val="24"/>
    </w:rPr>
  </w:style>
  <w:style w:type="paragraph" w:customStyle="1" w:styleId="407">
    <w:name w:val="正文文字-1 Char"/>
    <w:link w:val="408"/>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8">
    <w:name w:val="正文文字-1 Char Char"/>
    <w:link w:val="407"/>
    <w:autoRedefine/>
    <w:qFormat/>
    <w:uiPriority w:val="0"/>
    <w:rPr>
      <w:rFonts w:ascii="Times New Roman" w:hAnsi="Times New Roman"/>
      <w:kern w:val="2"/>
      <w:sz w:val="24"/>
      <w:szCs w:val="24"/>
    </w:rPr>
  </w:style>
  <w:style w:type="character" w:customStyle="1" w:styleId="409">
    <w:name w:val="正文首行缩进 2 Char"/>
    <w:autoRedefine/>
    <w:qFormat/>
    <w:uiPriority w:val="0"/>
    <w:rPr>
      <w:kern w:val="2"/>
      <w:sz w:val="21"/>
      <w:szCs w:val="21"/>
    </w:rPr>
  </w:style>
  <w:style w:type="paragraph" w:customStyle="1" w:styleId="410">
    <w:name w:val="CM16"/>
    <w:basedOn w:val="1"/>
    <w:next w:val="1"/>
    <w:autoRedefine/>
    <w:qFormat/>
    <w:uiPriority w:val="99"/>
    <w:pPr>
      <w:autoSpaceDE w:val="0"/>
      <w:autoSpaceDN w:val="0"/>
      <w:snapToGrid/>
      <w:spacing w:line="468" w:lineRule="atLeast"/>
      <w:ind w:firstLine="0" w:firstLineChars="0"/>
    </w:pPr>
    <w:rPr>
      <w:rFonts w:ascii="宋体" w:hAnsi="Calibri" w:cs="宋体"/>
      <w:kern w:val="0"/>
      <w:szCs w:val="24"/>
    </w:rPr>
  </w:style>
  <w:style w:type="paragraph" w:customStyle="1" w:styleId="411">
    <w:name w:val="_Style 2"/>
    <w:basedOn w:val="1"/>
    <w:autoRedefine/>
    <w:qFormat/>
    <w:uiPriority w:val="0"/>
    <w:pPr>
      <w:adjustRightInd/>
      <w:snapToGrid/>
      <w:spacing w:line="240" w:lineRule="auto"/>
      <w:ind w:firstLine="420"/>
    </w:pPr>
    <w:rPr>
      <w:rFonts w:ascii="Verdana" w:hAnsi="Verdana" w:cs="宋体"/>
      <w:sz w:val="21"/>
      <w:szCs w:val="24"/>
    </w:rPr>
  </w:style>
  <w:style w:type="paragraph" w:customStyle="1" w:styleId="412">
    <w:name w:val="lily 正文"/>
    <w:basedOn w:val="1"/>
    <w:autoRedefine/>
    <w:qFormat/>
    <w:uiPriority w:val="0"/>
    <w:pPr>
      <w:adjustRightInd/>
      <w:snapToGrid/>
      <w:spacing w:line="440" w:lineRule="atLeast"/>
    </w:pPr>
    <w:rPr>
      <w:szCs w:val="20"/>
    </w:rPr>
  </w:style>
  <w:style w:type="paragraph" w:customStyle="1" w:styleId="413">
    <w:name w:val="Table Paragraph"/>
    <w:basedOn w:val="1"/>
    <w:autoRedefine/>
    <w:qFormat/>
    <w:uiPriority w:val="99"/>
    <w:pPr>
      <w:adjustRightInd/>
      <w:snapToGrid/>
      <w:spacing w:line="240" w:lineRule="auto"/>
      <w:ind w:firstLine="0" w:firstLineChars="0"/>
      <w:jc w:val="left"/>
    </w:pPr>
    <w:rPr>
      <w:rFonts w:ascii="Calibri" w:hAnsi="Calibri"/>
      <w:kern w:val="0"/>
      <w:sz w:val="22"/>
      <w:lang w:eastAsia="en-US"/>
    </w:rPr>
  </w:style>
  <w:style w:type="paragraph" w:customStyle="1" w:styleId="414">
    <w:name w:val="正文6"/>
    <w:link w:val="417"/>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415">
    <w:name w:val="样式"/>
    <w:autoRedefine/>
    <w:qFormat/>
    <w:uiPriority w:val="0"/>
    <w:pPr>
      <w:widowControl w:val="0"/>
      <w:autoSpaceDE w:val="0"/>
      <w:autoSpaceDN w:val="0"/>
      <w:adjustRightInd w:val="0"/>
    </w:pPr>
    <w:rPr>
      <w:rFonts w:ascii="宋体" w:hAnsi="宋体" w:eastAsia="宋体" w:cs="Times New Roman"/>
      <w:sz w:val="24"/>
      <w:szCs w:val="24"/>
      <w:lang w:val="en-US" w:eastAsia="zh-CN" w:bidi="ar-SA"/>
    </w:rPr>
  </w:style>
  <w:style w:type="character" w:customStyle="1" w:styleId="416">
    <w:name w:val="标题 Char1"/>
    <w:autoRedefine/>
    <w:qFormat/>
    <w:uiPriority w:val="0"/>
    <w:rPr>
      <w:rFonts w:eastAsia="黑体"/>
      <w:kern w:val="2"/>
      <w:sz w:val="36"/>
      <w:szCs w:val="36"/>
    </w:rPr>
  </w:style>
  <w:style w:type="character" w:customStyle="1" w:styleId="417">
    <w:name w:val="Normal Char Char"/>
    <w:link w:val="414"/>
    <w:autoRedefine/>
    <w:qFormat/>
    <w:uiPriority w:val="0"/>
    <w:rPr>
      <w:rFonts w:ascii="Times New Roman" w:hAnsi="Times New Roman"/>
      <w:kern w:val="2"/>
      <w:sz w:val="21"/>
      <w:szCs w:val="21"/>
    </w:rPr>
  </w:style>
  <w:style w:type="paragraph" w:customStyle="1" w:styleId="418">
    <w:name w:val="样式 正文文字-1 + 首行缩进:  2.1 字符"/>
    <w:basedOn w:val="1"/>
    <w:autoRedefine/>
    <w:qFormat/>
    <w:uiPriority w:val="0"/>
    <w:pPr>
      <w:adjustRightInd/>
      <w:snapToGrid/>
      <w:spacing w:before="60" w:after="60" w:line="440" w:lineRule="exact"/>
      <w:ind w:firstLine="210" w:firstLineChars="210"/>
    </w:pPr>
    <w:rPr>
      <w:rFonts w:cs="宋体"/>
      <w:szCs w:val="20"/>
    </w:rPr>
  </w:style>
  <w:style w:type="character" w:customStyle="1" w:styleId="419">
    <w:name w:val="样式 样式 四号 蓝色 + 自动设置"/>
    <w:autoRedefine/>
    <w:qFormat/>
    <w:uiPriority w:val="0"/>
    <w:rPr>
      <w:color w:val="auto"/>
      <w:sz w:val="24"/>
    </w:rPr>
  </w:style>
  <w:style w:type="character" w:customStyle="1" w:styleId="420">
    <w:name w:val="正文文本 Char"/>
    <w:autoRedefine/>
    <w:qFormat/>
    <w:uiPriority w:val="0"/>
    <w:rPr>
      <w:rFonts w:ascii="Times New Roman" w:hAnsi="Times New Roman" w:eastAsia="宋体" w:cs="Times New Roman"/>
      <w:szCs w:val="24"/>
    </w:rPr>
  </w:style>
  <w:style w:type="paragraph" w:customStyle="1" w:styleId="421">
    <w:name w:val="Char1 Char Char Char"/>
    <w:basedOn w:val="1"/>
    <w:autoRedefine/>
    <w:qFormat/>
    <w:uiPriority w:val="0"/>
    <w:pPr>
      <w:adjustRightInd/>
      <w:snapToGrid/>
      <w:spacing w:line="240" w:lineRule="auto"/>
    </w:pPr>
    <w:rPr>
      <w:rFonts w:ascii="宋体"/>
      <w:sz w:val="28"/>
      <w:szCs w:val="24"/>
    </w:rPr>
  </w:style>
  <w:style w:type="character" w:customStyle="1" w:styleId="422">
    <w:name w:val="【表中文字】 Char Char"/>
    <w:autoRedefine/>
    <w:qFormat/>
    <w:uiPriority w:val="0"/>
    <w:rPr>
      <w:kern w:val="2"/>
      <w:sz w:val="21"/>
    </w:rPr>
  </w:style>
  <w:style w:type="paragraph" w:customStyle="1" w:styleId="423">
    <w:name w:val="font6"/>
    <w:basedOn w:val="1"/>
    <w:next w:val="38"/>
    <w:autoRedefine/>
    <w:qFormat/>
    <w:uiPriority w:val="0"/>
    <w:pPr>
      <w:widowControl/>
      <w:adjustRightInd/>
      <w:snapToGrid/>
      <w:spacing w:before="280" w:after="280" w:line="240" w:lineRule="auto"/>
      <w:ind w:firstLine="0"/>
    </w:pPr>
    <w:rPr>
      <w:rFonts w:cs="仿宋_GB2312"/>
      <w:sz w:val="21"/>
      <w:szCs w:val="28"/>
    </w:rPr>
  </w:style>
  <w:style w:type="table" w:customStyle="1" w:styleId="424">
    <w:name w:val="网格型1"/>
    <w:basedOn w:val="47"/>
    <w:autoRedefine/>
    <w:qFormat/>
    <w:uiPriority w:val="99"/>
    <w:pPr>
      <w:adjustRightInd w:val="0"/>
      <w:snapToGrid w:val="0"/>
      <w:jc w:val="center"/>
    </w:pPr>
    <w:rPr>
      <w:kern w:val="2"/>
      <w:sz w:val="21"/>
      <w:szCs w:val="22"/>
    </w:r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table" w:customStyle="1" w:styleId="425">
    <w:name w:val="网格型31"/>
    <w:basedOn w:val="47"/>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6">
    <w:name w:val="[表格样式]1"/>
    <w:basedOn w:val="47"/>
    <w:autoRedefine/>
    <w:qFormat/>
    <w:uiPriority w:val="99"/>
    <w:pPr>
      <w:adjustRightInd w:val="0"/>
      <w:snapToGrid w:val="0"/>
      <w:jc w:val="center"/>
    </w:pPr>
    <w:rPr>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7">
    <w:name w:val="[表格样式]2"/>
    <w:basedOn w:val="47"/>
    <w:autoRedefine/>
    <w:qFormat/>
    <w:uiPriority w:val="99"/>
    <w:pPr>
      <w:adjustRightInd w:val="0"/>
      <w:snapToGrid w:val="0"/>
      <w:jc w:val="center"/>
    </w:pPr>
    <w:rPr>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8">
    <w:name w:val="[表格样式]3"/>
    <w:basedOn w:val="47"/>
    <w:autoRedefine/>
    <w:qFormat/>
    <w:uiPriority w:val="99"/>
    <w:pPr>
      <w:adjustRightInd w:val="0"/>
      <w:snapToGrid w:val="0"/>
      <w:jc w:val="center"/>
    </w:pPr>
    <w:rPr>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9">
    <w:name w:val="[表格样式]4"/>
    <w:basedOn w:val="47"/>
    <w:autoRedefine/>
    <w:qFormat/>
    <w:uiPriority w:val="99"/>
    <w:pPr>
      <w:adjustRightInd w:val="0"/>
      <w:snapToGrid w:val="0"/>
      <w:jc w:val="center"/>
    </w:pPr>
    <w:rPr>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0">
    <w:name w:val="[表格样式]5"/>
    <w:basedOn w:val="47"/>
    <w:autoRedefine/>
    <w:qFormat/>
    <w:uiPriority w:val="99"/>
    <w:pPr>
      <w:adjustRightInd w:val="0"/>
      <w:snapToGrid w:val="0"/>
      <w:jc w:val="center"/>
    </w:pPr>
    <w:rPr>
      <w:snapToGrid w:val="0"/>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31">
    <w:name w:val="【正文】 Char Char"/>
    <w:autoRedefine/>
    <w:qFormat/>
    <w:uiPriority w:val="0"/>
    <w:rPr>
      <w:rFonts w:cs="宋体"/>
      <w:sz w:val="24"/>
    </w:rPr>
  </w:style>
  <w:style w:type="character" w:styleId="432">
    <w:name w:val="Placeholder Text"/>
    <w:autoRedefine/>
    <w:semiHidden/>
    <w:qFormat/>
    <w:uiPriority w:val="99"/>
    <w:rPr>
      <w:color w:val="808080"/>
    </w:rPr>
  </w:style>
  <w:style w:type="character" w:customStyle="1" w:styleId="433">
    <w:name w:val="未处理的提及1"/>
    <w:autoRedefine/>
    <w:semiHidden/>
    <w:unhideWhenUsed/>
    <w:qFormat/>
    <w:uiPriority w:val="99"/>
    <w:rPr>
      <w:color w:val="808080"/>
      <w:shd w:val="clear" w:color="auto" w:fill="E6E6E6"/>
    </w:rPr>
  </w:style>
  <w:style w:type="character" w:customStyle="1" w:styleId="434">
    <w:name w:val="【正文】 Char1"/>
    <w:autoRedefine/>
    <w:qFormat/>
    <w:locked/>
    <w:uiPriority w:val="0"/>
    <w:rPr>
      <w:rFonts w:ascii="Times New Roman" w:hAnsi="Times New Roman" w:eastAsia="宋体" w:cs="Times New Roman"/>
      <w:sz w:val="24"/>
      <w:szCs w:val="24"/>
    </w:rPr>
  </w:style>
  <w:style w:type="character" w:customStyle="1" w:styleId="435">
    <w:name w:val="未处理的提及2"/>
    <w:autoRedefine/>
    <w:semiHidden/>
    <w:unhideWhenUsed/>
    <w:qFormat/>
    <w:uiPriority w:val="99"/>
    <w:rPr>
      <w:color w:val="605E5C"/>
      <w:shd w:val="clear" w:color="auto" w:fill="E1DFDD"/>
    </w:rPr>
  </w:style>
  <w:style w:type="character" w:customStyle="1" w:styleId="436">
    <w:name w:val="font31"/>
    <w:autoRedefine/>
    <w:qFormat/>
    <w:uiPriority w:val="0"/>
    <w:rPr>
      <w:rFonts w:hint="eastAsia" w:ascii="宋体" w:hAnsi="宋体" w:eastAsia="宋体" w:cs="宋体"/>
      <w:color w:val="000000"/>
      <w:sz w:val="16"/>
      <w:szCs w:val="16"/>
      <w:u w:val="none"/>
    </w:rPr>
  </w:style>
  <w:style w:type="character" w:customStyle="1" w:styleId="437">
    <w:name w:val="sub_title2"/>
    <w:autoRedefine/>
    <w:qFormat/>
    <w:uiPriority w:val="0"/>
    <w:rPr>
      <w:rFonts w:hint="default" w:ascii="Verdana" w:hAnsi="Verdana"/>
      <w:b/>
      <w:bCs/>
      <w:sz w:val="21"/>
      <w:szCs w:val="21"/>
    </w:rPr>
  </w:style>
  <w:style w:type="paragraph" w:customStyle="1" w:styleId="438">
    <w:name w:val="Char Char Char Char"/>
    <w:basedOn w:val="1"/>
    <w:autoRedefine/>
    <w:qFormat/>
    <w:uiPriority w:val="0"/>
    <w:pPr>
      <w:widowControl/>
      <w:adjustRightInd/>
      <w:snapToGrid/>
      <w:spacing w:after="160" w:line="240" w:lineRule="exact"/>
      <w:ind w:firstLine="0" w:firstLineChars="0"/>
      <w:jc w:val="left"/>
    </w:pPr>
    <w:rPr>
      <w:rFonts w:ascii="Verdana" w:hAnsi="Verdana" w:cs="Verdana"/>
      <w:kern w:val="0"/>
      <w:sz w:val="20"/>
      <w:szCs w:val="20"/>
      <w:lang w:eastAsia="en-US"/>
    </w:rPr>
  </w:style>
  <w:style w:type="character" w:customStyle="1" w:styleId="439">
    <w:name w:val="正文首行缩进 2 字符"/>
    <w:link w:val="440"/>
    <w:autoRedefine/>
    <w:semiHidden/>
    <w:qFormat/>
    <w:uiPriority w:val="99"/>
    <w:rPr>
      <w:rFonts w:ascii="Times New Roman" w:hAnsi="Times New Roman" w:eastAsia="宋体"/>
      <w:sz w:val="24"/>
    </w:rPr>
  </w:style>
  <w:style w:type="paragraph" w:customStyle="1" w:styleId="440">
    <w:name w:val="2"/>
    <w:basedOn w:val="20"/>
    <w:next w:val="23"/>
    <w:link w:val="439"/>
    <w:autoRedefine/>
    <w:unhideWhenUsed/>
    <w:qFormat/>
    <w:uiPriority w:val="99"/>
    <w:pPr>
      <w:adjustRightInd w:val="0"/>
      <w:snapToGrid w:val="0"/>
      <w:spacing w:after="120" w:line="360" w:lineRule="auto"/>
      <w:ind w:left="420" w:leftChars="200" w:firstLine="420" w:firstLineChars="200"/>
    </w:pPr>
    <w:rPr>
      <w:rFonts w:ascii="Times New Roman" w:hAnsi="Times New Roman"/>
      <w:kern w:val="0"/>
      <w:sz w:val="24"/>
      <w:szCs w:val="20"/>
    </w:rPr>
  </w:style>
  <w:style w:type="table" w:customStyle="1" w:styleId="441">
    <w:name w:val="网格型001"/>
    <w:basedOn w:val="4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42">
    <w:name w:val="Char Char Char Char Char Char Char5"/>
    <w:basedOn w:val="1"/>
    <w:autoRedefine/>
    <w:qFormat/>
    <w:uiPriority w:val="0"/>
    <w:pPr>
      <w:adjustRightInd/>
      <w:snapToGrid/>
      <w:ind w:firstLine="200"/>
    </w:pPr>
    <w:rPr>
      <w:rFonts w:ascii="宋体" w:hAnsi="宋体" w:cs="宋体"/>
      <w:szCs w:val="24"/>
    </w:rPr>
  </w:style>
  <w:style w:type="table" w:customStyle="1" w:styleId="443">
    <w:name w:val="网格表 1 浅色1"/>
    <w:basedOn w:val="47"/>
    <w:autoRedefine/>
    <w:qFormat/>
    <w:uiPriority w:val="46"/>
    <w:rPr>
      <w:kern w:val="2"/>
      <w:sz w:val="21"/>
      <w:szCs w:val="22"/>
    </w:rPr>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cPr>
        <w:tcBorders>
          <w:bottom w:val="single" w:color="666666" w:sz="12" w:space="0"/>
        </w:tcBorders>
      </w:tcPr>
    </w:tblStylePr>
    <w:tblStylePr w:type="lastRow">
      <w:rPr>
        <w:b/>
        <w:bCs/>
      </w:rPr>
      <w:tcPr>
        <w:tcBorders>
          <w:top w:val="double" w:color="666666" w:sz="2" w:space="0"/>
        </w:tcBorders>
      </w:tcPr>
    </w:tblStylePr>
    <w:tblStylePr w:type="firstCol">
      <w:rPr>
        <w:b/>
        <w:bCs/>
      </w:rPr>
    </w:tblStylePr>
    <w:tblStylePr w:type="lastCol">
      <w:rPr>
        <w:b/>
        <w:bCs/>
      </w:rPr>
    </w:tblStylePr>
  </w:style>
  <w:style w:type="table" w:customStyle="1" w:styleId="444">
    <w:name w:val="网格型11"/>
    <w:basedOn w:val="47"/>
    <w:autoRedefine/>
    <w:qFormat/>
    <w:uiPriority w:val="59"/>
    <w:pPr>
      <w:jc w:val="center"/>
    </w:pPr>
    <w:rPr>
      <w:kern w:val="2"/>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5">
    <w:name w:val="[表格样式]11"/>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6">
    <w:name w:val="[表格样式]21"/>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47">
    <w:name w:val="[表格样式]31"/>
    <w:basedOn w:val="47"/>
    <w:autoRedefine/>
    <w:qFormat/>
    <w:uiPriority w:val="99"/>
    <w:pPr>
      <w:adjustRightInd w:val="0"/>
      <w:snapToGrid w:val="0"/>
      <w:jc w:val="center"/>
    </w:pPr>
    <w:rPr>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48">
    <w:name w:val="【表中文字】- 字符"/>
    <w:link w:val="449"/>
    <w:autoRedefine/>
    <w:qFormat/>
    <w:uiPriority w:val="0"/>
  </w:style>
  <w:style w:type="paragraph" w:customStyle="1" w:styleId="449">
    <w:name w:val="【表中文字】-"/>
    <w:basedOn w:val="1"/>
    <w:link w:val="448"/>
    <w:autoRedefine/>
    <w:qFormat/>
    <w:uiPriority w:val="0"/>
    <w:pPr>
      <w:widowControl/>
      <w:adjustRightInd/>
      <w:snapToGrid/>
      <w:spacing w:line="240" w:lineRule="auto"/>
      <w:ind w:firstLine="0" w:firstLineChars="0"/>
      <w:jc w:val="center"/>
    </w:pPr>
    <w:rPr>
      <w:rFonts w:ascii="Calibri" w:hAnsi="Calibri"/>
      <w:kern w:val="0"/>
      <w:sz w:val="20"/>
      <w:szCs w:val="20"/>
    </w:rPr>
  </w:style>
  <w:style w:type="character" w:customStyle="1" w:styleId="450">
    <w:name w:val="Default Char"/>
    <w:link w:val="63"/>
    <w:autoRedefine/>
    <w:qFormat/>
    <w:locked/>
    <w:uiPriority w:val="0"/>
    <w:rPr>
      <w:rFonts w:ascii="宋体" w:hAnsi="Times New Roman" w:cs="宋体"/>
      <w:color w:val="000000"/>
      <w:sz w:val="24"/>
      <w:szCs w:val="24"/>
    </w:rPr>
  </w:style>
  <w:style w:type="paragraph" w:customStyle="1" w:styleId="451">
    <w:name w:val="Char Char Char Char2"/>
    <w:basedOn w:val="1"/>
    <w:autoRedefine/>
    <w:qFormat/>
    <w:uiPriority w:val="0"/>
    <w:pPr>
      <w:adjustRightInd/>
      <w:snapToGrid/>
      <w:spacing w:line="240" w:lineRule="auto"/>
      <w:ind w:firstLine="0" w:firstLineChars="0"/>
    </w:pPr>
    <w:rPr>
      <w:rFonts w:ascii="Calibri" w:hAnsi="Calibri"/>
      <w:sz w:val="21"/>
      <w:szCs w:val="24"/>
    </w:rPr>
  </w:style>
  <w:style w:type="paragraph" w:customStyle="1" w:styleId="452">
    <w:name w:val="11111"/>
    <w:basedOn w:val="1"/>
    <w:next w:val="1"/>
    <w:autoRedefine/>
    <w:qFormat/>
    <w:uiPriority w:val="0"/>
    <w:pPr>
      <w:adjustRightInd/>
      <w:snapToGrid/>
      <w:ind w:firstLine="200"/>
    </w:pPr>
    <w:rPr>
      <w:rFonts w:ascii="宋体" w:hAnsi="宋体" w:cs="宋体"/>
    </w:rPr>
  </w:style>
  <w:style w:type="character" w:customStyle="1" w:styleId="453">
    <w:name w:val="不明显强调11"/>
    <w:autoRedefine/>
    <w:qFormat/>
    <w:uiPriority w:val="19"/>
    <w:rPr>
      <w:rFonts w:ascii="Times New Roman" w:hAnsi="Times New Roman"/>
      <w:i/>
      <w:iCs/>
      <w:color w:val="808080"/>
      <w:szCs w:val="20"/>
    </w:rPr>
  </w:style>
  <w:style w:type="paragraph" w:customStyle="1" w:styleId="454">
    <w:name w:val="z-窗体顶端11"/>
    <w:basedOn w:val="1"/>
    <w:next w:val="1"/>
    <w:autoRedefine/>
    <w:qFormat/>
    <w:uiPriority w:val="0"/>
    <w:pPr>
      <w:pBdr>
        <w:bottom w:val="single" w:color="auto" w:sz="6" w:space="1"/>
      </w:pBdr>
      <w:adjustRightInd/>
      <w:snapToGrid/>
      <w:spacing w:line="240" w:lineRule="auto"/>
      <w:ind w:firstLine="0" w:firstLineChars="0"/>
      <w:jc w:val="center"/>
    </w:pPr>
    <w:rPr>
      <w:rFonts w:ascii="Arial"/>
      <w:vanish/>
      <w:kern w:val="0"/>
      <w:sz w:val="16"/>
      <w:szCs w:val="20"/>
    </w:rPr>
  </w:style>
  <w:style w:type="paragraph" w:customStyle="1" w:styleId="455">
    <w:name w:val="z-窗体底端11"/>
    <w:basedOn w:val="1"/>
    <w:next w:val="1"/>
    <w:autoRedefine/>
    <w:qFormat/>
    <w:uiPriority w:val="0"/>
    <w:pPr>
      <w:pBdr>
        <w:top w:val="single" w:color="auto" w:sz="6" w:space="1"/>
      </w:pBdr>
      <w:adjustRightInd/>
      <w:snapToGrid/>
      <w:spacing w:line="240" w:lineRule="auto"/>
      <w:ind w:firstLine="0" w:firstLineChars="0"/>
      <w:jc w:val="center"/>
    </w:pPr>
    <w:rPr>
      <w:rFonts w:ascii="Arial"/>
      <w:vanish/>
      <w:kern w:val="0"/>
      <w:sz w:val="16"/>
      <w:szCs w:val="20"/>
    </w:rPr>
  </w:style>
  <w:style w:type="paragraph" w:customStyle="1" w:styleId="456">
    <w:name w:val="TOC 标题11"/>
    <w:basedOn w:val="3"/>
    <w:next w:val="1"/>
    <w:autoRedefine/>
    <w:qFormat/>
    <w:uiPriority w:val="39"/>
    <w:pPr>
      <w:keepNext/>
      <w:keepLines/>
      <w:widowControl/>
      <w:spacing w:before="480" w:line="276" w:lineRule="auto"/>
      <w:outlineLvl w:val="9"/>
    </w:pPr>
    <w:rPr>
      <w:rFonts w:ascii="Cambria" w:hAnsi="Cambria"/>
      <w:b/>
      <w:bCs/>
      <w:color w:val="365F91"/>
      <w:sz w:val="28"/>
      <w:szCs w:val="28"/>
      <w:lang w:val="zh-CN"/>
    </w:rPr>
  </w:style>
  <w:style w:type="character" w:customStyle="1" w:styleId="457">
    <w:name w:val="【正文四号】 Char"/>
    <w:link w:val="458"/>
    <w:autoRedefine/>
    <w:qFormat/>
    <w:uiPriority w:val="0"/>
    <w:rPr>
      <w:sz w:val="28"/>
      <w:szCs w:val="24"/>
    </w:rPr>
  </w:style>
  <w:style w:type="paragraph" w:customStyle="1" w:styleId="458">
    <w:name w:val="【正文四号】"/>
    <w:basedOn w:val="1"/>
    <w:link w:val="457"/>
    <w:autoRedefine/>
    <w:qFormat/>
    <w:uiPriority w:val="0"/>
    <w:pPr>
      <w:adjustRightInd/>
      <w:snapToGrid/>
    </w:pPr>
    <w:rPr>
      <w:rFonts w:ascii="Calibri" w:hAnsi="Calibri"/>
      <w:kern w:val="0"/>
      <w:sz w:val="28"/>
      <w:szCs w:val="24"/>
    </w:rPr>
  </w:style>
  <w:style w:type="paragraph" w:customStyle="1" w:styleId="459">
    <w:name w:val="Char Char Char Char1"/>
    <w:basedOn w:val="1"/>
    <w:autoRedefine/>
    <w:semiHidden/>
    <w:qFormat/>
    <w:uiPriority w:val="0"/>
    <w:pPr>
      <w:widowControl/>
      <w:adjustRightInd/>
      <w:snapToGrid/>
      <w:spacing w:after="160" w:line="240" w:lineRule="exact"/>
      <w:ind w:firstLine="0" w:firstLineChars="0"/>
      <w:jc w:val="left"/>
    </w:pPr>
    <w:rPr>
      <w:rFonts w:ascii="Verdana" w:hAnsi="Verdana" w:cs="Verdana"/>
      <w:kern w:val="0"/>
      <w:sz w:val="20"/>
      <w:szCs w:val="20"/>
      <w:lang w:eastAsia="en-US"/>
    </w:rPr>
  </w:style>
  <w:style w:type="paragraph" w:styleId="460">
    <w:name w:val="No Spacing"/>
    <w:link w:val="461"/>
    <w:autoRedefine/>
    <w:qFormat/>
    <w:uiPriority w:val="1"/>
    <w:rPr>
      <w:rFonts w:ascii="Calibri" w:hAnsi="Calibri" w:eastAsia="宋体" w:cs="Times New Roman"/>
      <w:sz w:val="22"/>
      <w:szCs w:val="22"/>
      <w:lang w:val="en-US" w:eastAsia="zh-CN" w:bidi="ar-SA"/>
    </w:rPr>
  </w:style>
  <w:style w:type="character" w:customStyle="1" w:styleId="461">
    <w:name w:val="无间隔 字符"/>
    <w:link w:val="460"/>
    <w:autoRedefine/>
    <w:qFormat/>
    <w:uiPriority w:val="1"/>
    <w:rPr>
      <w:sz w:val="22"/>
      <w:szCs w:val="22"/>
    </w:rPr>
  </w:style>
  <w:style w:type="character" w:customStyle="1" w:styleId="462">
    <w:name w:val="未处理的提及21"/>
    <w:autoRedefine/>
    <w:semiHidden/>
    <w:unhideWhenUsed/>
    <w:qFormat/>
    <w:uiPriority w:val="99"/>
    <w:rPr>
      <w:color w:val="605E5C"/>
      <w:shd w:val="clear" w:color="auto" w:fill="E1DFDD"/>
    </w:rPr>
  </w:style>
  <w:style w:type="paragraph" w:customStyle="1" w:styleId="463">
    <w:name w:val="正文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464">
    <w:name w:val="【表头】 Char Char"/>
    <w:autoRedefine/>
    <w:qFormat/>
    <w:uiPriority w:val="0"/>
    <w:rPr>
      <w:b/>
      <w:sz w:val="24"/>
    </w:rPr>
  </w:style>
  <w:style w:type="character" w:customStyle="1" w:styleId="465">
    <w:name w:val="xqlypc"/>
    <w:basedOn w:val="49"/>
    <w:autoRedefine/>
    <w:qFormat/>
    <w:uiPriority w:val="0"/>
  </w:style>
  <w:style w:type="paragraph" w:customStyle="1" w:styleId="466">
    <w:name w:val="样式 样式 样式 标题 4款标题1.1.1.1 南陵标题 4标题 4 CharH4PIM 4h4First Subheadin...."/>
    <w:basedOn w:val="1"/>
    <w:autoRedefine/>
    <w:qFormat/>
    <w:uiPriority w:val="0"/>
    <w:pPr>
      <w:adjustRightInd/>
      <w:snapToGrid/>
      <w:ind w:firstLine="0" w:firstLineChars="0"/>
      <w:jc w:val="left"/>
      <w:outlineLvl w:val="3"/>
    </w:pPr>
    <w:rPr>
      <w:rFonts w:ascii="黑体" w:hAnsi="宋体" w:eastAsia="黑体"/>
      <w:kern w:val="0"/>
      <w:szCs w:val="24"/>
    </w:rPr>
  </w:style>
  <w:style w:type="paragraph" w:customStyle="1" w:styleId="467">
    <w:name w:val="表格标题1"/>
    <w:basedOn w:val="1"/>
    <w:autoRedefine/>
    <w:qFormat/>
    <w:uiPriority w:val="0"/>
    <w:pPr>
      <w:widowControl/>
      <w:adjustRightInd/>
      <w:snapToGrid/>
      <w:spacing w:line="240" w:lineRule="auto"/>
      <w:ind w:left="-105" w:leftChars="-50" w:right="-50" w:rightChars="-50" w:firstLine="0" w:firstLineChars="0"/>
      <w:jc w:val="center"/>
    </w:pPr>
    <w:rPr>
      <w:rFonts w:ascii="黑体" w:hAnsi="黑体"/>
      <w:b/>
      <w:kern w:val="0"/>
      <w:sz w:val="21"/>
      <w:szCs w:val="20"/>
    </w:rPr>
  </w:style>
  <w:style w:type="character" w:customStyle="1" w:styleId="468">
    <w:name w:val="【正文--】 字符"/>
    <w:link w:val="469"/>
    <w:autoRedefine/>
    <w:qFormat/>
    <w:uiPriority w:val="0"/>
    <w:rPr>
      <w:rFonts w:ascii="Times New Roman" w:hAnsi="Times New Roman"/>
      <w:sz w:val="24"/>
      <w:lang w:val="zh-CN" w:eastAsia="zh-CN"/>
    </w:rPr>
  </w:style>
  <w:style w:type="paragraph" w:customStyle="1" w:styleId="469">
    <w:name w:val="【正文--】"/>
    <w:basedOn w:val="1"/>
    <w:link w:val="468"/>
    <w:autoRedefine/>
    <w:qFormat/>
    <w:uiPriority w:val="0"/>
    <w:pPr>
      <w:spacing w:line="500" w:lineRule="exact"/>
      <w:ind w:firstLine="200"/>
    </w:pPr>
    <w:rPr>
      <w:kern w:val="0"/>
      <w:szCs w:val="20"/>
      <w:lang w:val="zh-CN"/>
    </w:rPr>
  </w:style>
  <w:style w:type="paragraph" w:customStyle="1" w:styleId="470">
    <w:name w:val="C首行缩进正文"/>
    <w:basedOn w:val="1"/>
    <w:link w:val="471"/>
    <w:autoRedefine/>
    <w:qFormat/>
    <w:uiPriority w:val="0"/>
    <w:pPr>
      <w:adjustRightInd/>
      <w:snapToGrid/>
      <w:ind w:firstLine="200"/>
    </w:pPr>
    <w:rPr>
      <w:rFonts w:cs="宋体"/>
      <w:color w:val="000000" w:themeColor="text1"/>
      <w:sz w:val="21"/>
      <w:szCs w:val="24"/>
      <w14:textFill>
        <w14:solidFill>
          <w14:schemeClr w14:val="tx1"/>
        </w14:solidFill>
      </w14:textFill>
    </w:rPr>
  </w:style>
  <w:style w:type="character" w:customStyle="1" w:styleId="471">
    <w:name w:val="C首行缩进正文 字符"/>
    <w:basedOn w:val="49"/>
    <w:link w:val="470"/>
    <w:autoRedefine/>
    <w:qFormat/>
    <w:uiPriority w:val="0"/>
    <w:rPr>
      <w:rFonts w:ascii="Times New Roman" w:hAnsi="Times New Roman" w:cs="宋体"/>
      <w:color w:val="000000" w:themeColor="text1"/>
      <w:kern w:val="2"/>
      <w:sz w:val="21"/>
      <w:szCs w:val="24"/>
      <w14:textFill>
        <w14:solidFill>
          <w14:schemeClr w14:val="tx1"/>
        </w14:solidFill>
      </w14:textFill>
    </w:rPr>
  </w:style>
  <w:style w:type="character" w:customStyle="1" w:styleId="472">
    <w:name w:val="普通(网站) 字符"/>
    <w:link w:val="43"/>
    <w:autoRedefine/>
    <w:qFormat/>
    <w:locked/>
    <w:uiPriority w:val="99"/>
    <w:rPr>
      <w:rFonts w:ascii="宋体" w:hAnsi="宋体" w:cs="宋体"/>
      <w:sz w:val="24"/>
      <w:szCs w:val="24"/>
    </w:rPr>
  </w:style>
  <w:style w:type="character" w:customStyle="1" w:styleId="473">
    <w:name w:val="首行缩进正文 字符"/>
    <w:basedOn w:val="49"/>
    <w:link w:val="474"/>
    <w:autoRedefine/>
    <w:qFormat/>
    <w:locked/>
    <w:uiPriority w:val="0"/>
    <w:rPr>
      <w:rFonts w:ascii="宋体" w:hAnsi="宋体" w:cs="宋体"/>
      <w:color w:val="000000" w:themeColor="text1"/>
      <w:sz w:val="21"/>
      <w:szCs w:val="24"/>
      <w14:textFill>
        <w14:solidFill>
          <w14:schemeClr w14:val="tx1"/>
        </w14:solidFill>
      </w14:textFill>
    </w:rPr>
  </w:style>
  <w:style w:type="paragraph" w:customStyle="1" w:styleId="474">
    <w:name w:val="首行缩进正文"/>
    <w:basedOn w:val="67"/>
    <w:link w:val="473"/>
    <w:autoRedefine/>
    <w:qFormat/>
    <w:uiPriority w:val="0"/>
    <w:pPr>
      <w:adjustRightInd/>
      <w:snapToGrid/>
    </w:pPr>
    <w:rPr>
      <w:rFonts w:ascii="宋体" w:hAnsi="宋体" w:cs="宋体"/>
      <w:color w:val="000000" w:themeColor="text1"/>
      <w:sz w:val="21"/>
      <w:szCs w:val="24"/>
      <w14:textFill>
        <w14:solidFill>
          <w14:schemeClr w14:val="tx1"/>
        </w14:solidFill>
      </w14:textFill>
    </w:rPr>
  </w:style>
  <w:style w:type="paragraph" w:customStyle="1" w:styleId="475">
    <w:name w:val="样式标题5"/>
    <w:basedOn w:val="1"/>
    <w:next w:val="311"/>
    <w:autoRedefine/>
    <w:qFormat/>
    <w:uiPriority w:val="0"/>
    <w:pPr>
      <w:tabs>
        <w:tab w:val="left" w:pos="3360"/>
      </w:tabs>
      <w:adjustRightInd/>
      <w:snapToGrid/>
      <w:ind w:left="3360" w:hanging="420"/>
    </w:pPr>
    <w:rPr>
      <w:rFonts w:ascii="Calibri" w:hAnsi="Calibri"/>
    </w:rPr>
  </w:style>
  <w:style w:type="paragraph" w:customStyle="1" w:styleId="476">
    <w:name w:val="！正文ctrl-4"/>
    <w:basedOn w:val="1"/>
    <w:autoRedefine/>
    <w:qFormat/>
    <w:uiPriority w:val="0"/>
    <w:pPr>
      <w:adjustRightInd/>
      <w:spacing w:beforeLines="50"/>
    </w:pPr>
    <w:rPr>
      <w:szCs w:val="21"/>
    </w:rPr>
  </w:style>
  <w:style w:type="character" w:customStyle="1" w:styleId="477">
    <w:name w:val="Default Char Char"/>
    <w:autoRedefine/>
    <w:qFormat/>
    <w:uiPriority w:val="0"/>
    <w:rPr>
      <w:rFonts w:ascii="宋体" w:hAnsi="Times New Roman"/>
      <w:color w:val="000000"/>
      <w:sz w:val="24"/>
      <w:szCs w:val="24"/>
      <w:lang w:bidi="ar-SA"/>
    </w:rPr>
  </w:style>
  <w:style w:type="paragraph" w:customStyle="1" w:styleId="478">
    <w:name w:val="标题4-梁"/>
    <w:basedOn w:val="1"/>
    <w:link w:val="479"/>
    <w:autoRedefine/>
    <w:qFormat/>
    <w:uiPriority w:val="0"/>
    <w:pPr>
      <w:adjustRightInd/>
      <w:snapToGrid/>
      <w:spacing w:line="500" w:lineRule="exact"/>
      <w:ind w:firstLine="0" w:firstLineChars="0"/>
      <w:outlineLvl w:val="3"/>
    </w:pPr>
    <w:rPr>
      <w:snapToGrid w:val="0"/>
      <w:color w:val="000000" w:themeColor="text1"/>
      <w:kern w:val="0"/>
      <w14:textFill>
        <w14:solidFill>
          <w14:schemeClr w14:val="tx1"/>
        </w14:solidFill>
      </w14:textFill>
    </w:rPr>
  </w:style>
  <w:style w:type="character" w:customStyle="1" w:styleId="479">
    <w:name w:val="标题4-梁 字符"/>
    <w:basedOn w:val="49"/>
    <w:link w:val="478"/>
    <w:autoRedefine/>
    <w:qFormat/>
    <w:uiPriority w:val="0"/>
    <w:rPr>
      <w:rFonts w:ascii="Times New Roman" w:hAnsi="Times New Roman"/>
      <w:snapToGrid w:val="0"/>
      <w:color w:val="000000" w:themeColor="text1"/>
      <w:sz w:val="24"/>
      <w:szCs w:val="22"/>
      <w14:textFill>
        <w14:solidFill>
          <w14:schemeClr w14:val="tx1"/>
        </w14:solidFill>
      </w14:textFill>
    </w:rPr>
  </w:style>
  <w:style w:type="paragraph" w:customStyle="1" w:styleId="480">
    <w:name w:val="标题3-梁"/>
    <w:basedOn w:val="1"/>
    <w:link w:val="481"/>
    <w:autoRedefine/>
    <w:qFormat/>
    <w:uiPriority w:val="0"/>
    <w:pPr>
      <w:adjustRightInd/>
      <w:snapToGrid/>
      <w:spacing w:line="500" w:lineRule="exact"/>
      <w:ind w:firstLine="0" w:firstLineChars="0"/>
      <w:outlineLvl w:val="2"/>
    </w:pPr>
    <w:rPr>
      <w:snapToGrid w:val="0"/>
      <w:color w:val="000000" w:themeColor="text1"/>
      <w:kern w:val="0"/>
      <w14:textFill>
        <w14:solidFill>
          <w14:schemeClr w14:val="tx1"/>
        </w14:solidFill>
      </w14:textFill>
    </w:rPr>
  </w:style>
  <w:style w:type="character" w:customStyle="1" w:styleId="481">
    <w:name w:val="标题3-梁 字符"/>
    <w:basedOn w:val="49"/>
    <w:link w:val="480"/>
    <w:autoRedefine/>
    <w:qFormat/>
    <w:uiPriority w:val="0"/>
    <w:rPr>
      <w:rFonts w:ascii="Times New Roman" w:hAnsi="Times New Roman"/>
      <w:snapToGrid w:val="0"/>
      <w:color w:val="000000" w:themeColor="text1"/>
      <w:sz w:val="24"/>
      <w:szCs w:val="22"/>
      <w14:textFill>
        <w14:solidFill>
          <w14:schemeClr w14:val="tx1"/>
        </w14:solidFill>
      </w14:textFill>
    </w:rPr>
  </w:style>
  <w:style w:type="paragraph" w:customStyle="1" w:styleId="482">
    <w:name w:val="AAA首行缩进2字符正文"/>
    <w:basedOn w:val="474"/>
    <w:autoRedefine/>
    <w:qFormat/>
    <w:uiPriority w:val="0"/>
    <w:pPr>
      <w:adjustRightInd w:val="0"/>
      <w:snapToGrid w:val="0"/>
    </w:pPr>
    <w:rPr>
      <w:sz w:val="24"/>
    </w:rPr>
  </w:style>
  <w:style w:type="paragraph" w:customStyle="1" w:styleId="483">
    <w:name w:val="《正文》"/>
    <w:basedOn w:val="1"/>
    <w:autoRedefine/>
    <w:qFormat/>
    <w:uiPriority w:val="0"/>
    <w:pPr>
      <w:spacing w:line="500" w:lineRule="exact"/>
      <w:ind w:firstLine="200"/>
    </w:pPr>
  </w:style>
  <w:style w:type="paragraph" w:customStyle="1" w:styleId="484">
    <w:name w:val="缩进2"/>
    <w:basedOn w:val="1"/>
    <w:autoRedefine/>
    <w:qFormat/>
    <w:uiPriority w:val="0"/>
    <w:pPr>
      <w:ind w:firstLine="200"/>
    </w:pPr>
    <w:rPr>
      <w:rFonts w:ascii="宋体" w:hAnsi="宋体" w:eastAsiaTheme="minorEastAsia" w:cstheme="minorBidi"/>
      <w:szCs w:val="21"/>
    </w:rPr>
  </w:style>
  <w:style w:type="paragraph" w:customStyle="1" w:styleId="485">
    <w:name w:val="Table Text"/>
    <w:basedOn w:val="1"/>
    <w:semiHidden/>
    <w:qFormat/>
    <w:uiPriority w:val="0"/>
    <w:rPr>
      <w:rFonts w:ascii="宋体" w:hAnsi="宋体" w:eastAsia="宋体" w:cs="宋体"/>
      <w:sz w:val="24"/>
      <w:szCs w:val="24"/>
      <w:lang w:val="en-US" w:eastAsia="en-US" w:bidi="ar-SA"/>
    </w:rPr>
  </w:style>
  <w:style w:type="table" w:customStyle="1" w:styleId="486">
    <w:name w:val="Table Normal"/>
    <w:semiHidden/>
    <w:unhideWhenUsed/>
    <w:qFormat/>
    <w:uiPriority w:val="0"/>
    <w:tblPr>
      <w:tblCellMar>
        <w:top w:w="0" w:type="dxa"/>
        <w:left w:w="0" w:type="dxa"/>
        <w:bottom w:w="0" w:type="dxa"/>
        <w:right w:w="0" w:type="dxa"/>
      </w:tblCellMar>
    </w:tblPr>
  </w:style>
  <w:style w:type="character" w:customStyle="1" w:styleId="487">
    <w:name w:val="font91"/>
    <w:qFormat/>
    <w:uiPriority w:val="0"/>
    <w:rPr>
      <w:rFonts w:hint="eastAsia" w:ascii="宋体" w:hAnsi="宋体" w:eastAsia="宋体" w:cs="宋体"/>
      <w:color w:val="000000"/>
      <w:sz w:val="20"/>
      <w:szCs w:val="20"/>
      <w:u w:val="none"/>
    </w:rPr>
  </w:style>
  <w:style w:type="paragraph" w:customStyle="1" w:styleId="488">
    <w:name w:val="_Style 4"/>
    <w:autoRedefine/>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489">
    <w:name w:val="雪表头"/>
    <w:link w:val="490"/>
    <w:autoRedefine/>
    <w:qFormat/>
    <w:uiPriority w:val="0"/>
    <w:pPr>
      <w:keepNext/>
      <w:widowControl w:val="0"/>
      <w:spacing w:line="500" w:lineRule="exact"/>
      <w:jc w:val="center"/>
    </w:pPr>
    <w:rPr>
      <w:rFonts w:ascii="Times New Roman" w:hAnsi="Times New Roman" w:eastAsia="黑体" w:cs="Times New Roman"/>
      <w:kern w:val="2"/>
      <w:sz w:val="24"/>
      <w:szCs w:val="24"/>
      <w:lang w:val="en-US" w:eastAsia="zh-CN" w:bidi="ar-SA"/>
    </w:rPr>
  </w:style>
  <w:style w:type="character" w:customStyle="1" w:styleId="490">
    <w:name w:val="雪表头 Char"/>
    <w:link w:val="489"/>
    <w:autoRedefine/>
    <w:qFormat/>
    <w:uiPriority w:val="0"/>
    <w:rPr>
      <w:rFonts w:ascii="Times New Roman" w:hAnsi="Times New Roman" w:eastAsia="黑体" w:cs="Times New Roman"/>
      <w:kern w:val="2"/>
      <w:sz w:val="24"/>
      <w:szCs w:val="24"/>
      <w:lang w:val="en-US" w:eastAsia="zh-CN" w:bidi="ar-SA"/>
    </w:rPr>
  </w:style>
  <w:style w:type="paragraph" w:customStyle="1" w:styleId="491">
    <w:name w:val="雪表文"/>
    <w:autoRedefine/>
    <w:qFormat/>
    <w:uiPriority w:val="0"/>
    <w:pPr>
      <w:widowControl w:val="0"/>
      <w:spacing w:line="360" w:lineRule="exact"/>
      <w:jc w:val="center"/>
      <w:textAlignment w:val="center"/>
    </w:pPr>
    <w:rPr>
      <w:rFonts w:ascii="Times New Roman" w:hAnsi="Times New Roman" w:eastAsia="宋体" w:cs="Times New Roman"/>
      <w:bCs/>
      <w:iCs/>
      <w:kern w:val="2"/>
      <w:sz w:val="21"/>
      <w:szCs w:val="28"/>
      <w:lang w:val="en-US" w:eastAsia="zh-CN" w:bidi="ar-SA"/>
    </w:rPr>
  </w:style>
  <w:style w:type="paragraph" w:customStyle="1" w:styleId="492">
    <w:name w:val="表格中文字"/>
    <w:basedOn w:val="493"/>
    <w:qFormat/>
    <w:uiPriority w:val="0"/>
    <w:pPr>
      <w:spacing w:line="360" w:lineRule="exact"/>
      <w:ind w:firstLine="0" w:firstLineChars="0"/>
      <w:jc w:val="center"/>
    </w:pPr>
    <w:rPr>
      <w:rFonts w:ascii="Times New Roman" w:hAnsi="Times New Roman"/>
      <w:color w:val="auto"/>
      <w:kern w:val="0"/>
      <w:sz w:val="21"/>
      <w:szCs w:val="21"/>
    </w:rPr>
  </w:style>
  <w:style w:type="paragraph" w:customStyle="1" w:styleId="493">
    <w:name w:val="填表正文"/>
    <w:basedOn w:val="1"/>
    <w:qFormat/>
    <w:uiPriority w:val="0"/>
    <w:pPr>
      <w:adjustRightInd w:val="0"/>
      <w:snapToGrid w:val="0"/>
      <w:jc w:val="center"/>
    </w:pPr>
    <w:rPr>
      <w:rFonts w:ascii="宋体" w:hAnsi="Calibri"/>
      <w:color w:val="000000"/>
      <w:kern w:val="0"/>
      <w:szCs w:val="44"/>
    </w:rPr>
  </w:style>
  <w:style w:type="paragraph" w:customStyle="1" w:styleId="494">
    <w:name w:val="f-表内"/>
    <w:basedOn w:val="1"/>
    <w:qFormat/>
    <w:uiPriority w:val="0"/>
    <w:pPr>
      <w:adjustRightInd w:val="0"/>
      <w:spacing w:line="240" w:lineRule="auto"/>
      <w:ind w:firstLine="0" w:firstLineChars="0"/>
      <w:jc w:val="center"/>
    </w:pPr>
    <w:rPr>
      <w:kern w:val="0"/>
      <w:sz w:val="21"/>
      <w:szCs w:val="20"/>
    </w:rPr>
  </w:style>
  <w:style w:type="paragraph" w:customStyle="1" w:styleId="495">
    <w:name w:val="本文正文"/>
    <w:basedOn w:val="1"/>
    <w:qFormat/>
    <w:uiPriority w:val="0"/>
    <w:rPr>
      <w:rFonts w:ascii="Times New Roman" w:hAnsi="Times New Roman"/>
      <w:kern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8.png"/><Relationship Id="rId98" Type="http://schemas.openxmlformats.org/officeDocument/2006/relationships/image" Target="media/image67.png"/><Relationship Id="rId97" Type="http://schemas.openxmlformats.org/officeDocument/2006/relationships/image" Target="media/image66.png"/><Relationship Id="rId96" Type="http://schemas.openxmlformats.org/officeDocument/2006/relationships/image" Target="media/image65.png"/><Relationship Id="rId95" Type="http://schemas.openxmlformats.org/officeDocument/2006/relationships/image" Target="media/image64.png"/><Relationship Id="rId94" Type="http://schemas.openxmlformats.org/officeDocument/2006/relationships/image" Target="media/image63.png"/><Relationship Id="rId93" Type="http://schemas.openxmlformats.org/officeDocument/2006/relationships/image" Target="media/image62.png"/><Relationship Id="rId92" Type="http://schemas.openxmlformats.org/officeDocument/2006/relationships/image" Target="media/image61.jpeg"/><Relationship Id="rId91" Type="http://schemas.openxmlformats.org/officeDocument/2006/relationships/image" Target="media/image60.jpeg"/><Relationship Id="rId90" Type="http://schemas.openxmlformats.org/officeDocument/2006/relationships/image" Target="media/image59.jpeg"/><Relationship Id="rId9" Type="http://schemas.openxmlformats.org/officeDocument/2006/relationships/footer" Target="footer2.xml"/><Relationship Id="rId89" Type="http://schemas.openxmlformats.org/officeDocument/2006/relationships/image" Target="media/image58.png"/><Relationship Id="rId88" Type="http://schemas.openxmlformats.org/officeDocument/2006/relationships/image" Target="media/image57.jpeg"/><Relationship Id="rId87" Type="http://schemas.openxmlformats.org/officeDocument/2006/relationships/image" Target="media/image56.png"/><Relationship Id="rId86" Type="http://schemas.openxmlformats.org/officeDocument/2006/relationships/image" Target="media/image55.png"/><Relationship Id="rId85" Type="http://schemas.openxmlformats.org/officeDocument/2006/relationships/image" Target="media/image54.wmf"/><Relationship Id="rId84" Type="http://schemas.openxmlformats.org/officeDocument/2006/relationships/image" Target="media/image53.png"/><Relationship Id="rId83" Type="http://schemas.openxmlformats.org/officeDocument/2006/relationships/image" Target="media/image52.png"/><Relationship Id="rId82" Type="http://schemas.openxmlformats.org/officeDocument/2006/relationships/image" Target="media/image51.wmf"/><Relationship Id="rId81" Type="http://schemas.openxmlformats.org/officeDocument/2006/relationships/oleObject" Target="embeddings/oleObject3.bin"/><Relationship Id="rId80" Type="http://schemas.openxmlformats.org/officeDocument/2006/relationships/image" Target="media/image50.wmf"/><Relationship Id="rId8" Type="http://schemas.openxmlformats.org/officeDocument/2006/relationships/footer" Target="footer1.xml"/><Relationship Id="rId79" Type="http://schemas.openxmlformats.org/officeDocument/2006/relationships/oleObject" Target="embeddings/oleObject2.bin"/><Relationship Id="rId78" Type="http://schemas.openxmlformats.org/officeDocument/2006/relationships/image" Target="media/image49.wmf"/><Relationship Id="rId77" Type="http://schemas.openxmlformats.org/officeDocument/2006/relationships/oleObject" Target="embeddings/oleObject1.bin"/><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header" Target="header3.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jpe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jpeg"/><Relationship Id="rId60" Type="http://schemas.openxmlformats.org/officeDocument/2006/relationships/image" Target="media/image32.jpeg"/><Relationship Id="rId6" Type="http://schemas.openxmlformats.org/officeDocument/2006/relationships/header" Target="header2.xml"/><Relationship Id="rId59" Type="http://schemas.openxmlformats.org/officeDocument/2006/relationships/image" Target="media/image31.jpeg"/><Relationship Id="rId58" Type="http://schemas.openxmlformats.org/officeDocument/2006/relationships/image" Target="media/image30.jpeg"/><Relationship Id="rId57" Type="http://schemas.openxmlformats.org/officeDocument/2006/relationships/image" Target="media/image29.jpeg"/><Relationship Id="rId56" Type="http://schemas.openxmlformats.org/officeDocument/2006/relationships/image" Target="media/image28.jpeg"/><Relationship Id="rId55" Type="http://schemas.openxmlformats.org/officeDocument/2006/relationships/image" Target="media/image27.jpeg"/><Relationship Id="rId54" Type="http://schemas.openxmlformats.org/officeDocument/2006/relationships/image" Target="media/image26.jpeg"/><Relationship Id="rId53" Type="http://schemas.openxmlformats.org/officeDocument/2006/relationships/image" Target="media/image25.jpeg"/><Relationship Id="rId52" Type="http://schemas.openxmlformats.org/officeDocument/2006/relationships/image" Target="media/image24.jpeg"/><Relationship Id="rId51" Type="http://schemas.openxmlformats.org/officeDocument/2006/relationships/image" Target="media/image23.png"/><Relationship Id="rId50" Type="http://schemas.openxmlformats.org/officeDocument/2006/relationships/image" Target="media/image22.png"/><Relationship Id="rId5" Type="http://schemas.openxmlformats.org/officeDocument/2006/relationships/header" Target="header1.xml"/><Relationship Id="rId49" Type="http://schemas.openxmlformats.org/officeDocument/2006/relationships/image" Target="media/image21.wmf"/><Relationship Id="rId48" Type="http://schemas.openxmlformats.org/officeDocument/2006/relationships/image" Target="media/image20.wmf"/><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image" Target="media/image17.png"/><Relationship Id="rId44" Type="http://schemas.openxmlformats.org/officeDocument/2006/relationships/image" Target="media/image16.jpeg"/><Relationship Id="rId43" Type="http://schemas.openxmlformats.org/officeDocument/2006/relationships/image" Target="media/image15.png"/><Relationship Id="rId42" Type="http://schemas.openxmlformats.org/officeDocument/2006/relationships/image" Target="media/image14.png"/><Relationship Id="rId41" Type="http://schemas.openxmlformats.org/officeDocument/2006/relationships/image" Target="media/image13.png"/><Relationship Id="rId40" Type="http://schemas.openxmlformats.org/officeDocument/2006/relationships/image" Target="media/image12.png"/><Relationship Id="rId4" Type="http://schemas.openxmlformats.org/officeDocument/2006/relationships/endnotes" Target="endnotes.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jpeg"/><Relationship Id="rId36" Type="http://schemas.openxmlformats.org/officeDocument/2006/relationships/image" Target="media/image8.png"/><Relationship Id="rId35" Type="http://schemas.openxmlformats.org/officeDocument/2006/relationships/image" Target="media/image7.png"/><Relationship Id="rId34" Type="http://schemas.openxmlformats.org/officeDocument/2006/relationships/image" Target="media/image6.png"/><Relationship Id="rId33" Type="http://schemas.openxmlformats.org/officeDocument/2006/relationships/image" Target="media/image5.png"/><Relationship Id="rId32" Type="http://schemas.openxmlformats.org/officeDocument/2006/relationships/image" Target="media/image4.png"/><Relationship Id="rId31" Type="http://schemas.openxmlformats.org/officeDocument/2006/relationships/image" Target="media/image3.png"/><Relationship Id="rId30" Type="http://schemas.openxmlformats.org/officeDocument/2006/relationships/image" Target="media/image2.png"/><Relationship Id="rId3" Type="http://schemas.openxmlformats.org/officeDocument/2006/relationships/footnotes" Target="footnotes.xml"/><Relationship Id="rId29" Type="http://schemas.openxmlformats.org/officeDocument/2006/relationships/theme" Target="theme/theme1.xml"/><Relationship Id="rId28" Type="http://schemas.openxmlformats.org/officeDocument/2006/relationships/header" Target="header12.xml"/><Relationship Id="rId27" Type="http://schemas.openxmlformats.org/officeDocument/2006/relationships/footer" Target="footer12.xml"/><Relationship Id="rId26" Type="http://schemas.openxmlformats.org/officeDocument/2006/relationships/header" Target="header11.xml"/><Relationship Id="rId25" Type="http://schemas.openxmlformats.org/officeDocument/2006/relationships/footer" Target="footer11.xml"/><Relationship Id="rId24" Type="http://schemas.openxmlformats.org/officeDocument/2006/relationships/header" Target="header10.xml"/><Relationship Id="rId23" Type="http://schemas.openxmlformats.org/officeDocument/2006/relationships/footer" Target="footer10.xml"/><Relationship Id="rId22" Type="http://schemas.openxmlformats.org/officeDocument/2006/relationships/header" Target="header9.xml"/><Relationship Id="rId21" Type="http://schemas.openxmlformats.org/officeDocument/2006/relationships/footer" Target="foot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header" Target="header6.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1" Type="http://schemas.openxmlformats.org/officeDocument/2006/relationships/fontTable" Target="fontTable.xml"/><Relationship Id="rId120" Type="http://schemas.openxmlformats.org/officeDocument/2006/relationships/customXml" Target="../customXml/item2.xml"/><Relationship Id="rId12" Type="http://schemas.openxmlformats.org/officeDocument/2006/relationships/footer" Target="footer4.xml"/><Relationship Id="rId119" Type="http://schemas.openxmlformats.org/officeDocument/2006/relationships/numbering" Target="numbering.xml"/><Relationship Id="rId118" Type="http://schemas.openxmlformats.org/officeDocument/2006/relationships/customXml" Target="../customXml/item1.xml"/><Relationship Id="rId117" Type="http://schemas.openxmlformats.org/officeDocument/2006/relationships/image" Target="media/image86.png"/><Relationship Id="rId116" Type="http://schemas.openxmlformats.org/officeDocument/2006/relationships/image" Target="media/image85.png"/><Relationship Id="rId115" Type="http://schemas.openxmlformats.org/officeDocument/2006/relationships/image" Target="media/image84.png"/><Relationship Id="rId114" Type="http://schemas.openxmlformats.org/officeDocument/2006/relationships/image" Target="media/image83.png"/><Relationship Id="rId113" Type="http://schemas.openxmlformats.org/officeDocument/2006/relationships/image" Target="media/image82.png"/><Relationship Id="rId112" Type="http://schemas.openxmlformats.org/officeDocument/2006/relationships/image" Target="media/image81.bmp"/><Relationship Id="rId111" Type="http://schemas.openxmlformats.org/officeDocument/2006/relationships/image" Target="media/image80.png"/><Relationship Id="rId110" Type="http://schemas.openxmlformats.org/officeDocument/2006/relationships/image" Target="media/image79.png"/><Relationship Id="rId11" Type="http://schemas.openxmlformats.org/officeDocument/2006/relationships/header" Target="header4.xml"/><Relationship Id="rId109" Type="http://schemas.openxmlformats.org/officeDocument/2006/relationships/image" Target="media/image78.png"/><Relationship Id="rId108" Type="http://schemas.openxmlformats.org/officeDocument/2006/relationships/image" Target="media/image77.png"/><Relationship Id="rId107" Type="http://schemas.openxmlformats.org/officeDocument/2006/relationships/image" Target="media/image76.jpeg"/><Relationship Id="rId106" Type="http://schemas.openxmlformats.org/officeDocument/2006/relationships/image" Target="media/image75.png"/><Relationship Id="rId105" Type="http://schemas.openxmlformats.org/officeDocument/2006/relationships/image" Target="media/image74.png"/><Relationship Id="rId104" Type="http://schemas.openxmlformats.org/officeDocument/2006/relationships/image" Target="media/image73.png"/><Relationship Id="rId103" Type="http://schemas.openxmlformats.org/officeDocument/2006/relationships/image" Target="media/image72.png"/><Relationship Id="rId102" Type="http://schemas.openxmlformats.org/officeDocument/2006/relationships/image" Target="media/image71.png"/><Relationship Id="rId101" Type="http://schemas.openxmlformats.org/officeDocument/2006/relationships/image" Target="media/image70.png"/><Relationship Id="rId100" Type="http://schemas.openxmlformats.org/officeDocument/2006/relationships/image" Target="media/image69.png"/><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image" Target="media/image1.bmp"/></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FE2E933-9298-4BFC-96FB-F7CBF87FB241}">
  <ds:schemaRefs/>
</ds:datastoreItem>
</file>

<file path=docProps/app.xml><?xml version="1.0" encoding="utf-8"?>
<Properties xmlns="http://schemas.openxmlformats.org/officeDocument/2006/extended-properties" xmlns:vt="http://schemas.openxmlformats.org/officeDocument/2006/docPropsVTypes">
  <Template>Normal</Template>
  <Pages>327</Pages>
  <Words>164262</Words>
  <Characters>196278</Characters>
  <Lines>1368</Lines>
  <Paragraphs>385</Paragraphs>
  <TotalTime>9</TotalTime>
  <ScaleCrop>false</ScaleCrop>
  <LinksUpToDate>false</LinksUpToDate>
  <CharactersWithSpaces>200288</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2024-03-12T12:44:00Z</dcterms:created>
  <dc:creator>Administrator</dc:creator>
  <cp:lastModifiedBy> Y树y菩¿提</cp:lastModifiedBy>
  <cp:lastPrinted>2023-11-30T01:20:00Z</cp:lastPrinted>
  <dcterms:modified xsi:type="dcterms:W3CDTF">2026-05-21T05:53:15Z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39EAFE6E40FD453189C80D8B2D94ECAA_13</vt:lpwstr>
  </property>
  <property fmtid="{D5CDD505-2E9C-101B-9397-08002B2CF9AE}" pid="4" name="KSOTemplateDocerSaveRecord">
    <vt:lpwstr>eyJoZGlkIjoiZmFmZWE3ZDY3MDdhOWYwZGVkYzA2MTM2YTc0ZGE1ZGUiLCJ1c2VySWQiOiIzNDI2Njc5NjcifQ==</vt:lpwstr>
  </property>
</Properties>
</file>